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F5C90">
      <w:pPr>
        <w:pStyle w:val="3"/>
        <w:keepNext w:val="0"/>
        <w:keepLines w:val="0"/>
        <w:pageBreakBefore w:val="0"/>
        <w:widowControl/>
        <w:kinsoku w:val="0"/>
        <w:wordWrap/>
        <w:overflowPunct/>
        <w:topLinePunct w:val="0"/>
        <w:autoSpaceDE w:val="0"/>
        <w:autoSpaceDN w:val="0"/>
        <w:bidi w:val="0"/>
        <w:adjustRightInd w:val="0"/>
        <w:snapToGrid w:val="0"/>
        <w:spacing w:line="560" w:lineRule="exact"/>
        <w:ind w:right="0"/>
        <w:jc w:val="center"/>
        <w:textAlignment w:val="baseline"/>
        <w:rPr>
          <w:rFonts w:hint="eastAsia" w:ascii="方正小标宋_GBK" w:hAnsi="方正小标宋_GBK" w:eastAsia="方正小标宋_GBK" w:cs="方正小标宋_GBK"/>
          <w:sz w:val="44"/>
          <w:szCs w:val="44"/>
          <w:highlight w:val="none"/>
        </w:rPr>
      </w:pPr>
      <w:bookmarkStart w:id="0" w:name="OLE_LINK1"/>
      <w:r>
        <w:rPr>
          <w:rFonts w:hint="eastAsia" w:ascii="方正小标宋简体" w:hAnsi="方正小标宋简体" w:eastAsia="方正小标宋简体" w:cs="方正小标宋简体"/>
          <w:spacing w:val="5"/>
          <w:sz w:val="44"/>
          <w:szCs w:val="44"/>
          <w:lang w:val="en-US" w:eastAsia="zh-CN"/>
        </w:rPr>
        <w:t>《</w:t>
      </w:r>
      <w:r>
        <w:rPr>
          <w:rFonts w:hint="eastAsia" w:ascii="方正小标宋_GBK" w:hAnsi="方正小标宋_GBK" w:eastAsia="方正小标宋_GBK" w:cs="方正小标宋_GBK"/>
          <w:sz w:val="44"/>
          <w:szCs w:val="44"/>
          <w:highlight w:val="none"/>
        </w:rPr>
        <w:t>密云区“十五五”时期文化和旅游发展规划</w:t>
      </w:r>
    </w:p>
    <w:p w14:paraId="06182606">
      <w:pPr>
        <w:pStyle w:val="3"/>
        <w:keepNext w:val="0"/>
        <w:keepLines w:val="0"/>
        <w:pageBreakBefore w:val="0"/>
        <w:widowControl/>
        <w:kinsoku w:val="0"/>
        <w:wordWrap/>
        <w:overflowPunct/>
        <w:topLinePunct w:val="0"/>
        <w:autoSpaceDE w:val="0"/>
        <w:autoSpaceDN w:val="0"/>
        <w:bidi w:val="0"/>
        <w:adjustRightInd w:val="0"/>
        <w:snapToGrid w:val="0"/>
        <w:spacing w:line="560" w:lineRule="exact"/>
        <w:ind w:right="0"/>
        <w:jc w:val="center"/>
        <w:textAlignment w:val="baseline"/>
        <w:rPr>
          <w:rFonts w:hint="default"/>
          <w:lang w:val="en-US" w:eastAsia="zh-CN"/>
        </w:rPr>
      </w:pPr>
      <w:r>
        <w:rPr>
          <w:rFonts w:hint="eastAsia" w:ascii="方正小标宋_GBK" w:hAnsi="方正小标宋_GBK" w:eastAsia="方正小标宋_GBK" w:cs="方正小标宋_GBK"/>
          <w:sz w:val="44"/>
          <w:szCs w:val="44"/>
          <w:highlight w:val="none"/>
        </w:rPr>
        <w:t>（征求意见稿）</w:t>
      </w:r>
      <w:r>
        <w:rPr>
          <w:rFonts w:hint="eastAsia" w:ascii="方正小标宋简体" w:hAnsi="方正小标宋简体" w:eastAsia="方正小标宋简体" w:cs="方正小标宋简体"/>
          <w:spacing w:val="5"/>
          <w:sz w:val="44"/>
          <w:szCs w:val="44"/>
          <w:lang w:val="en-US" w:eastAsia="zh-CN"/>
        </w:rPr>
        <w:t>》的起草说明</w:t>
      </w:r>
      <w:bookmarkEnd w:id="0"/>
    </w:p>
    <w:p w14:paraId="66C9AA8A">
      <w:pPr>
        <w:pStyle w:val="2"/>
        <w:keepNext w:val="0"/>
        <w:keepLines w:val="0"/>
        <w:pageBreakBefore w:val="0"/>
        <w:wordWrap/>
        <w:overflowPunct/>
        <w:topLinePunct w:val="0"/>
        <w:bidi w:val="0"/>
        <w:spacing w:line="560" w:lineRule="exact"/>
        <w:rPr>
          <w:rFonts w:hint="default"/>
          <w:lang w:val="en-US" w:eastAsia="zh-CN"/>
        </w:rPr>
      </w:pPr>
    </w:p>
    <w:p w14:paraId="1C9A881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为深入贯彻落实国家及北京市“十五五”时期文化和旅游发展相关决策部署，坚持以文塑旅、以旅彰文，推进农文旅体商度融合发展，进一步打响“来密云看海”城市品牌，根据区委区政府工作部署，区文化和旅游局牵头编制《密云区“十五五”时期文化和旅游发展规划（征求意见稿）》（以下简称《规划》）。现将起草有关情况说明如下：</w:t>
      </w:r>
    </w:p>
    <w:p w14:paraId="6B4A3E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一、起草背景和必要性</w:t>
      </w:r>
    </w:p>
    <w:p w14:paraId="72E5037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当前，文化和旅游发展进入深度融合、提质增效的新阶段。习近平总书记指出：旅游业“日益成为新兴的战略性支柱产业和具有显著时代特征的民生产业、幸福产业”；2026年首次将“深化农文旅融合，推进乡村旅游提档升级，发展‘小而美’文旅业态”纳入中央部署，为文旅产业高质量发展锚定方向。市委市政府对建设全国文化中心、推进国际消费中心城市建设作出系统部署，对文旅产业转型升级提出更高要求。</w:t>
      </w:r>
    </w:p>
    <w:p w14:paraId="6827E9C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密云区作为首都最重要的水源保护地及区域生态治理协作区、国家生态文明先行示范区、特色文化旅游休闲及创新发展示范区，文旅产业是践行“两山”理论、推动高质量发展的重要抓手。“十四五”时期，密云区文旅产业取得显著成效，但对标新形势、新任务、新要求，仍存在产业链偏短、产品同质化、存量资源盘活不足等短板，亟须在“十五五”阶段集中突破。科学编制文旅专项规划，对我区打造首都生态文明建设金名片、实现发展新跨越具有重要意义。</w:t>
      </w:r>
    </w:p>
    <w:p w14:paraId="7FD813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二、起草目的与意义</w:t>
      </w:r>
    </w:p>
    <w:p w14:paraId="5687962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（一）贯彻落实上级决策部署。全面贯彻习近平总书记关于文化和旅游工作的重要指示精神，落实国家及北京市“十五五”时期文化和旅游发展规划部署及区委区政府工作要求，打造“两山实践”密云样板。</w:t>
      </w:r>
    </w:p>
    <w:p w14:paraId="27CE8E6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推动文旅产业高质量发展。系统梳理区域文旅发展现状，明确“十五五”时期文旅发展的总体目标、重点任务和实施路径，补齐产品供给、基础设施、公共服务等方面短板，推动文旅产业从规模扩张向质量效益转型，构建现代文旅产业体系。</w:t>
      </w:r>
    </w:p>
    <w:p w14:paraId="5912D8C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三）服务区域高质量发展大局。立足密云区生态涵养区和特色文化旅游休闲及创新发展示范区功能定位，统筹生态保护与产业发展，深化“来密云看海”文旅品牌，打造京津冀和京郊微度假首选目的地，以文旅产业赋能乡村振兴、拉动全域消费。</w:t>
      </w:r>
    </w:p>
    <w:p w14:paraId="0855194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四）提升群众文化获得感与幸福感。聚焦人民群众文化需求和旅游体验，推动优质文化资源直达基层，完善公共文化服务体系，丰富文旅产品供给，提升行业服务质量，实现“保水”与“富民”有机统一，让文旅发展成果惠及更多群众。</w:t>
      </w:r>
    </w:p>
    <w:p w14:paraId="6D37F2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三、起草依据</w:t>
      </w:r>
    </w:p>
    <w:p w14:paraId="2F02191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习近平总书记关于文化和旅游工作的重要论述；《中华人民共和国公共文化服务保障法》《中华人民共和国旅游法》《中华人民共和国文物保护法》等法律法规；国家及北京市“十五五”时期文化和旅游发展规划相关部署要求；《北京城市总体规划（2016年—2035年）》《密云分区规划（国土空间规划）（2017年—2035年）》；《北京市“十五五”时期文化和旅游发展规划》《密云区国民经济和社会发展第十五个五年规划纲要》；密云区文旅资源禀赋、产业发展现状；全区各部门、各镇街文旅工作实际及意见建议。</w:t>
      </w:r>
    </w:p>
    <w:p w14:paraId="4FEC22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四、主要内容说明</w:t>
      </w:r>
    </w:p>
    <w:p w14:paraId="41D46D5F">
      <w:pPr>
        <w:keepNext w:val="0"/>
        <w:keepLines w:val="0"/>
        <w:pageBreakBefore w:val="0"/>
        <w:wordWrap/>
        <w:overflowPunct/>
        <w:topLinePunct w:val="0"/>
        <w:bidi w:val="0"/>
        <w:spacing w:line="560" w:lineRule="exact"/>
        <w:ind w:firstLine="616" w:firstLineChars="200"/>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《规划》立足密云区实际，坚持问题导向、目标导向、结果导向，系统构建“十五五”时期文旅发展总体框架，全文共分为“十四五发展回顾、形势分析、发展要求、发展任务、保障措施”五大部分。</w:t>
      </w:r>
    </w:p>
    <w:p w14:paraId="6780FBC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（一）“十四五”发展回顾</w:t>
      </w:r>
    </w:p>
    <w:p w14:paraId="2C8B131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全面总结“十四五”时期密云文化和旅游发展成效，涵盖公共文化服务体系建设、文化遗产保护利用、文旅产业规模增长、产业融合推进、品牌营销提升、市场治理规范等方面，客观分析产业链偏短、产品同质化、存量资源盘活不足等短板问题。</w:t>
      </w:r>
    </w:p>
    <w:p w14:paraId="2364BBA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（二）形势分析</w:t>
      </w:r>
    </w:p>
    <w:p w14:paraId="16F5BE6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从机遇和挑战两个维度深入研判“十五五”时期发展形势。机遇方面主要包括三级政策协同赋能、生态价值创新转化、数字技术融合应用等；挑战方面主要包括区域竞争加剧与产品同质化风险、基础设施与公共服务存在短板、文旅与乡村振兴及城市更新融合不足等。</w:t>
      </w:r>
    </w:p>
    <w:p w14:paraId="7F7A209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（三）发展要求</w:t>
      </w:r>
    </w:p>
    <w:p w14:paraId="04C9019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明确“十五五”时期文旅发展的指导思想、基本原则、发展目标和空间布局。提出打造京津冀和京郊微度假首选目的地，打响“来密云看海”文旅品牌，构建“一核聚能、四带联动、多点支撑、全域覆盖”的文化和旅游发展空间格局。</w:t>
      </w:r>
    </w:p>
    <w:p w14:paraId="12E858A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（四）发展任务</w:t>
      </w:r>
    </w:p>
    <w:p w14:paraId="5ABD00F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部署六大重点任务，涵盖文化事业与遗产保护、多元产品体系构建、乡村旅游提质升级、存量资源盘活与重大项目带动、品牌宣传营销、行业市场管理等方面，细化具体举措，构建全链条文旅发展工作格局。</w:t>
      </w:r>
    </w:p>
    <w:p w14:paraId="7E8980F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（五）保障措施</w:t>
      </w:r>
    </w:p>
    <w:p w14:paraId="7A081FC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从组织领导、政策体系、融资渠道、人才培养、安全监管、监测评估六个方面提出具体保障措施，压实各方责任，强化要素保障，健全考核机制，确保规划各项</w:t>
      </w:r>
      <w:bookmarkStart w:id="1" w:name="_GoBack"/>
      <w:bookmarkEnd w:id="1"/>
      <w:r>
        <w:rPr>
          <w:rFonts w:hint="eastAsia" w:ascii="仿宋_GB2312" w:hAnsi="仿宋_GB2312" w:eastAsia="仿宋_GB2312" w:cs="仿宋_GB2312"/>
          <w:color w:val="000000"/>
          <w:sz w:val="32"/>
          <w:szCs w:val="32"/>
          <w:lang w:val="en-US" w:eastAsia="zh-CN"/>
        </w:rPr>
        <w:t>任务落地见效。</w:t>
      </w:r>
    </w:p>
    <w:sectPr>
      <w:footerReference r:id="rId3" w:type="default"/>
      <w:pgSz w:w="11906" w:h="16838"/>
      <w:pgMar w:top="2098" w:right="1531" w:bottom="1984" w:left="1531"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6CA9DC-9A48-4FB0-B364-E72C298391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C7E1950-A7B2-4087-95EB-A004D7D0C0CE}"/>
  </w:font>
  <w:font w:name="仿宋_GB2312">
    <w:panose1 w:val="02010609030101010101"/>
    <w:charset w:val="86"/>
    <w:family w:val="modern"/>
    <w:pitch w:val="default"/>
    <w:sig w:usb0="00000001" w:usb1="080E0000" w:usb2="00000000" w:usb3="00000000" w:csb0="00040000" w:csb1="00000000"/>
    <w:embedRegular r:id="rId3" w:fontKey="{4DABBB01-C8F0-4632-B5FF-DA7F6C4A87CF}"/>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4" w:fontKey="{990B5B54-2DC7-4FDD-94C8-280359A712F6}"/>
  </w:font>
  <w:font w:name="方正小标宋简体">
    <w:panose1 w:val="02000000000000000000"/>
    <w:charset w:val="86"/>
    <w:family w:val="auto"/>
    <w:pitch w:val="default"/>
    <w:sig w:usb0="A00002BF" w:usb1="184F6CFA" w:usb2="00000012" w:usb3="00000000" w:csb0="00040001" w:csb1="00000000"/>
    <w:embedRegular r:id="rId5" w:fontKey="{ADB0F7E0-0A38-4AA6-B0EE-95325B612C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EC91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90FC0">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56390FC0">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C6D7F"/>
    <w:rsid w:val="1C463DDF"/>
    <w:rsid w:val="355157DD"/>
    <w:rsid w:val="5F8426C2"/>
    <w:rsid w:val="6BEEFDDE"/>
    <w:rsid w:val="704C6CF1"/>
    <w:rsid w:val="71A212BE"/>
    <w:rsid w:val="752F4DC0"/>
    <w:rsid w:val="7680422F"/>
    <w:rsid w:val="79E41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tabs>
        <w:tab w:val="left" w:pos="7320"/>
        <w:tab w:val="left" w:pos="8610"/>
      </w:tabs>
      <w:snapToGrid w:val="0"/>
      <w:spacing w:line="300" w:lineRule="auto"/>
      <w:ind w:right="-108" w:firstLine="600"/>
    </w:pPr>
    <w:rPr>
      <w:rFonts w:eastAsia="仿宋_GB2312"/>
      <w:snapToGrid w:val="0"/>
    </w:rPr>
  </w:style>
  <w:style w:type="paragraph" w:styleId="3">
    <w:name w:val="Body Text"/>
    <w:basedOn w:val="1"/>
    <w:next w:val="4"/>
    <w:semiHidden/>
    <w:qFormat/>
    <w:uiPriority w:val="0"/>
    <w:rPr>
      <w:rFonts w:ascii="微软雅黑" w:hAnsi="微软雅黑" w:eastAsia="微软雅黑" w:cs="微软雅黑"/>
      <w:sz w:val="31"/>
      <w:szCs w:val="31"/>
      <w:lang w:val="en-US" w:eastAsia="en-US" w:bidi="ar-SA"/>
    </w:rPr>
  </w:style>
  <w:style w:type="paragraph" w:styleId="4">
    <w:name w:val="Body Text First Indent"/>
    <w:basedOn w:val="3"/>
    <w:qFormat/>
    <w:uiPriority w:val="0"/>
    <w:pPr>
      <w:ind w:firstLine="420" w:firstLineChars="100"/>
    </w:pPr>
    <w:rPr>
      <w:rFonts w:ascii="Times New Roman" w:hAnsi="Times New Roman" w:eastAsia="宋体" w:cs="Times New Roman"/>
    </w:rPr>
  </w:style>
  <w:style w:type="paragraph" w:styleId="5">
    <w:name w:val="footer"/>
    <w:basedOn w:val="1"/>
    <w:qFormat/>
    <w:uiPriority w:val="0"/>
    <w:pPr>
      <w:tabs>
        <w:tab w:val="center" w:pos="4153"/>
        <w:tab w:val="right" w:pos="8306"/>
      </w:tabs>
      <w:snapToGrid w:val="0"/>
      <w:jc w:val="left"/>
    </w:pPr>
    <w:rPr>
      <w:sz w:val="18"/>
    </w:rPr>
  </w:style>
  <w:style w:type="paragraph" w:styleId="6">
    <w:name w:val="index 9"/>
    <w:basedOn w:val="1"/>
    <w:next w:val="1"/>
    <w:unhideWhenUsed/>
    <w:qFormat/>
    <w:uiPriority w:val="0"/>
    <w:pPr>
      <w:ind w:left="1600" w:leftChars="16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1950</Words>
  <Characters>1971</Characters>
  <Lines>0</Lines>
  <Paragraphs>0</Paragraphs>
  <TotalTime>48</TotalTime>
  <ScaleCrop>false</ScaleCrop>
  <LinksUpToDate>false</LinksUpToDate>
  <CharactersWithSpaces>1971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2022-07-26T09:27:00Z</dcterms:created>
  <dc:creator>Administrator</dc:creator>
  <cp:lastModifiedBy>L幻想</cp:lastModifiedBy>
  <cp:lastPrinted>2026-03-23T15:02:00Z</cp:lastPrinted>
  <dcterms:modified xsi:type="dcterms:W3CDTF">2026-06-26T01:24:18Z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5BDC493B170444D4BCBA545648D69790</vt:lpwstr>
  </property>
  <property fmtid="{D5CDD505-2E9C-101B-9397-08002B2CF9AE}" pid="4" name="KSOTemplateDocerSaveRecord">
    <vt:lpwstr>eyJoZGlkIjoiM2M2ZTA0YjFkMzY1NTA4NDI4OTYyNTM0ZTRmZDFmZjUiLCJ1c2VySWQiOiIzNDUyMjM3MjgifQ==</vt:lpwstr>
  </property>
</Properties>
</file>