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831B4">
      <w:pPr>
        <w:ind w:left="600" w:firstLine="0" w:firstLineChars="0"/>
        <w:rPr>
          <w:highlight w:val="none"/>
          <w:u w:val="none"/>
        </w:rPr>
      </w:pPr>
    </w:p>
    <w:p w14:paraId="2ACE0CD8">
      <w:pPr>
        <w:ind w:left="600" w:firstLine="0" w:firstLineChars="0"/>
        <w:rPr>
          <w:highlight w:val="none"/>
          <w:u w:val="none"/>
        </w:rPr>
      </w:pPr>
    </w:p>
    <w:p w14:paraId="49E13AD3">
      <w:pPr>
        <w:ind w:left="600" w:firstLine="0" w:firstLineChars="0"/>
        <w:rPr>
          <w:highlight w:val="none"/>
          <w:u w:val="none"/>
        </w:rPr>
      </w:pPr>
    </w:p>
    <w:p w14:paraId="7C2AB15B">
      <w:pPr>
        <w:ind w:firstLine="0" w:firstLineChars="0"/>
        <w:rPr>
          <w:highlight w:val="none"/>
          <w:u w:val="none"/>
        </w:rPr>
      </w:pPr>
    </w:p>
    <w:p w14:paraId="639D852A">
      <w:pPr>
        <w:ind w:left="600" w:firstLine="0" w:firstLineChars="0"/>
        <w:rPr>
          <w:b/>
          <w:bCs/>
          <w:highlight w:val="none"/>
          <w:u w:val="none"/>
        </w:rPr>
      </w:pPr>
    </w:p>
    <w:p w14:paraId="0F566795">
      <w:pPr>
        <w:spacing w:line="360" w:lineRule="auto"/>
        <w:ind w:firstLine="0" w:firstLineChars="0"/>
        <w:outlineLvl w:val="0"/>
        <w:rPr>
          <w:rFonts w:ascii="仿宋_GB2312" w:hAnsi="方正小标宋简体" w:cs="方正小标宋简体"/>
          <w:b/>
          <w:bCs/>
          <w:sz w:val="44"/>
          <w:szCs w:val="44"/>
          <w:highlight w:val="none"/>
          <w:u w:val="none"/>
        </w:rPr>
      </w:pPr>
      <w:bookmarkStart w:id="0" w:name="_Toc216878095"/>
      <w:bookmarkStart w:id="1" w:name="_Toc231556938"/>
      <w:bookmarkStart w:id="2" w:name="_Toc220336223"/>
      <w:bookmarkStart w:id="3" w:name="_Toc208394461"/>
      <w:bookmarkStart w:id="4" w:name="_Toc200619361"/>
      <w:bookmarkStart w:id="5" w:name="_Toc208418932"/>
      <w:bookmarkStart w:id="6" w:name="_Toc204636455"/>
      <w:bookmarkStart w:id="7" w:name="_Toc232165543"/>
      <w:bookmarkStart w:id="8" w:name="_Toc208414973"/>
      <w:bookmarkStart w:id="9" w:name="_Toc200619256"/>
      <w:bookmarkStart w:id="10" w:name="_Toc215063784"/>
      <w:bookmarkStart w:id="11" w:name="_Toc205996220"/>
      <w:bookmarkStart w:id="12" w:name="_Toc231819259"/>
      <w:bookmarkStart w:id="13" w:name="_Toc221229294"/>
      <w:bookmarkStart w:id="14" w:name="_Toc204535156"/>
      <w:bookmarkStart w:id="15" w:name="_Toc200472508"/>
      <w:bookmarkStart w:id="16" w:name="_Toc200552606"/>
      <w:bookmarkStart w:id="17" w:name="_Toc224543754"/>
      <w:bookmarkStart w:id="18" w:name="_Toc208414101"/>
      <w:bookmarkStart w:id="19" w:name="_Toc221290529"/>
      <w:bookmarkStart w:id="20" w:name="_Toc2068200969"/>
      <w:bookmarkStart w:id="21" w:name="_Toc219055942"/>
      <w:bookmarkStart w:id="22" w:name="_Toc200470951"/>
      <w:bookmarkStart w:id="23" w:name="_Toc204674686"/>
      <w:bookmarkStart w:id="24" w:name="_Toc232410037"/>
      <w:bookmarkStart w:id="25" w:name="_Toc211350835"/>
      <w:bookmarkStart w:id="26" w:name="_Toc204175294"/>
      <w:bookmarkStart w:id="27" w:name="_Toc202364107"/>
      <w:bookmarkStart w:id="28" w:name="_Toc220399144"/>
      <w:r>
        <w:rPr>
          <w:rFonts w:hint="eastAsia" w:ascii="仿宋_GB2312" w:hAnsi="方正小标宋简体" w:cs="方正小标宋简体"/>
          <w:b/>
          <w:bCs/>
          <w:sz w:val="44"/>
          <w:szCs w:val="44"/>
          <w:highlight w:val="none"/>
          <w:u w:val="none"/>
        </w:rPr>
        <w:t>密云区</w:t>
      </w:r>
      <w:bookmarkStart w:id="29" w:name="_Hlk198115702"/>
      <w:r>
        <w:rPr>
          <w:rFonts w:hint="eastAsia" w:ascii="仿宋_GB2312" w:cs="Times New Roman"/>
          <w:b/>
          <w:bCs/>
          <w:sz w:val="44"/>
          <w:szCs w:val="44"/>
          <w:highlight w:val="none"/>
          <w:u w:val="none"/>
        </w:rPr>
        <w:t>“</w:t>
      </w:r>
      <w:r>
        <w:rPr>
          <w:rFonts w:hint="eastAsia" w:ascii="仿宋_GB2312" w:cs="方正小标宋简体"/>
          <w:b/>
          <w:bCs/>
          <w:sz w:val="44"/>
          <w:szCs w:val="44"/>
          <w:highlight w:val="none"/>
          <w:u w:val="none"/>
        </w:rPr>
        <w:t>十五五</w:t>
      </w:r>
      <w:r>
        <w:rPr>
          <w:rFonts w:hint="eastAsia" w:ascii="仿宋_GB2312" w:cs="Times New Roman"/>
          <w:b/>
          <w:bCs/>
          <w:sz w:val="44"/>
          <w:szCs w:val="44"/>
          <w:highlight w:val="none"/>
          <w:u w:val="none"/>
        </w:rPr>
        <w:t>”时期</w:t>
      </w:r>
      <w:r>
        <w:rPr>
          <w:rFonts w:hint="eastAsia" w:ascii="仿宋_GB2312" w:hAnsi="方正小标宋简体" w:cs="方正小标宋简体"/>
          <w:b/>
          <w:bCs/>
          <w:sz w:val="44"/>
          <w:szCs w:val="44"/>
          <w:highlight w:val="none"/>
          <w:u w:val="none"/>
        </w:rPr>
        <w:t>文化和旅游发展规划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2E438C60">
      <w:pPr>
        <w:ind w:left="0" w:leftChars="0" w:firstLine="0" w:firstLineChars="0"/>
        <w:jc w:val="center"/>
        <w:rPr>
          <w:rFonts w:hint="default" w:ascii="仿宋_GB2312" w:eastAsia="仿宋_GB2312"/>
          <w:szCs w:val="28"/>
          <w:highlight w:val="none"/>
          <w:u w:val="none"/>
          <w:lang w:val="en-US" w:eastAsia="zh-CN"/>
        </w:rPr>
      </w:pPr>
      <w:r>
        <w:rPr>
          <w:rFonts w:hint="eastAsia" w:ascii="仿宋_GB2312"/>
          <w:szCs w:val="28"/>
          <w:highlight w:val="none"/>
          <w:u w:val="none"/>
          <w:lang w:eastAsia="zh-CN"/>
        </w:rPr>
        <w:t>（</w:t>
      </w:r>
      <w:r>
        <w:rPr>
          <w:rFonts w:hint="eastAsia" w:ascii="仿宋_GB2312"/>
          <w:szCs w:val="28"/>
          <w:highlight w:val="none"/>
          <w:u w:val="none"/>
          <w:lang w:val="en-US" w:eastAsia="zh-CN"/>
        </w:rPr>
        <w:t>征求意见稿）</w:t>
      </w:r>
    </w:p>
    <w:p w14:paraId="2EEDB1EA">
      <w:pPr>
        <w:ind w:firstLine="640"/>
        <w:rPr>
          <w:highlight w:val="none"/>
          <w:u w:val="none"/>
        </w:rPr>
      </w:pPr>
    </w:p>
    <w:p w14:paraId="6F9D1187">
      <w:pPr>
        <w:ind w:firstLine="640"/>
        <w:rPr>
          <w:highlight w:val="none"/>
          <w:u w:val="none"/>
        </w:rPr>
      </w:pPr>
    </w:p>
    <w:p w14:paraId="7F1401EB">
      <w:pPr>
        <w:ind w:firstLine="640"/>
        <w:rPr>
          <w:highlight w:val="none"/>
          <w:u w:val="none"/>
        </w:rPr>
      </w:pPr>
    </w:p>
    <w:p w14:paraId="664AEE64">
      <w:pPr>
        <w:ind w:firstLine="640"/>
        <w:rPr>
          <w:highlight w:val="none"/>
          <w:u w:val="none"/>
        </w:rPr>
      </w:pPr>
    </w:p>
    <w:p w14:paraId="2C1FA11B">
      <w:pPr>
        <w:ind w:firstLine="640"/>
        <w:rPr>
          <w:highlight w:val="none"/>
          <w:u w:val="none"/>
        </w:rPr>
      </w:pPr>
    </w:p>
    <w:p w14:paraId="3AFA42F8">
      <w:pPr>
        <w:ind w:firstLine="211" w:firstLineChars="66"/>
        <w:rPr>
          <w:highlight w:val="none"/>
          <w:u w:val="none"/>
        </w:rPr>
      </w:pPr>
    </w:p>
    <w:p w14:paraId="32BB0451">
      <w:pPr>
        <w:ind w:firstLine="640"/>
        <w:rPr>
          <w:highlight w:val="none"/>
          <w:u w:val="none"/>
        </w:rPr>
      </w:pPr>
    </w:p>
    <w:p w14:paraId="48E3B06C">
      <w:pPr>
        <w:ind w:firstLine="0" w:firstLineChars="0"/>
        <w:rPr>
          <w:highlight w:val="none"/>
          <w:u w:val="none"/>
        </w:rPr>
      </w:pPr>
    </w:p>
    <w:p w14:paraId="0F6C5871">
      <w:pPr>
        <w:ind w:firstLine="0" w:firstLineChars="0"/>
        <w:rPr>
          <w:highlight w:val="none"/>
          <w:u w:val="none"/>
        </w:rPr>
      </w:pPr>
    </w:p>
    <w:p w14:paraId="0161A0F0">
      <w:pPr>
        <w:ind w:firstLine="0" w:firstLineChars="0"/>
        <w:rPr>
          <w:highlight w:val="none"/>
          <w:u w:val="none"/>
        </w:rPr>
      </w:pPr>
    </w:p>
    <w:p w14:paraId="68FDADD5">
      <w:pPr>
        <w:ind w:firstLine="0" w:firstLineChars="0"/>
        <w:rPr>
          <w:highlight w:val="none"/>
          <w:u w:val="none"/>
        </w:rPr>
      </w:pPr>
    </w:p>
    <w:p w14:paraId="1095E448">
      <w:pPr>
        <w:ind w:firstLine="0" w:firstLineChars="0"/>
        <w:jc w:val="center"/>
        <w:rPr>
          <w:rFonts w:ascii="仿宋_GB2312" w:hAnsi="楷体"/>
          <w:szCs w:val="30"/>
          <w:highlight w:val="none"/>
          <w:u w:val="none"/>
        </w:rPr>
      </w:pPr>
      <w:r>
        <w:rPr>
          <w:rFonts w:hint="eastAsia" w:ascii="仿宋_GB2312" w:hAnsi="楷体"/>
          <w:szCs w:val="30"/>
          <w:highlight w:val="none"/>
          <w:u w:val="none"/>
        </w:rPr>
        <w:t>密云区文化和旅游局</w:t>
      </w:r>
    </w:p>
    <w:p w14:paraId="2A737F7D">
      <w:pPr>
        <w:ind w:firstLine="0" w:firstLineChars="0"/>
        <w:jc w:val="center"/>
        <w:rPr>
          <w:rFonts w:ascii="仿宋_GB2312" w:hAnsi="楷体"/>
          <w:szCs w:val="30"/>
          <w:highlight w:val="none"/>
          <w:u w:val="none"/>
        </w:rPr>
      </w:pPr>
      <w:r>
        <w:rPr>
          <w:rFonts w:hint="eastAsia" w:ascii="仿宋_GB2312" w:hAnsi="楷体"/>
          <w:szCs w:val="30"/>
          <w:highlight w:val="none"/>
          <w:u w:val="none"/>
        </w:rPr>
        <w:t>202</w:t>
      </w:r>
      <w:r>
        <w:rPr>
          <w:rFonts w:ascii="仿宋_GB2312" w:hAnsi="楷体"/>
          <w:szCs w:val="30"/>
          <w:highlight w:val="none"/>
          <w:u w:val="none"/>
        </w:rPr>
        <w:t>6</w:t>
      </w:r>
      <w:r>
        <w:rPr>
          <w:rFonts w:hint="eastAsia" w:ascii="仿宋_GB2312" w:hAnsi="楷体"/>
          <w:szCs w:val="30"/>
          <w:highlight w:val="none"/>
          <w:u w:val="none"/>
        </w:rPr>
        <w:t>年</w:t>
      </w:r>
      <w:r>
        <w:rPr>
          <w:rFonts w:ascii="仿宋_GB2312" w:hAnsi="楷体"/>
          <w:szCs w:val="30"/>
          <w:highlight w:val="none"/>
          <w:u w:val="none"/>
        </w:rPr>
        <w:t>6</w:t>
      </w:r>
      <w:r>
        <w:rPr>
          <w:rFonts w:hint="eastAsia" w:ascii="仿宋_GB2312" w:hAnsi="楷体"/>
          <w:szCs w:val="30"/>
          <w:highlight w:val="none"/>
          <w:u w:val="none"/>
        </w:rPr>
        <w:t>月</w:t>
      </w:r>
    </w:p>
    <w:p w14:paraId="131510FE">
      <w:pPr>
        <w:ind w:firstLine="0" w:firstLineChars="0"/>
        <w:rPr>
          <w:highlight w:val="none"/>
          <w:u w:val="none"/>
        </w:rPr>
      </w:pPr>
    </w:p>
    <w:p w14:paraId="2750DDF9">
      <w:pPr>
        <w:pStyle w:val="14"/>
        <w:ind w:firstLine="602"/>
        <w:rPr>
          <w:highlight w:val="none"/>
          <w:u w:val="none"/>
        </w:rPr>
      </w:pPr>
    </w:p>
    <w:p w14:paraId="6EA384B5">
      <w:pPr>
        <w:pStyle w:val="14"/>
        <w:ind w:firstLine="602"/>
        <w:rPr>
          <w:rFonts w:hint="eastAsia" w:ascii="仿宋_GB2312" w:hAnsi="Times New Roman" w:eastAsia="仿宋_GB2312" w:cstheme="minorHAnsi"/>
          <w:b/>
          <w:bCs/>
          <w:caps/>
          <w:kern w:val="2"/>
          <w:sz w:val="30"/>
          <w:szCs w:val="30"/>
          <w:highlight w:val="none"/>
          <w:u w:val="none"/>
          <w:lang w:val="en-US" w:eastAsia="zh-CN" w:bidi="ar-SA"/>
        </w:rPr>
      </w:pPr>
      <w:r>
        <w:rPr>
          <w:rFonts w:hint="eastAsia"/>
          <w:sz w:val="32"/>
          <w:szCs w:val="32"/>
          <w:highlight w:val="none"/>
          <w:u w:val="none"/>
        </w:rPr>
        <w:t>目 录</w:t>
      </w:r>
      <w:r>
        <w:rPr>
          <w:rFonts w:hint="eastAsia"/>
          <w:highlight w:val="none"/>
          <w:u w:val="none"/>
        </w:rPr>
        <w:fldChar w:fldCharType="begin"/>
      </w:r>
      <w:r>
        <w:rPr>
          <w:rFonts w:hint="eastAsia"/>
          <w:highlight w:val="none"/>
          <w:u w:val="none"/>
        </w:rPr>
        <w:instrText xml:space="preserve"> TOC \o "1-3" \u  \* MERGEFORMAT </w:instrText>
      </w:r>
      <w:r>
        <w:rPr>
          <w:rFonts w:hint="eastAsia"/>
          <w:highlight w:val="none"/>
          <w:u w:val="none"/>
        </w:rPr>
        <w:fldChar w:fldCharType="separate"/>
      </w:r>
    </w:p>
    <w:p w14:paraId="28B45529">
      <w:pPr>
        <w:pStyle w:val="14"/>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u w:val="none"/>
          <w:lang w:val="en-US" w:eastAsia="zh-CN"/>
        </w:rPr>
      </w:pPr>
      <w:r>
        <w:rPr>
          <w:rFonts w:hint="eastAsia" w:ascii="仿宋_GB2312" w:hAnsi="仿宋_GB2312" w:eastAsia="仿宋_GB2312" w:cs="仿宋_GB2312"/>
          <w:sz w:val="32"/>
          <w:szCs w:val="32"/>
          <w:highlight w:val="none"/>
          <w:u w:val="none"/>
        </w:rPr>
        <w:t>第一章  密云区“十四五”文化和旅游发展回顾</w:t>
      </w:r>
      <w:r>
        <w:rPr>
          <w:rFonts w:hint="eastAsia" w:ascii="仿宋_GB2312" w:hAnsi="仿宋_GB2312" w:eastAsia="仿宋_GB2312" w:cs="仿宋_GB2312"/>
          <w:u w:val="none"/>
        </w:rPr>
        <w:tab/>
      </w:r>
      <w:r>
        <w:rPr>
          <w:rFonts w:hint="eastAsia" w:hAnsi="仿宋_GB2312" w:cs="仿宋_GB2312"/>
          <w:u w:val="none"/>
          <w:lang w:val="en-US" w:eastAsia="zh-CN"/>
        </w:rPr>
        <w:t>2</w:t>
      </w:r>
    </w:p>
    <w:p w14:paraId="4C574F39">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highlight w:val="none"/>
          <w:u w:val="none"/>
        </w:rPr>
        <w:t>一、文化事业繁荣发展，遗产保护持续加强</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2</w:t>
      </w:r>
    </w:p>
    <w:p w14:paraId="44BF0232">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二、文旅产业规模扩大，产业融合不断推进</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w:t>
      </w:r>
    </w:p>
    <w:p w14:paraId="0F389AC9">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三、营销方式丰富多样，品牌形象不断提升</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5</w:t>
      </w:r>
    </w:p>
    <w:p w14:paraId="68203127">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四、市场治理能力强化，文旅市场秩序规范</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6</w:t>
      </w:r>
    </w:p>
    <w:p w14:paraId="0C407F55">
      <w:pPr>
        <w:pStyle w:val="14"/>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第二章 密云区“十五五”文化和旅游发展形势</w:t>
      </w:r>
      <w:r>
        <w:rPr>
          <w:rFonts w:hint="eastAsia" w:ascii="仿宋_GB2312" w:hAnsi="仿宋_GB2312" w:eastAsia="仿宋_GB2312" w:cs="仿宋_GB2312"/>
          <w:sz w:val="32"/>
          <w:szCs w:val="32"/>
          <w:u w:val="none"/>
        </w:rPr>
        <w:tab/>
      </w:r>
      <w:r>
        <w:rPr>
          <w:rFonts w:hint="eastAsia" w:hAnsi="仿宋_GB2312" w:cs="仿宋_GB2312"/>
          <w:sz w:val="32"/>
          <w:szCs w:val="32"/>
          <w:u w:val="none"/>
          <w:lang w:val="en-US" w:eastAsia="zh-CN"/>
        </w:rPr>
        <w:t>8</w:t>
      </w:r>
    </w:p>
    <w:p w14:paraId="7BED444C">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一、发展机遇</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8</w:t>
      </w:r>
    </w:p>
    <w:p w14:paraId="720635B6">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二、面临挑战</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9</w:t>
      </w:r>
    </w:p>
    <w:p w14:paraId="1292AE81">
      <w:pPr>
        <w:pStyle w:val="14"/>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第三章 密云区</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十五五”文化和旅游发展总体要求</w:t>
      </w:r>
      <w:r>
        <w:rPr>
          <w:rFonts w:hint="eastAsia" w:ascii="仿宋_GB2312" w:hAnsi="仿宋_GB2312" w:eastAsia="仿宋_GB2312" w:cs="仿宋_GB2312"/>
          <w:sz w:val="32"/>
          <w:szCs w:val="32"/>
          <w:u w:val="none"/>
        </w:rPr>
        <w:tab/>
      </w:r>
      <w:r>
        <w:rPr>
          <w:rFonts w:hint="eastAsia" w:hAnsi="仿宋_GB2312" w:cs="仿宋_GB2312"/>
          <w:sz w:val="32"/>
          <w:szCs w:val="32"/>
          <w:u w:val="none"/>
          <w:lang w:val="en-US" w:eastAsia="zh-CN"/>
        </w:rPr>
        <w:t>11</w:t>
      </w:r>
    </w:p>
    <w:p w14:paraId="48A2459B">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一、指导思想</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11</w:t>
      </w:r>
    </w:p>
    <w:p w14:paraId="75C71341">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二、基本原则</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11</w:t>
      </w:r>
    </w:p>
    <w:p w14:paraId="275D0A7F">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三、发展目标</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12</w:t>
      </w:r>
    </w:p>
    <w:p w14:paraId="7F770AA8">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四、空间布局</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13</w:t>
      </w:r>
    </w:p>
    <w:p w14:paraId="2CF102C2">
      <w:pPr>
        <w:pStyle w:val="14"/>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第四章 密云区“十五五”文化和旅游发展主要任务</w:t>
      </w:r>
      <w:r>
        <w:rPr>
          <w:rFonts w:hint="eastAsia" w:ascii="仿宋_GB2312" w:hAnsi="仿宋_GB2312" w:eastAsia="仿宋_GB2312" w:cs="仿宋_GB2312"/>
          <w:sz w:val="32"/>
          <w:szCs w:val="32"/>
          <w:u w:val="none"/>
        </w:rPr>
        <w:tab/>
      </w:r>
      <w:r>
        <w:rPr>
          <w:rFonts w:hint="eastAsia" w:hAnsi="仿宋_GB2312" w:cs="仿宋_GB2312"/>
          <w:sz w:val="32"/>
          <w:szCs w:val="32"/>
          <w:u w:val="none"/>
          <w:lang w:val="en-US" w:eastAsia="zh-CN"/>
        </w:rPr>
        <w:t>16</w:t>
      </w:r>
    </w:p>
    <w:p w14:paraId="6299DFE0">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一、深耕文化事业发展，强化文化遗产保护传承</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16</w:t>
      </w:r>
    </w:p>
    <w:p w14:paraId="11FF72E9">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highlight w:val="none"/>
          <w:u w:val="none"/>
        </w:rPr>
        <w:t>二、构建多元产品体系，丰富业态供给内涵</w:t>
      </w:r>
      <w:r>
        <w:rPr>
          <w:rFonts w:hint="eastAsia" w:ascii="仿宋_GB2312" w:hAnsi="仿宋_GB2312" w:eastAsia="仿宋_GB2312" w:cs="仿宋_GB2312"/>
          <w:color w:val="auto"/>
          <w:sz w:val="32"/>
          <w:szCs w:val="32"/>
          <w:u w:val="none"/>
        </w:rPr>
        <w:tab/>
      </w:r>
      <w:r>
        <w:rPr>
          <w:rFonts w:hint="eastAsia" w:ascii="仿宋_GB2312" w:hAnsi="仿宋_GB2312" w:cs="仿宋_GB2312"/>
          <w:color w:val="auto"/>
          <w:sz w:val="32"/>
          <w:szCs w:val="32"/>
          <w:u w:val="none"/>
          <w:lang w:val="en-US" w:eastAsia="zh-CN"/>
        </w:rPr>
        <w:t>19</w:t>
      </w:r>
    </w:p>
    <w:p w14:paraId="44D32DAB">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highlight w:val="none"/>
          <w:u w:val="none"/>
        </w:rPr>
        <w:t>三、提质乡村旅游发展，深化多业态融合</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28</w:t>
      </w:r>
    </w:p>
    <w:p w14:paraId="7BD8D855">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四</w:t>
      </w:r>
      <w:r>
        <w:rPr>
          <w:rFonts w:hint="eastAsia" w:ascii="仿宋_GB2312" w:hAnsi="仿宋_GB2312" w:eastAsia="仿宋_GB2312" w:cs="仿宋_GB2312"/>
          <w:sz w:val="32"/>
          <w:szCs w:val="32"/>
          <w:highlight w:val="none"/>
          <w:u w:val="none"/>
        </w:rPr>
        <w:t>、盘活存量文旅资源，实施重大项目带动战略</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31</w:t>
      </w:r>
    </w:p>
    <w:p w14:paraId="25D537AB">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eastAsia" w:ascii="仿宋_GB2312" w:hAnsi="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五</w:t>
      </w:r>
      <w:r>
        <w:rPr>
          <w:rFonts w:hint="eastAsia" w:ascii="仿宋_GB2312" w:hAnsi="仿宋_GB2312" w:eastAsia="仿宋_GB2312" w:cs="仿宋_GB2312"/>
          <w:sz w:val="32"/>
          <w:szCs w:val="32"/>
          <w:highlight w:val="none"/>
          <w:u w:val="none"/>
        </w:rPr>
        <w:t>、强化品牌宣传营销，增强区域影响力​</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32</w:t>
      </w:r>
    </w:p>
    <w:p w14:paraId="7D822C39">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六</w:t>
      </w:r>
      <w:r>
        <w:rPr>
          <w:rFonts w:hint="eastAsia" w:ascii="仿宋_GB2312" w:hAnsi="仿宋_GB2312" w:eastAsia="仿宋_GB2312" w:cs="仿宋_GB2312"/>
          <w:sz w:val="32"/>
          <w:szCs w:val="32"/>
          <w:highlight w:val="none"/>
          <w:u w:val="none"/>
        </w:rPr>
        <w:t>、加强行业市场管理，优化旅游发展环境​</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34</w:t>
      </w:r>
    </w:p>
    <w:p w14:paraId="0C26FFA4">
      <w:pPr>
        <w:pStyle w:val="14"/>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hAnsi="仿宋_GB2312" w:cs="仿宋_GB2312"/>
          <w:sz w:val="32"/>
          <w:szCs w:val="32"/>
          <w:u w:val="none"/>
          <w:lang w:val="en-US" w:eastAsia="zh-CN"/>
        </w:rPr>
      </w:pPr>
      <w:r>
        <w:rPr>
          <w:rFonts w:hint="eastAsia" w:ascii="仿宋_GB2312" w:hAnsi="仿宋_GB2312" w:eastAsia="仿宋_GB2312" w:cs="仿宋_GB2312"/>
          <w:sz w:val="32"/>
          <w:szCs w:val="32"/>
          <w:highlight w:val="none"/>
          <w:u w:val="none"/>
        </w:rPr>
        <w:t>第五章 密云区“十五五”文化和旅游发展保障措施</w:t>
      </w:r>
      <w:r>
        <w:rPr>
          <w:rFonts w:hint="eastAsia" w:ascii="仿宋_GB2312" w:hAnsi="仿宋_GB2312" w:eastAsia="仿宋_GB2312" w:cs="仿宋_GB2312"/>
          <w:sz w:val="32"/>
          <w:szCs w:val="32"/>
          <w:u w:val="none"/>
        </w:rPr>
        <w:tab/>
      </w:r>
      <w:r>
        <w:rPr>
          <w:rFonts w:hint="eastAsia" w:hAnsi="仿宋_GB2312" w:cs="仿宋_GB2312"/>
          <w:sz w:val="32"/>
          <w:szCs w:val="32"/>
          <w:u w:val="none"/>
          <w:lang w:val="en-US" w:eastAsia="zh-CN"/>
        </w:rPr>
        <w:t>36</w:t>
      </w:r>
    </w:p>
    <w:p w14:paraId="7119AE69">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rPr>
      </w:pPr>
      <w:r>
        <w:rPr>
          <w:rFonts w:hint="eastAsia" w:ascii="仿宋_GB2312" w:hAnsi="仿宋_GB2312" w:eastAsia="仿宋_GB2312" w:cs="仿宋_GB2312"/>
          <w:sz w:val="32"/>
          <w:szCs w:val="32"/>
          <w:highlight w:val="none"/>
          <w:u w:val="none"/>
        </w:rPr>
        <w:t>一、强化组织领导，统筹协调推进​</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36</w:t>
      </w:r>
    </w:p>
    <w:p w14:paraId="1BE8A972">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二</w:t>
      </w:r>
      <w:r>
        <w:rPr>
          <w:rFonts w:hint="eastAsia" w:ascii="仿宋_GB2312" w:hAnsi="仿宋_GB2312" w:eastAsia="仿宋_GB2312" w:cs="仿宋_GB2312"/>
          <w:sz w:val="32"/>
          <w:szCs w:val="32"/>
          <w:highlight w:val="none"/>
          <w:u w:val="none"/>
        </w:rPr>
        <w:t>、</w:t>
      </w:r>
      <w:r>
        <w:rPr>
          <w:rFonts w:hint="eastAsia" w:ascii="仿宋_GB2312" w:hAnsi="仿宋_GB2312" w:cs="仿宋_GB2312"/>
          <w:sz w:val="32"/>
          <w:szCs w:val="32"/>
          <w:highlight w:val="none"/>
          <w:u w:val="none"/>
          <w:lang w:val="en-US" w:eastAsia="zh-CN"/>
        </w:rPr>
        <w:t>完善政策体系，优化发展环境</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36</w:t>
      </w:r>
    </w:p>
    <w:p w14:paraId="1F0B8C52">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三、</w:t>
      </w:r>
      <w:r>
        <w:rPr>
          <w:rFonts w:hint="eastAsia" w:ascii="仿宋_GB2312" w:hAnsi="仿宋_GB2312" w:eastAsia="仿宋_GB2312" w:cs="仿宋_GB2312"/>
          <w:sz w:val="32"/>
          <w:szCs w:val="32"/>
          <w:highlight w:val="none"/>
          <w:u w:val="none"/>
        </w:rPr>
        <w:t>拓宽融资渠道，保障资金投入​</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36</w:t>
      </w:r>
    </w:p>
    <w:p w14:paraId="7BDF0732">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四</w:t>
      </w:r>
      <w:r>
        <w:rPr>
          <w:rFonts w:hint="eastAsia" w:ascii="仿宋_GB2312" w:hAnsi="仿宋_GB2312" w:eastAsia="仿宋_GB2312" w:cs="仿宋_GB2312"/>
          <w:sz w:val="32"/>
          <w:szCs w:val="32"/>
          <w:highlight w:val="none"/>
          <w:u w:val="none"/>
        </w:rPr>
        <w:t>、加强人才培养，提升服务水平​</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37</w:t>
      </w:r>
    </w:p>
    <w:p w14:paraId="5FB61F7F">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五</w:t>
      </w:r>
      <w:r>
        <w:rPr>
          <w:rFonts w:hint="eastAsia" w:ascii="仿宋_GB2312" w:hAnsi="仿宋_GB2312" w:eastAsia="仿宋_GB2312" w:cs="仿宋_GB2312"/>
          <w:sz w:val="32"/>
          <w:szCs w:val="32"/>
          <w:highlight w:val="none"/>
          <w:u w:val="none"/>
        </w:rPr>
        <w:t>、加强安全监管，保障文旅安全​</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37</w:t>
      </w:r>
    </w:p>
    <w:p w14:paraId="730225F7">
      <w:pPr>
        <w:pStyle w:val="17"/>
        <w:keepNext w:val="0"/>
        <w:keepLines w:val="0"/>
        <w:pageBreakBefore w:val="0"/>
        <w:widowControl w:val="0"/>
        <w:tabs>
          <w:tab w:val="right" w:leader="dot" w:pos="8844"/>
          <w:tab w:val="clear" w:pos="8834"/>
        </w:tabs>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cs="仿宋_GB2312"/>
          <w:sz w:val="32"/>
          <w:szCs w:val="32"/>
          <w:highlight w:val="none"/>
          <w:u w:val="none"/>
          <w:lang w:val="en-US" w:eastAsia="zh-CN"/>
        </w:rPr>
        <w:t>六</w:t>
      </w:r>
      <w:r>
        <w:rPr>
          <w:rFonts w:hint="eastAsia" w:ascii="仿宋_GB2312" w:hAnsi="仿宋_GB2312" w:eastAsia="仿宋_GB2312" w:cs="仿宋_GB2312"/>
          <w:sz w:val="32"/>
          <w:szCs w:val="32"/>
          <w:highlight w:val="none"/>
          <w:u w:val="none"/>
        </w:rPr>
        <w:t>、强化监测评估，确保规划落实​</w:t>
      </w:r>
      <w:r>
        <w:rPr>
          <w:rFonts w:hint="eastAsia" w:ascii="仿宋_GB2312" w:hAnsi="仿宋_GB2312" w:eastAsia="仿宋_GB2312" w:cs="仿宋_GB2312"/>
          <w:sz w:val="32"/>
          <w:szCs w:val="32"/>
          <w:u w:val="none"/>
        </w:rPr>
        <w:tab/>
      </w:r>
      <w:r>
        <w:rPr>
          <w:rFonts w:hint="eastAsia" w:ascii="仿宋_GB2312" w:hAnsi="仿宋_GB2312" w:cs="仿宋_GB2312"/>
          <w:sz w:val="32"/>
          <w:szCs w:val="32"/>
          <w:u w:val="none"/>
          <w:lang w:val="en-US" w:eastAsia="zh-CN"/>
        </w:rPr>
        <w:t>37</w:t>
      </w:r>
    </w:p>
    <w:p w14:paraId="24FA388C">
      <w:pPr>
        <w:pStyle w:val="14"/>
        <w:tabs>
          <w:tab w:val="right" w:leader="dot" w:pos="8844"/>
          <w:tab w:val="clear" w:pos="8834"/>
        </w:tabs>
        <w:jc w:val="left"/>
        <w:rPr>
          <w:rFonts w:hint="default" w:eastAsia="仿宋_GB2312"/>
          <w:highlight w:val="none"/>
          <w:u w:val="none"/>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pgNumType w:fmt="numberInDash" w:start="1"/>
          <w:cols w:space="425" w:num="1"/>
          <w:titlePg/>
          <w:docGrid w:type="lines" w:linePitch="408" w:charSpace="0"/>
        </w:sectPr>
      </w:pPr>
      <w:r>
        <w:rPr>
          <w:rFonts w:hint="eastAsia" w:ascii="仿宋_GB2312" w:hAnsi="仿宋_GB2312" w:eastAsia="仿宋_GB2312" w:cs="仿宋_GB2312"/>
          <w:bCs w:val="0"/>
          <w:sz w:val="32"/>
          <w:szCs w:val="32"/>
          <w:highlight w:val="none"/>
          <w:u w:val="none"/>
        </w:rPr>
        <w:t>附件：密云区“十五五”时期文化和旅游项目储备库</w:t>
      </w:r>
      <w:r>
        <w:rPr>
          <w:rFonts w:hint="eastAsia" w:ascii="仿宋_GB2312" w:hAnsi="仿宋_GB2312" w:eastAsia="仿宋_GB2312" w:cs="仿宋_GB2312"/>
          <w:sz w:val="32"/>
          <w:szCs w:val="32"/>
          <w:u w:val="none"/>
        </w:rPr>
        <w:tab/>
      </w:r>
      <w:r>
        <w:rPr>
          <w:rFonts w:hint="eastAsia"/>
          <w:highlight w:val="none"/>
          <w:u w:val="none"/>
        </w:rPr>
        <w:fldChar w:fldCharType="end"/>
      </w:r>
      <w:r>
        <w:rPr>
          <w:rFonts w:hint="eastAsia"/>
          <w:sz w:val="32"/>
          <w:szCs w:val="32"/>
          <w:u w:val="none"/>
          <w:lang w:val="en-US" w:eastAsia="zh-CN"/>
        </w:rPr>
        <w:t>38</w:t>
      </w:r>
    </w:p>
    <w:p w14:paraId="48AEEC55">
      <w:pPr>
        <w:ind w:firstLine="0" w:firstLineChars="0"/>
        <w:jc w:val="center"/>
        <w:rPr>
          <w:rFonts w:ascii="楷体" w:hAnsi="楷体" w:eastAsia="楷体"/>
          <w:b/>
          <w:bCs/>
          <w:szCs w:val="32"/>
          <w:highlight w:val="none"/>
          <w:u w:val="none"/>
        </w:rPr>
      </w:pPr>
      <w:bookmarkStart w:id="30" w:name="_Toc200472509"/>
      <w:bookmarkStart w:id="31" w:name="_Toc200552607"/>
      <w:bookmarkStart w:id="32" w:name="_Toc200619362"/>
      <w:bookmarkStart w:id="33" w:name="_Toc200619257"/>
      <w:bookmarkStart w:id="34" w:name="_Toc200470952"/>
      <w:bookmarkStart w:id="35" w:name="OLE_LINK16"/>
      <w:r>
        <w:rPr>
          <w:rFonts w:ascii="楷体" w:hAnsi="楷体" w:eastAsia="楷体"/>
          <w:b/>
          <w:bCs/>
          <w:szCs w:val="32"/>
          <w:highlight w:val="none"/>
          <w:u w:val="none"/>
        </w:rPr>
        <w:t>前</w:t>
      </w:r>
      <w:r>
        <w:rPr>
          <w:rFonts w:hint="eastAsia" w:ascii="楷体" w:hAnsi="楷体" w:eastAsia="楷体"/>
          <w:b/>
          <w:bCs/>
          <w:szCs w:val="32"/>
          <w:highlight w:val="none"/>
          <w:u w:val="none"/>
        </w:rPr>
        <w:t xml:space="preserve"> </w:t>
      </w:r>
      <w:r>
        <w:rPr>
          <w:rFonts w:ascii="楷体" w:hAnsi="楷体" w:eastAsia="楷体"/>
          <w:b/>
          <w:bCs/>
          <w:szCs w:val="32"/>
          <w:highlight w:val="none"/>
          <w:u w:val="none"/>
        </w:rPr>
        <w:t>言</w:t>
      </w:r>
      <w:bookmarkEnd w:id="30"/>
      <w:bookmarkEnd w:id="31"/>
      <w:bookmarkEnd w:id="32"/>
      <w:bookmarkEnd w:id="33"/>
      <w:bookmarkEnd w:id="34"/>
    </w:p>
    <w:p w14:paraId="154F0F11">
      <w:pPr>
        <w:ind w:firstLine="640"/>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十五五”时期是北京率先基本实现社会主义现代化的关键阶段，也是密云深入落实习近平总书记重要回信嘱托，统筹生态保护与高质量发展的攻坚期。科学编制文旅专项规划，对我区打造首都生态文明建设金名片、实现发展新跨越具有重要意义。</w:t>
      </w:r>
    </w:p>
    <w:p w14:paraId="4E8E9D43">
      <w:pPr>
        <w:ind w:firstLine="640"/>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本规划以习近平新时代中国特色社会主义思想为指导，对标市区两级“十五五”规划建议，衔接城市总体规划、密云分区规划，依据《北京市“十五五”时期文化和旅游发展规划》《密云区国民经济和社会发展第十五个五年规划纲要》《密云区全域旅游提质升级行动计划（2025—2027）》编制，是未来五年密云文旅发展的指导性文件。</w:t>
      </w:r>
    </w:p>
    <w:p w14:paraId="50237271">
      <w:pPr>
        <w:ind w:firstLine="640"/>
        <w:rPr>
          <w:rFonts w:hint="eastAsia" w:ascii="仿宋_GB2312" w:hAnsi="仿宋_GB2312" w:eastAsia="仿宋_GB2312" w:cs="仿宋_GB2312"/>
          <w:highlight w:val="none"/>
          <w:u w:val="none"/>
        </w:rPr>
        <w:sectPr>
          <w:footerReference r:id="rId12" w:type="first"/>
          <w:footerReference r:id="rId11" w:type="default"/>
          <w:pgSz w:w="11906" w:h="16838"/>
          <w:pgMar w:top="2098" w:right="1474" w:bottom="1985" w:left="1588" w:header="851" w:footer="992" w:gutter="0"/>
          <w:pgNumType w:fmt="numberInDash" w:start="1"/>
          <w:cols w:space="425" w:num="1"/>
          <w:titlePg/>
          <w:docGrid w:type="lines" w:linePitch="408" w:charSpace="0"/>
        </w:sectPr>
      </w:pPr>
      <w:r>
        <w:rPr>
          <w:rFonts w:hint="eastAsia" w:ascii="仿宋_GB2312" w:hAnsi="仿宋_GB2312" w:eastAsia="仿宋_GB2312" w:cs="仿宋_GB2312"/>
          <w:highlight w:val="none"/>
          <w:u w:val="none"/>
        </w:rPr>
        <w:t>“十四五”期间，密云区文旅产业规模、附加值与游客满意度稳步提升，发展基础持续夯实。同时，我区仍存在产业链偏短、产品同质化、存量资源盘活不足、生态与产业协同不够等短板，亟需在“十五五”阶段集中突破。本规划立足区域定位与资源禀赋，明确文旅发展总体思路、主要任务与保障举措，推动发展模式转型升级，持续放大生态人文优势，全面提升产业效益与服务品质，助力密云建设京津冀及京郊微度假首选目的地，打响“来密云看海”文旅品牌，为全区经济社会高质量发展赋能。</w:t>
      </w:r>
      <w:bookmarkEnd w:id="35"/>
      <w:bookmarkStart w:id="36" w:name="_Toc202364108"/>
      <w:bookmarkStart w:id="37" w:name="_Toc200619258"/>
      <w:bookmarkStart w:id="38" w:name="_Toc200552608"/>
    </w:p>
    <w:p w14:paraId="30F6E82A">
      <w:pPr>
        <w:pStyle w:val="3"/>
        <w:pageBreakBefore w:val="0"/>
        <w:kinsoku/>
        <w:wordWrap/>
        <w:overflowPunct/>
        <w:topLinePunct w:val="0"/>
        <w:autoSpaceDE/>
        <w:autoSpaceDN/>
        <w:bidi w:val="0"/>
        <w:adjustRightInd/>
        <w:snapToGrid/>
        <w:spacing w:line="560" w:lineRule="exact"/>
        <w:ind w:firstLine="198" w:firstLineChars="62"/>
        <w:textAlignment w:val="auto"/>
        <w:rPr>
          <w:highlight w:val="none"/>
          <w:u w:val="none"/>
        </w:rPr>
      </w:pPr>
      <w:bookmarkStart w:id="39" w:name="_Toc1083375641"/>
      <w:r>
        <w:rPr>
          <w:rFonts w:hint="eastAsia"/>
          <w:highlight w:val="none"/>
          <w:u w:val="none"/>
        </w:rPr>
        <w:t xml:space="preserve">第一章 </w:t>
      </w:r>
      <w:r>
        <w:rPr>
          <w:highlight w:val="none"/>
          <w:u w:val="none"/>
        </w:rPr>
        <w:t xml:space="preserve"> </w:t>
      </w:r>
      <w:r>
        <w:rPr>
          <w:rFonts w:hint="eastAsia"/>
          <w:highlight w:val="none"/>
          <w:u w:val="none"/>
        </w:rPr>
        <w:t>密云区“十四五”文化和旅游发展回顾</w:t>
      </w:r>
      <w:bookmarkEnd w:id="36"/>
      <w:bookmarkEnd w:id="37"/>
      <w:bookmarkEnd w:id="38"/>
      <w:bookmarkEnd w:id="39"/>
    </w:p>
    <w:p w14:paraId="1A7E6B84">
      <w:pPr>
        <w:pStyle w:val="4"/>
        <w:pageBreakBefore w:val="0"/>
        <w:kinsoku/>
        <w:wordWrap/>
        <w:overflowPunct/>
        <w:topLinePunct w:val="0"/>
        <w:autoSpaceDE/>
        <w:autoSpaceDN/>
        <w:bidi w:val="0"/>
        <w:adjustRightInd/>
        <w:snapToGrid/>
        <w:spacing w:line="560" w:lineRule="exact"/>
        <w:ind w:firstLine="640"/>
        <w:textAlignment w:val="auto"/>
        <w:rPr>
          <w:rFonts w:hint="eastAsia"/>
          <w:highlight w:val="none"/>
          <w:u w:val="none"/>
        </w:rPr>
      </w:pPr>
      <w:bookmarkStart w:id="40" w:name="_Toc202364110"/>
      <w:bookmarkStart w:id="41" w:name="_Toc1928039021"/>
      <w:bookmarkStart w:id="42" w:name="_Toc215063787"/>
      <w:bookmarkStart w:id="43" w:name="_Toc216878098"/>
      <w:bookmarkStart w:id="44" w:name="_Toc219055945"/>
      <w:bookmarkStart w:id="45" w:name="_Toc211350838"/>
      <w:bookmarkStart w:id="46" w:name="_Toc200619260"/>
      <w:bookmarkStart w:id="47" w:name="_Toc200552610"/>
      <w:r>
        <w:rPr>
          <w:rFonts w:hint="eastAsia"/>
          <w:highlight w:val="none"/>
          <w:u w:val="none"/>
        </w:rPr>
        <w:t>一、</w:t>
      </w:r>
      <w:bookmarkEnd w:id="40"/>
      <w:bookmarkEnd w:id="41"/>
      <w:bookmarkEnd w:id="42"/>
      <w:bookmarkEnd w:id="43"/>
      <w:bookmarkEnd w:id="44"/>
      <w:bookmarkEnd w:id="45"/>
      <w:bookmarkEnd w:id="46"/>
      <w:bookmarkEnd w:id="47"/>
      <w:r>
        <w:rPr>
          <w:rFonts w:hint="eastAsia"/>
          <w:highlight w:val="none"/>
          <w:u w:val="none"/>
        </w:rPr>
        <w:t>文化事业繁荣发展，遗产保护持续加强</w:t>
      </w:r>
    </w:p>
    <w:p w14:paraId="64F9C54F">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b/>
          <w:bCs/>
          <w:highlight w:val="none"/>
          <w:u w:val="none"/>
        </w:rPr>
        <w:t>公共文化服务全面提质。</w:t>
      </w:r>
      <w:r>
        <w:rPr>
          <w:rFonts w:hint="eastAsia" w:ascii="仿宋_GB2312" w:hAnsi="仿宋_GB2312" w:eastAsia="仿宋_GB2312" w:cs="仿宋_GB2312"/>
          <w:highlight w:val="none"/>
          <w:u w:val="none"/>
        </w:rPr>
        <w:t>“十四五”期间，密云区文化事业实现高质量发展，</w:t>
      </w:r>
      <w:r>
        <w:rPr>
          <w:rFonts w:hint="eastAsia" w:ascii="仿宋_GB2312" w:hAnsi="仿宋_GB2312" w:eastAsia="仿宋_GB2312" w:cs="仿宋_GB2312"/>
          <w:highlight w:val="none"/>
          <w:u w:val="none"/>
          <w:lang w:val="en-US" w:eastAsia="zh-CN"/>
        </w:rPr>
        <w:t>密云区</w:t>
      </w:r>
      <w:r>
        <w:rPr>
          <w:rFonts w:hint="eastAsia" w:ascii="仿宋_GB2312" w:hAnsi="仿宋_GB2312" w:eastAsia="仿宋_GB2312" w:cs="仿宋_GB2312"/>
          <w:highlight w:val="none"/>
          <w:u w:val="none"/>
        </w:rPr>
        <w:t>以</w:t>
      </w:r>
      <w:r>
        <w:rPr>
          <w:rFonts w:hint="eastAsia" w:ascii="仿宋_GB2312" w:hAnsi="仿宋_GB2312" w:eastAsia="仿宋_GB2312" w:cs="仿宋_GB2312"/>
          <w:highlight w:val="none"/>
          <w:u w:val="none"/>
          <w:lang w:val="en-US" w:eastAsia="zh-CN"/>
        </w:rPr>
        <w:t>成功</w:t>
      </w:r>
      <w:r>
        <w:rPr>
          <w:rFonts w:hint="eastAsia" w:ascii="仿宋_GB2312" w:hAnsi="仿宋_GB2312" w:eastAsia="仿宋_GB2312" w:cs="仿宋_GB2312"/>
          <w:highlight w:val="none"/>
          <w:u w:val="none"/>
        </w:rPr>
        <w:t>创建首批“北京市公共文化服务体系示范区”为契机，建成“三馆一中心”区级设施体系；20个镇街综合文化中心和384个村（社区）综合文化室实现全覆盖，配套392个文化广场，人均公共文化设施建筑面积达2.88平方米，位居全市第3位。全区培育、挖掘文化能人401名，培育镇街品牌队伍100余支。深化区镇村三级总分馆服务机制，推动文化优质资源直达基层，年均开展惠民活动2000余场，惠及群众超80万人次，有效打通文化服务“最后一公里”。</w:t>
      </w:r>
      <w:r>
        <w:rPr>
          <w:rFonts w:hint="eastAsia" w:ascii="仿宋_GB2312" w:hAnsi="仿宋_GB2312" w:eastAsia="仿宋_GB2312" w:cs="仿宋_GB2312"/>
          <w:highlight w:val="none"/>
          <w:u w:val="none"/>
          <w:lang w:val="en-US" w:eastAsia="zh-CN"/>
        </w:rPr>
        <w:t>打造</w:t>
      </w:r>
      <w:r>
        <w:rPr>
          <w:rFonts w:hint="eastAsia" w:ascii="仿宋_GB2312" w:hAnsi="仿宋_GB2312" w:eastAsia="仿宋_GB2312" w:cs="仿宋_GB2312"/>
          <w:highlight w:val="none"/>
          <w:u w:val="none"/>
        </w:rPr>
        <w:t>“密云文化云平台”，常态化开展线上展览、直播展演</w:t>
      </w:r>
      <w:r>
        <w:rPr>
          <w:rFonts w:hint="eastAsia" w:ascii="仿宋_GB2312" w:hAnsi="仿宋_GB2312" w:eastAsia="仿宋_GB2312" w:cs="仿宋_GB2312"/>
          <w:highlight w:val="none"/>
          <w:u w:val="none"/>
          <w:lang w:eastAsia="zh-CN"/>
        </w:rPr>
        <w:t>、</w:t>
      </w:r>
      <w:r>
        <w:rPr>
          <w:rFonts w:hint="eastAsia" w:ascii="仿宋_GB2312" w:hAnsi="仿宋_GB2312" w:eastAsia="仿宋_GB2312" w:cs="仿宋_GB2312"/>
          <w:highlight w:val="none"/>
          <w:u w:val="none"/>
        </w:rPr>
        <w:t>数字讲堂等各类线上活动300余场，累计服务群众超300万人次。</w:t>
      </w:r>
    </w:p>
    <w:p w14:paraId="0CF42CE5">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b/>
          <w:bCs/>
          <w:highlight w:val="none"/>
          <w:u w:val="none"/>
        </w:rPr>
        <w:t>文物保护持续推进。</w:t>
      </w:r>
      <w:r>
        <w:rPr>
          <w:rFonts w:hint="eastAsia" w:ascii="仿宋_GB2312" w:hAnsi="仿宋_GB2312" w:eastAsia="仿宋_GB2312" w:cs="仿宋_GB2312"/>
          <w:highlight w:val="none"/>
          <w:u w:val="none"/>
        </w:rPr>
        <w:t>全面开展第四次全国文物普查，复查 333处不可移动文物，调查认定新发现文物，建立动态管理数据库；公布密云区第六批区级文保单位，划定保护范围与建设控制地带，完善文保单位体系。编制《长城文化旅游发展带专项规划》，构建“一线一核、两带四片、十一镇多点”空间格局；组建57人专职保护员队伍，实施21项</w:t>
      </w:r>
      <w:r>
        <w:rPr>
          <w:rFonts w:hint="eastAsia" w:ascii="仿宋_GB2312" w:hAnsi="仿宋_GB2312" w:eastAsia="仿宋_GB2312" w:cs="仿宋_GB2312"/>
          <w:highlight w:val="none"/>
          <w:u w:val="none"/>
          <w:lang w:val="en-US" w:eastAsia="zh-CN"/>
        </w:rPr>
        <w:t>长城</w:t>
      </w:r>
      <w:r>
        <w:rPr>
          <w:rFonts w:hint="eastAsia" w:ascii="仿宋_GB2312" w:hAnsi="仿宋_GB2312" w:eastAsia="仿宋_GB2312" w:cs="仿宋_GB2312"/>
          <w:highlight w:val="none"/>
          <w:u w:val="none"/>
        </w:rPr>
        <w:t>抢险工程</w:t>
      </w:r>
      <w:r>
        <w:rPr>
          <w:rFonts w:hint="eastAsia" w:ascii="仿宋_GB2312" w:hAnsi="仿宋_GB2312" w:eastAsia="仿宋_GB2312" w:cs="仿宋_GB2312"/>
          <w:highlight w:val="none"/>
          <w:u w:val="none"/>
          <w:lang w:eastAsia="zh-CN"/>
        </w:rPr>
        <w:t>。</w:t>
      </w:r>
      <w:r>
        <w:rPr>
          <w:rFonts w:hint="eastAsia" w:ascii="仿宋_GB2312" w:hAnsi="仿宋_GB2312" w:eastAsia="仿宋_GB2312" w:cs="仿宋_GB2312"/>
          <w:highlight w:val="none"/>
          <w:u w:val="none"/>
          <w:lang w:val="en-US" w:eastAsia="zh-CN"/>
        </w:rPr>
        <w:t>数字技术赋能文化遗产保护利用，成功打造古北口、遥桥峪、关门三座长城城堡数智体验馆；对</w:t>
      </w:r>
      <w:r>
        <w:rPr>
          <w:rFonts w:hint="eastAsia" w:ascii="仿宋_GB2312" w:hAnsi="仿宋_GB2312" w:eastAsia="仿宋_GB2312" w:cs="仿宋_GB2312"/>
          <w:highlight w:val="none"/>
          <w:u w:val="none"/>
        </w:rPr>
        <w:t>瘟神庙壁画</w:t>
      </w:r>
      <w:r>
        <w:rPr>
          <w:rFonts w:hint="eastAsia" w:ascii="仿宋_GB2312" w:hAnsi="仿宋_GB2312" w:eastAsia="仿宋_GB2312" w:cs="仿宋_GB2312"/>
          <w:highlight w:val="none"/>
          <w:u w:val="none"/>
          <w:lang w:val="en-US" w:eastAsia="zh-CN"/>
        </w:rPr>
        <w:t>进行</w:t>
      </w:r>
      <w:r>
        <w:rPr>
          <w:rFonts w:hint="eastAsia" w:ascii="仿宋_GB2312" w:hAnsi="仿宋_GB2312" w:eastAsia="仿宋_GB2312" w:cs="仿宋_GB2312"/>
          <w:highlight w:val="none"/>
          <w:u w:val="none"/>
        </w:rPr>
        <w:t>数字化保护</w:t>
      </w:r>
      <w:r>
        <w:rPr>
          <w:rFonts w:hint="eastAsia" w:ascii="仿宋_GB2312" w:hAnsi="仿宋_GB2312" w:eastAsia="仿宋_GB2312" w:cs="仿宋_GB2312"/>
          <w:highlight w:val="none"/>
          <w:u w:val="none"/>
          <w:lang w:eastAsia="zh-CN"/>
        </w:rPr>
        <w:t>；</w:t>
      </w:r>
      <w:r>
        <w:rPr>
          <w:rFonts w:hint="eastAsia" w:ascii="仿宋_GB2312" w:hAnsi="仿宋_GB2312" w:eastAsia="仿宋_GB2312" w:cs="仿宋_GB2312"/>
          <w:highlight w:val="none"/>
          <w:u w:val="none"/>
          <w:lang w:val="en-US" w:eastAsia="zh-CN"/>
        </w:rPr>
        <w:t>科学</w:t>
      </w:r>
      <w:r>
        <w:rPr>
          <w:rFonts w:hint="eastAsia" w:ascii="仿宋_GB2312" w:hAnsi="仿宋_GB2312" w:eastAsia="仿宋_GB2312" w:cs="仿宋_GB2312"/>
          <w:highlight w:val="none"/>
          <w:u w:val="none"/>
        </w:rPr>
        <w:t>编制《密云区长城现状勘察评估报告》，综合等级分为A、B、C三个等级，以数字化手段为长城抢险修缮提供基础数据支撑。</w:t>
      </w:r>
    </w:p>
    <w:p w14:paraId="69ECA978">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b/>
          <w:bCs/>
          <w:highlight w:val="none"/>
          <w:u w:val="none"/>
        </w:rPr>
        <w:t>文化挖掘与文艺创作成效显著。</w:t>
      </w:r>
      <w:r>
        <w:rPr>
          <w:rFonts w:hint="eastAsia" w:ascii="仿宋_GB2312" w:hAnsi="仿宋_GB2312" w:eastAsia="仿宋_GB2312" w:cs="仿宋_GB2312"/>
          <w:highlight w:val="none"/>
          <w:u w:val="none"/>
        </w:rPr>
        <w:t>完善非遗传承体系，现有区级以上非遗项目65项（其中国家级2项），蔡家洼五音大鼓被认定为第五批国家级非物质文化遗产代表性项目，宿家剪纸、沙燕风筝、《北京印象》长巾成功入选“北京外事礼物”。建成水库文化展览中心、石城村石画体验馆等特色场馆，十里堡插花艺术馆挂牌“类博物馆”并</w:t>
      </w:r>
      <w:r>
        <w:rPr>
          <w:rFonts w:hint="eastAsia" w:ascii="仿宋_GB2312" w:hAnsi="仿宋_GB2312" w:cs="仿宋_GB2312"/>
          <w:highlight w:val="none"/>
          <w:u w:val="none"/>
          <w:lang w:val="en-US" w:eastAsia="zh-CN"/>
        </w:rPr>
        <w:t>对外</w:t>
      </w:r>
      <w:r>
        <w:rPr>
          <w:rFonts w:hint="eastAsia" w:ascii="仿宋_GB2312" w:hAnsi="仿宋_GB2312" w:eastAsia="仿宋_GB2312" w:cs="仿宋_GB2312"/>
          <w:highlight w:val="none"/>
          <w:u w:val="none"/>
        </w:rPr>
        <w:t>开放。编辑出版《密云文化丛书》《密云红色故事》《密云水库的故事》《密云区石刻文物图录》《碧水丰碑》等书籍，创排红色舞剧《英雄母亲邓玉芬》、戏曲《密云十姐妹》、话剧《奔腾不息的潮白河》《乡愁潮白河》《金叵罗》、大型室内舞秀《燕云十八骑》等多部剧目。打造“唱响密云”“舞动密云”等七大群众文化品牌，常态化开展各类文艺展演活动。</w:t>
      </w:r>
    </w:p>
    <w:p w14:paraId="68FE8ED1">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48" w:name="_Toc216878099"/>
      <w:bookmarkStart w:id="49" w:name="_Toc219055946"/>
      <w:bookmarkStart w:id="50" w:name="_Toc215063788"/>
      <w:bookmarkStart w:id="51" w:name="_Toc200552611"/>
      <w:bookmarkStart w:id="52" w:name="_Toc211350839"/>
      <w:bookmarkStart w:id="53" w:name="_Toc200619261"/>
      <w:bookmarkStart w:id="54" w:name="_Toc202364111"/>
      <w:bookmarkStart w:id="55" w:name="_Toc1171076364"/>
      <w:r>
        <w:rPr>
          <w:rFonts w:hint="eastAsia"/>
          <w:highlight w:val="none"/>
          <w:u w:val="none"/>
        </w:rPr>
        <w:t>二、文旅产业规模扩大，产业</w:t>
      </w:r>
      <w:bookmarkEnd w:id="48"/>
      <w:bookmarkEnd w:id="49"/>
      <w:bookmarkEnd w:id="50"/>
      <w:bookmarkEnd w:id="51"/>
      <w:bookmarkEnd w:id="52"/>
      <w:bookmarkEnd w:id="53"/>
      <w:bookmarkEnd w:id="54"/>
      <w:r>
        <w:rPr>
          <w:rFonts w:hint="eastAsia"/>
          <w:highlight w:val="none"/>
          <w:u w:val="none"/>
        </w:rPr>
        <w:t>融合不断推进</w:t>
      </w:r>
      <w:bookmarkEnd w:id="55"/>
    </w:p>
    <w:p w14:paraId="0883925C">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rPr>
      </w:pPr>
      <w:bookmarkStart w:id="56" w:name="_Toc219055948"/>
      <w:bookmarkStart w:id="57" w:name="_Toc216878101"/>
      <w:bookmarkStart w:id="58" w:name="_Toc211350841"/>
      <w:bookmarkStart w:id="59" w:name="_Toc202364113"/>
      <w:bookmarkStart w:id="60" w:name="OLE_LINK6"/>
      <w:bookmarkStart w:id="61" w:name="_Toc200552613"/>
      <w:bookmarkStart w:id="62" w:name="_Toc200619263"/>
      <w:bookmarkStart w:id="63" w:name="_Toc215063790"/>
      <w:r>
        <w:rPr>
          <w:rFonts w:hint="eastAsia" w:ascii="仿宋_GB2312" w:hAnsi="仿宋_GB2312" w:eastAsia="仿宋_GB2312" w:cs="仿宋_GB2312"/>
          <w:b/>
          <w:bCs/>
          <w:highlight w:val="none"/>
          <w:u w:val="none"/>
        </w:rPr>
        <w:t>文旅产业能级跃升。</w:t>
      </w:r>
      <w:r>
        <w:rPr>
          <w:rFonts w:hint="eastAsia" w:ascii="仿宋_GB2312" w:hAnsi="仿宋_GB2312" w:eastAsia="仿宋_GB2312" w:cs="仿宋_GB2312"/>
          <w:highlight w:val="none"/>
          <w:u w:val="none"/>
        </w:rPr>
        <w:t>“十四五”期间，累计实现旅游收入417.9亿元、接待游客4837.9万人次。其中乡村旅游收入和接待游客持续保持生态涵养区首位，旅游综合收入达109.3亿元。全区文旅产业增加值年均增速达12.3%，产业规模不断壮大，形成龙头引领、全域协同的现代化文旅产业新格局。全区旅游景区达36家，星级及规模以上酒店28家，全国乡村旅游重点镇1个（古北口镇）；市级乡村旅游重点镇2个（新城子镇、溪翁庄镇）；全国乡村旅游重点村5个（司马台村、古北口村、遥桥峪村、金叵罗村、蔡家洼村）；市级乡村旅游重点村15个；全国甲级旅游民宿1家（老友季）；全国乙级旅游民宿2家（矾根、印象云溪）；市级乡村民宿134家；精品民宿和“云水之家”特色精品民宿共277家，440个院落；“老友季”“棉花棠”“完美生活农场”等民宿品牌形成示范效应。古北水镇成功入选</w:t>
      </w:r>
      <w:r>
        <w:rPr>
          <w:rFonts w:hint="eastAsia" w:ascii="仿宋_GB2312" w:hAnsi="仿宋_GB2312" w:eastAsia="仿宋_GB2312" w:cs="仿宋_GB2312"/>
          <w:highlight w:val="none"/>
          <w:u w:val="none"/>
          <w:lang w:val="en-US" w:eastAsia="zh-CN"/>
        </w:rPr>
        <w:t>首批</w:t>
      </w:r>
      <w:r>
        <w:rPr>
          <w:rFonts w:hint="eastAsia" w:ascii="仿宋_GB2312" w:hAnsi="仿宋_GB2312" w:eastAsia="仿宋_GB2312" w:cs="仿宋_GB2312"/>
          <w:highlight w:val="none"/>
          <w:u w:val="none"/>
        </w:rPr>
        <w:t>国家级夜间文旅消费集聚区、国家级旅游度假区。</w:t>
      </w:r>
    </w:p>
    <w:p w14:paraId="1475CFDA">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b/>
          <w:bCs/>
          <w:highlight w:val="none"/>
          <w:u w:val="none"/>
        </w:rPr>
        <w:t>空间布局系统优化。</w:t>
      </w:r>
      <w:r>
        <w:rPr>
          <w:rFonts w:hint="eastAsia" w:ascii="仿宋_GB2312" w:hAnsi="仿宋_GB2312" w:eastAsia="仿宋_GB2312" w:cs="仿宋_GB2312"/>
          <w:highlight w:val="none"/>
          <w:u w:val="none"/>
        </w:rPr>
        <w:t>“十四五”时期，四条特色文化旅游休闲发展带实现多点突破、差异化发展。东部京承高速文化旅游休闲发展带以古北水镇为龙头，</w:t>
      </w:r>
      <w:r>
        <w:rPr>
          <w:rFonts w:hint="eastAsia" w:ascii="仿宋_GB2312" w:hAnsi="仿宋_GB2312" w:eastAsia="仿宋_GB2312" w:cs="仿宋_GB2312"/>
          <w:highlight w:val="none"/>
          <w:u w:val="none"/>
          <w:lang w:val="en-US" w:eastAsia="zh-CN"/>
        </w:rPr>
        <w:t>打造</w:t>
      </w:r>
      <w:r>
        <w:rPr>
          <w:rFonts w:hint="eastAsia" w:ascii="仿宋_GB2312" w:hAnsi="仿宋_GB2312" w:eastAsia="仿宋_GB2312" w:cs="仿宋_GB2312"/>
          <w:highlight w:val="none"/>
          <w:u w:val="none"/>
        </w:rPr>
        <w:t>古御道历史文化街区等项目丰富夜间消费、研学体验、乡村度假等新业态，文旅产业集群化发展深入推进。西部休闲美食和旅游度假发展带整合云蒙山、红色遗址、生态田园等资源，深挖密云水库鱼、特色农产等美食IP，景区配套与度假服务持续升级。南部时尚运动和体育旅游发展带依托滑雪场、户外场地、航空运动载体，完善运动配套设施，常态化举办生态马拉松、航空航天模型锦标赛等品牌赛事，时尚运动产业集群初具规模。北部长城文化旅游发展带全面结合长城国家文化公园建设，推进长城修缮、数字资源库等项目</w:t>
      </w:r>
      <w:r>
        <w:rPr>
          <w:rFonts w:hint="eastAsia" w:ascii="仿宋_GB2312" w:hAnsi="仿宋_GB2312" w:eastAsia="仿宋_GB2312" w:cs="仿宋_GB2312"/>
          <w:highlight w:val="none"/>
          <w:u w:val="none"/>
          <w:lang w:val="en-US" w:eastAsia="zh-CN"/>
        </w:rPr>
        <w:t>建设</w:t>
      </w:r>
      <w:r>
        <w:rPr>
          <w:rFonts w:hint="eastAsia" w:ascii="仿宋_GB2312" w:hAnsi="仿宋_GB2312" w:eastAsia="仿宋_GB2312" w:cs="仿宋_GB2312"/>
          <w:highlight w:val="none"/>
          <w:u w:val="none"/>
        </w:rPr>
        <w:t>，长城文旅、红色文旅融合发展态势良好。</w:t>
      </w:r>
    </w:p>
    <w:bookmarkEnd w:id="56"/>
    <w:bookmarkEnd w:id="57"/>
    <w:bookmarkEnd w:id="58"/>
    <w:bookmarkEnd w:id="59"/>
    <w:bookmarkEnd w:id="60"/>
    <w:bookmarkEnd w:id="61"/>
    <w:bookmarkEnd w:id="62"/>
    <w:bookmarkEnd w:id="63"/>
    <w:p w14:paraId="722DC65E">
      <w:pPr>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highlight w:val="none"/>
          <w:u w:val="none"/>
          <w:lang w:eastAsia="zh-CN"/>
        </w:rPr>
      </w:pPr>
      <w:r>
        <w:rPr>
          <w:rFonts w:hint="eastAsia" w:ascii="仿宋_GB2312" w:hAnsi="仿宋_GB2312" w:eastAsia="仿宋_GB2312" w:cs="仿宋_GB2312"/>
          <w:b/>
          <w:bCs/>
          <w:color w:val="000000" w:themeColor="text1"/>
          <w:highlight w:val="none"/>
          <w:u w:val="none"/>
          <w14:textFill>
            <w14:solidFill>
              <w14:schemeClr w14:val="tx1"/>
            </w14:solidFill>
          </w14:textFill>
        </w:rPr>
        <w:t>多业态融合发展</w:t>
      </w:r>
      <w:r>
        <w:rPr>
          <w:rFonts w:hint="eastAsia" w:ascii="仿宋_GB2312" w:hAnsi="仿宋_GB2312" w:eastAsia="仿宋_GB2312" w:cs="仿宋_GB2312"/>
          <w:b/>
          <w:bCs/>
          <w:color w:val="000000" w:themeColor="text1"/>
          <w:highlight w:val="none"/>
          <w:u w:val="none"/>
          <w:lang w:eastAsia="zh-CN"/>
          <w14:textFill>
            <w14:solidFill>
              <w14:schemeClr w14:val="tx1"/>
            </w14:solidFill>
          </w14:textFill>
        </w:rPr>
        <w:t>。</w:t>
      </w:r>
      <w:r>
        <w:rPr>
          <w:rFonts w:hint="eastAsia" w:ascii="仿宋_GB2312" w:hAnsi="仿宋_GB2312" w:eastAsia="仿宋_GB2312" w:cs="仿宋_GB2312"/>
          <w:highlight w:val="none"/>
          <w:u w:val="none"/>
          <w:lang w:val="en-US" w:eastAsia="zh-CN"/>
        </w:rPr>
        <w:t>在农文旅融合方面，</w:t>
      </w:r>
      <w:r>
        <w:rPr>
          <w:rFonts w:hint="eastAsia" w:ascii="仿宋_GB2312" w:hAnsi="仿宋_GB2312" w:eastAsia="仿宋_GB2312" w:cs="仿宋_GB2312"/>
          <w:highlight w:val="none"/>
          <w:u w:val="none"/>
          <w:lang w:eastAsia="zh-CN"/>
        </w:rPr>
        <w:t>推动传统农业向休闲观光、研学体验、康养度假等多元业态转型，培育古北口镇全国研学旅行基地、石城镇体育旅游精品目的地等标杆，成功举办鱼王美食节、葡萄酒文化节等活动，并依托“蜂盛蜜匀”品牌延伸蜜蜂研学、蜂疗康养新业态，实现农业园区景区化、农事活动体验化、农产品文创化。在体旅融合方面，密云深化“跟着赛事去旅行”品牌，飞拉达、攀冰、</w:t>
      </w:r>
      <w:r>
        <w:rPr>
          <w:rFonts w:hint="eastAsia" w:ascii="仿宋_GB2312" w:hAnsi="仿宋_GB2312" w:eastAsia="仿宋_GB2312" w:cs="仿宋_GB2312"/>
          <w:highlight w:val="none"/>
          <w:u w:val="none"/>
          <w:lang w:val="en-US" w:eastAsia="zh-CN"/>
        </w:rPr>
        <w:t>攀岩</w:t>
      </w:r>
      <w:r>
        <w:rPr>
          <w:rFonts w:hint="eastAsia" w:ascii="仿宋_GB2312" w:hAnsi="仿宋_GB2312" w:eastAsia="仿宋_GB2312" w:cs="仿宋_GB2312"/>
          <w:highlight w:val="none"/>
          <w:u w:val="none"/>
          <w:lang w:eastAsia="zh-CN"/>
        </w:rPr>
        <w:t>等</w:t>
      </w:r>
      <w:r>
        <w:rPr>
          <w:rFonts w:hint="eastAsia" w:ascii="仿宋_GB2312" w:hAnsi="仿宋_GB2312" w:eastAsia="仿宋_GB2312" w:cs="仿宋_GB2312"/>
          <w:highlight w:val="none"/>
          <w:u w:val="none"/>
          <w:lang w:val="en-US" w:eastAsia="zh-CN"/>
        </w:rPr>
        <w:t>新兴</w:t>
      </w:r>
      <w:r>
        <w:rPr>
          <w:rFonts w:hint="eastAsia" w:ascii="仿宋_GB2312" w:hAnsi="仿宋_GB2312" w:eastAsia="仿宋_GB2312" w:cs="仿宋_GB2312"/>
          <w:highlight w:val="none"/>
          <w:u w:val="none"/>
          <w:lang w:eastAsia="zh-CN"/>
        </w:rPr>
        <w:t>户外项目备受青睐，桃源仙谷自然风景区获评“2025年北京市体育旅游十佳精品景区”，古北口镇、河南寨镇成功当选“2025年北京市体育旅游十佳精品目的地”，以山水画卷为基底构建运动休闲新场景，打造全域体旅融合示范标杆。同时，通过发布精品体育旅游线路、优化赛事运营和配套服务，密云成功将赛事流量转化为旅游消费，</w:t>
      </w:r>
      <w:r>
        <w:rPr>
          <w:rFonts w:hint="eastAsia" w:ascii="仿宋_GB2312" w:hAnsi="仿宋_GB2312" w:eastAsia="仿宋_GB2312" w:cs="仿宋_GB2312"/>
          <w:highlight w:val="none"/>
          <w:u w:val="none"/>
          <w:lang w:val="en-US" w:eastAsia="zh-CN"/>
        </w:rPr>
        <w:t>有效</w:t>
      </w:r>
      <w:r>
        <w:rPr>
          <w:rFonts w:hint="eastAsia" w:ascii="仿宋_GB2312" w:hAnsi="仿宋_GB2312" w:eastAsia="仿宋_GB2312" w:cs="仿宋_GB2312"/>
          <w:highlight w:val="none"/>
          <w:u w:val="none"/>
          <w:lang w:eastAsia="zh-CN"/>
        </w:rPr>
        <w:t>带动沿线</w:t>
      </w:r>
      <w:r>
        <w:rPr>
          <w:rFonts w:hint="eastAsia" w:ascii="仿宋_GB2312" w:hAnsi="仿宋_GB2312" w:eastAsia="仿宋_GB2312" w:cs="仿宋_GB2312"/>
          <w:highlight w:val="none"/>
          <w:u w:val="none"/>
          <w:lang w:val="en-US" w:eastAsia="zh-CN"/>
        </w:rPr>
        <w:t>产业发展。</w:t>
      </w:r>
    </w:p>
    <w:p w14:paraId="2A7498E2">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64" w:name="_Toc592824993"/>
      <w:bookmarkStart w:id="65" w:name="_Toc202364142"/>
      <w:bookmarkStart w:id="66" w:name="_Toc200552641"/>
      <w:bookmarkStart w:id="67" w:name="_Toc200619291"/>
      <w:r>
        <w:rPr>
          <w:rFonts w:hint="eastAsia"/>
          <w:highlight w:val="none"/>
          <w:u w:val="none"/>
        </w:rPr>
        <w:t>三、营销方式丰富多样，品牌形象不断提升</w:t>
      </w:r>
      <w:bookmarkEnd w:id="64"/>
    </w:p>
    <w:p w14:paraId="0092E132">
      <w:pPr>
        <w:pageBreakBefore w:val="0"/>
        <w:kinsoku/>
        <w:wordWrap/>
        <w:overflowPunct/>
        <w:topLinePunct w:val="0"/>
        <w:autoSpaceDE/>
        <w:autoSpaceDN/>
        <w:bidi w:val="0"/>
        <w:adjustRightInd/>
        <w:snapToGrid/>
        <w:spacing w:line="560" w:lineRule="exact"/>
        <w:ind w:firstLine="643"/>
        <w:textAlignment w:val="auto"/>
        <w:rPr>
          <w:rFonts w:ascii="仿宋_GB2312" w:hAnsi="仿宋_GB2312" w:cs="仿宋_GB2312"/>
          <w:color w:val="auto"/>
          <w:highlight w:val="none"/>
          <w:u w:val="none"/>
        </w:rPr>
      </w:pPr>
      <w:r>
        <w:rPr>
          <w:rFonts w:hint="eastAsia" w:ascii="仿宋_GB2312" w:hAnsi="仿宋_GB2312" w:cs="仿宋_GB2312"/>
          <w:highlight w:val="none"/>
          <w:u w:val="none"/>
        </w:rPr>
        <w:t>成功举办鱼王美食文化节、长城摄影展、古北口长城庙会、网红达人节等特色品牌活动，策划推出“跟着民宿游密云”“快乐冰雪季暨京津冀冰雪旅游推介会”等主题推广活动</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成功举办“长城脚下见非遗”主题展演体验活动</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创新文化传播形式，开展“跟着图书游密云”实景诵读活动。常态化开展博物馆特色主题展览、流动展览进镇村等普惠性文化活动，推动本土历史文化落地基层、深入人心，全方位提升密云文旅品牌曝光度与大众认知度。持续深化与央视、北京卫视等主流媒体合作，年均获得各类权威新闻报道40余次，常态化承接《我的桃花源》《四海漫游》《京城美食地图》等专题栏目拍摄播出。打造微信公众号、抖音官方账号等核心新媒体宣传矩阵，形成全域联动的线上传播格局。“十四五”期间，密云区成功创建</w:t>
      </w:r>
      <w:r>
        <w:rPr>
          <w:rFonts w:hint="eastAsia" w:ascii="仿宋_GB2312" w:hAnsi="仿宋_GB2312" w:cs="仿宋_GB2312"/>
          <w:color w:val="auto"/>
          <w:highlight w:val="none"/>
          <w:u w:val="none"/>
        </w:rPr>
        <w:t>北京市全域旅游示范区、北京市公共文化服务体系示范区，获评第二批国家文化和旅游消费试点城市，先后荣获“全国文旅融合高质量发展旅游目的地”等多项荣誉。古北水镇（司马台长城）旅游度假区获评“国家文化产业示范基地”，是北京市首个“国家级旅游度假区”，同时入选第一批国家级夜间文化和旅游消费集聚区名单，密云区古北口长城市级文物保护利用示范区入选第一批市级文物保护利用示范区创建名单，</w:t>
      </w:r>
      <w:r>
        <w:rPr>
          <w:rFonts w:hint="eastAsia" w:ascii="仿宋_GB2312" w:hAnsi="仿宋_GB2312" w:cs="仿宋_GB2312"/>
          <w:color w:val="auto"/>
          <w:highlight w:val="none"/>
          <w:u w:val="none"/>
          <w:lang w:val="en-US" w:eastAsia="zh-CN"/>
        </w:rPr>
        <w:t>城市美誉度和影响力持续提升。</w:t>
      </w:r>
    </w:p>
    <w:p w14:paraId="399B6B92">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68" w:name="_Toc200552615"/>
      <w:bookmarkStart w:id="69" w:name="_Toc211350843"/>
      <w:bookmarkStart w:id="70" w:name="_Toc200619265"/>
      <w:bookmarkStart w:id="71" w:name="_Toc216878103"/>
      <w:bookmarkStart w:id="72" w:name="_Toc202364115"/>
      <w:bookmarkStart w:id="73" w:name="_Toc215063792"/>
      <w:bookmarkStart w:id="74" w:name="_Toc219055950"/>
      <w:bookmarkStart w:id="75" w:name="_Toc1433018918"/>
      <w:r>
        <w:rPr>
          <w:rFonts w:hint="eastAsia"/>
          <w:highlight w:val="none"/>
          <w:u w:val="none"/>
        </w:rPr>
        <w:t>四、市场治理能力强化</w:t>
      </w:r>
      <w:bookmarkEnd w:id="68"/>
      <w:bookmarkEnd w:id="69"/>
      <w:bookmarkEnd w:id="70"/>
      <w:bookmarkEnd w:id="71"/>
      <w:bookmarkEnd w:id="72"/>
      <w:bookmarkEnd w:id="73"/>
      <w:bookmarkEnd w:id="74"/>
      <w:r>
        <w:rPr>
          <w:rFonts w:hint="eastAsia"/>
          <w:highlight w:val="none"/>
          <w:u w:val="none"/>
        </w:rPr>
        <w:t>，文旅市场秩序规范</w:t>
      </w:r>
      <w:bookmarkEnd w:id="75"/>
    </w:p>
    <w:p w14:paraId="1B40DE93">
      <w:pPr>
        <w:pageBreakBefore w:val="0"/>
        <w:kinsoku/>
        <w:wordWrap/>
        <w:overflowPunct/>
        <w:topLinePunct w:val="0"/>
        <w:autoSpaceDE/>
        <w:autoSpaceDN/>
        <w:bidi w:val="0"/>
        <w:adjustRightInd/>
        <w:snapToGrid/>
        <w:spacing w:line="560" w:lineRule="exact"/>
        <w:ind w:firstLine="643"/>
        <w:textAlignment w:val="auto"/>
        <w:rPr>
          <w:rFonts w:ascii="仿宋_GB2312" w:hAnsi="仿宋_GB2312" w:cs="仿宋_GB2312"/>
          <w:b w:val="0"/>
          <w:bCs w:val="0"/>
          <w:color w:val="auto"/>
          <w:highlight w:val="none"/>
          <w:u w:val="none"/>
        </w:rPr>
      </w:pPr>
      <w:bookmarkStart w:id="76" w:name="_Toc202364127"/>
      <w:bookmarkStart w:id="77" w:name="_Toc200552626"/>
      <w:bookmarkStart w:id="78" w:name="_Toc200619276"/>
      <w:r>
        <w:rPr>
          <w:rFonts w:hint="eastAsia" w:ascii="仿宋_GB2312" w:hAnsi="仿宋_GB2312" w:cs="仿宋_GB2312"/>
          <w:b w:val="0"/>
          <w:bCs w:val="0"/>
          <w:color w:val="auto"/>
          <w:highlight w:val="none"/>
          <w:u w:val="none"/>
        </w:rPr>
        <w:t>扎实推进文旅行业安全生产工作，严格落实安全生产“三管三必须”原则，常态化开展安全宣传教育、安全生产专项整治与常态化抽查检查，动态排查、闭环化解各类安全风险隐患。统筹抓好防火、防汛、文物及系统内部安全管理工作，健全完善应急处置预案，强化节假日、重大活动期间旅游安全服务保障，全方位筑牢文旅行业安全发展底线。常态化开展等级景区、星级酒店评定与复核工作，持续推进行业标准化、规范化建设。强化行业自治自律，引导市场主体规范经营、诚信经营。深耕接诉即办提质增效，健全“一把手”约谈长效工作机制，坚持未诉先办、主动治理，从源头化解文旅行业突出问题。全面衔接“双随机、一公开”监管及优化营商环境工作要求，大力推行非现场监管模式，依托数字化监管手段开展线上巡查、动态监测，提升监管精准性与高效性。持续加大文旅市场执法力度，严厉打击各类违法违规经营行为。围绕重大服务保障任务，全覆盖开展文化、文物、新闻出版、旅游等领域市场执法检查，年均出动执法力量7000余人次、2000余车次，检查各类文化市场经营主体2500余家次。健全完善“信用+风险”分级分类监管体系，落实初次违法且危害后果轻微不予处罚等柔性执法机制，刚柔并济开展市场监管，持续巩固优化营商环境治理成果，构建规范有序、公平公正、宽松包容的文旅市场发展环境。</w:t>
      </w:r>
    </w:p>
    <w:p w14:paraId="14A425CD">
      <w:pPr>
        <w:pageBreakBefore w:val="0"/>
        <w:widowControl/>
        <w:kinsoku/>
        <w:wordWrap/>
        <w:overflowPunct/>
        <w:topLinePunct w:val="0"/>
        <w:autoSpaceDE/>
        <w:autoSpaceDN/>
        <w:bidi w:val="0"/>
        <w:adjustRightInd/>
        <w:snapToGrid/>
        <w:spacing w:line="560" w:lineRule="exact"/>
        <w:ind w:firstLine="0" w:firstLineChars="0"/>
        <w:jc w:val="left"/>
        <w:textAlignment w:val="auto"/>
        <w:rPr>
          <w:rFonts w:ascii="仿宋_GB2312" w:hAnsi="仿宋_GB2312" w:cs="仿宋_GB2312"/>
          <w:highlight w:val="none"/>
          <w:u w:val="none"/>
        </w:rPr>
      </w:pPr>
      <w:r>
        <w:rPr>
          <w:rFonts w:ascii="仿宋_GB2312" w:hAnsi="仿宋_GB2312" w:cs="仿宋_GB2312"/>
          <w:highlight w:val="none"/>
          <w:u w:val="none"/>
        </w:rPr>
        <w:br w:type="page"/>
      </w:r>
    </w:p>
    <w:p w14:paraId="6E7F62DF">
      <w:pPr>
        <w:pStyle w:val="3"/>
        <w:pageBreakBefore w:val="0"/>
        <w:kinsoku/>
        <w:wordWrap/>
        <w:overflowPunct/>
        <w:topLinePunct w:val="0"/>
        <w:autoSpaceDE/>
        <w:autoSpaceDN/>
        <w:bidi w:val="0"/>
        <w:adjustRightInd/>
        <w:snapToGrid/>
        <w:spacing w:line="560" w:lineRule="exact"/>
        <w:ind w:firstLine="198" w:firstLineChars="62"/>
        <w:textAlignment w:val="auto"/>
        <w:rPr>
          <w:highlight w:val="none"/>
          <w:u w:val="none"/>
        </w:rPr>
      </w:pPr>
      <w:bookmarkStart w:id="79" w:name="_Toc719853721"/>
      <w:r>
        <w:rPr>
          <w:rFonts w:hint="eastAsia"/>
          <w:highlight w:val="none"/>
          <w:u w:val="none"/>
        </w:rPr>
        <w:t>第二章 密云区“十五五”文化和旅游发展形势</w:t>
      </w:r>
      <w:bookmarkEnd w:id="76"/>
      <w:bookmarkEnd w:id="77"/>
      <w:bookmarkEnd w:id="78"/>
      <w:bookmarkEnd w:id="79"/>
    </w:p>
    <w:p w14:paraId="587924F4">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80" w:name="_Toc200552627"/>
      <w:bookmarkStart w:id="81" w:name="_Toc200619277"/>
      <w:bookmarkStart w:id="82" w:name="_Toc202364128"/>
      <w:bookmarkStart w:id="83" w:name="_Toc1806105296"/>
      <w:r>
        <w:rPr>
          <w:rFonts w:hint="eastAsia"/>
          <w:highlight w:val="none"/>
          <w:u w:val="none"/>
        </w:rPr>
        <w:t>一、发展</w:t>
      </w:r>
      <w:bookmarkEnd w:id="80"/>
      <w:bookmarkEnd w:id="81"/>
      <w:bookmarkEnd w:id="82"/>
      <w:r>
        <w:rPr>
          <w:rFonts w:hint="eastAsia"/>
          <w:highlight w:val="none"/>
          <w:u w:val="none"/>
        </w:rPr>
        <w:t>机遇</w:t>
      </w:r>
      <w:bookmarkEnd w:id="83"/>
    </w:p>
    <w:p w14:paraId="10342D50">
      <w:pPr>
        <w:pStyle w:val="5"/>
        <w:pageBreakBefore w:val="0"/>
        <w:kinsoku/>
        <w:wordWrap/>
        <w:overflowPunct/>
        <w:topLinePunct w:val="0"/>
        <w:autoSpaceDE/>
        <w:autoSpaceDN/>
        <w:bidi w:val="0"/>
        <w:adjustRightInd/>
        <w:snapToGrid/>
        <w:spacing w:before="204" w:after="204" w:line="560" w:lineRule="exact"/>
        <w:ind w:firstLine="640"/>
        <w:textAlignment w:val="auto"/>
        <w:rPr>
          <w:rFonts w:ascii="仿宋_GB2312" w:hAnsi="仿宋_GB2312" w:cs="仿宋_GB2312"/>
          <w:highlight w:val="none"/>
          <w:u w:val="none"/>
        </w:rPr>
      </w:pPr>
      <w:bookmarkStart w:id="84" w:name="_Toc224543763"/>
      <w:bookmarkStart w:id="85" w:name="_Toc221290539"/>
      <w:bookmarkStart w:id="86" w:name="_Toc232410045"/>
      <w:bookmarkStart w:id="87" w:name="_Toc530359527"/>
      <w:bookmarkStart w:id="88" w:name="_Toc231819268"/>
      <w:bookmarkStart w:id="89" w:name="_Toc221229304"/>
      <w:bookmarkStart w:id="90" w:name="_Toc232165552"/>
      <w:bookmarkStart w:id="91" w:name="_Toc231556947"/>
      <w:bookmarkStart w:id="92" w:name="_Toc200552637"/>
      <w:bookmarkStart w:id="93" w:name="_Toc202364138"/>
      <w:bookmarkStart w:id="94" w:name="_Toc200619287"/>
      <w:r>
        <w:rPr>
          <w:rFonts w:hint="eastAsia"/>
          <w:highlight w:val="none"/>
          <w:u w:val="none"/>
        </w:rPr>
        <w:t>（一）政策体系协同赋能，融合发展纵深推进</w:t>
      </w:r>
      <w:bookmarkEnd w:id="84"/>
      <w:bookmarkEnd w:id="85"/>
      <w:bookmarkEnd w:id="86"/>
      <w:bookmarkEnd w:id="87"/>
      <w:bookmarkEnd w:id="88"/>
      <w:bookmarkEnd w:id="89"/>
      <w:bookmarkEnd w:id="90"/>
      <w:bookmarkEnd w:id="91"/>
    </w:p>
    <w:p w14:paraId="300376B1">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bookmarkStart w:id="95" w:name="_Toc231819269"/>
      <w:bookmarkStart w:id="96" w:name="_Toc231556948"/>
      <w:bookmarkStart w:id="97" w:name="_Toc232165553"/>
      <w:bookmarkStart w:id="98" w:name="_Toc224543764"/>
      <w:bookmarkStart w:id="99" w:name="_Toc221290540"/>
      <w:bookmarkStart w:id="100" w:name="_Toc232410046"/>
      <w:bookmarkStart w:id="101" w:name="_Toc1695435239"/>
      <w:r>
        <w:rPr>
          <w:rFonts w:hint="eastAsia" w:ascii="仿宋_GB2312" w:hAnsi="仿宋_GB2312" w:cs="仿宋_GB2312"/>
          <w:b/>
          <w:bCs/>
          <w:highlight w:val="none"/>
          <w:u w:val="none"/>
        </w:rPr>
        <w:t>国家层面高位推动</w:t>
      </w:r>
      <w:r>
        <w:rPr>
          <w:rFonts w:hint="eastAsia" w:ascii="仿宋_GB2312" w:hAnsi="仿宋_GB2312" w:cs="仿宋_GB2312"/>
          <w:b/>
          <w:bCs/>
          <w:highlight w:val="none"/>
          <w:u w:val="none"/>
          <w:lang w:eastAsia="zh-CN"/>
        </w:rPr>
        <w:t>。</w:t>
      </w:r>
      <w:r>
        <w:rPr>
          <w:rFonts w:hint="eastAsia" w:ascii="仿宋_GB2312" w:hAnsi="仿宋_GB2312" w:cs="仿宋_GB2312"/>
          <w:highlight w:val="none"/>
          <w:u w:val="none"/>
        </w:rPr>
        <w:t>党的二十大报告提出“坚持以文塑旅、以旅彰文,推进文化和旅游深度融合发展”</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2026年首次将</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深化农文旅融合，推进乡村旅游提档升级，发展</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小而美</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文旅业态</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纳入中央部署，为密云文旅</w:t>
      </w:r>
      <w:r>
        <w:rPr>
          <w:rFonts w:hint="eastAsia" w:ascii="仿宋_GB2312" w:hAnsi="仿宋_GB2312" w:cs="仿宋_GB2312"/>
          <w:highlight w:val="none"/>
          <w:u w:val="none"/>
          <w:lang w:val="en-US" w:eastAsia="zh-CN"/>
        </w:rPr>
        <w:t>产业高质量</w:t>
      </w:r>
      <w:r>
        <w:rPr>
          <w:rFonts w:hint="eastAsia" w:ascii="仿宋_GB2312" w:hAnsi="仿宋_GB2312" w:cs="仿宋_GB2312"/>
          <w:highlight w:val="none"/>
          <w:u w:val="none"/>
        </w:rPr>
        <w:t>发展锚定方向。</w:t>
      </w:r>
      <w:r>
        <w:rPr>
          <w:rFonts w:hint="eastAsia" w:ascii="仿宋_GB2312" w:hAnsi="仿宋_GB2312" w:cs="仿宋_GB2312"/>
          <w:b/>
          <w:bCs/>
          <w:highlight w:val="none"/>
          <w:u w:val="none"/>
        </w:rPr>
        <w:t>市级层面配套支撑</w:t>
      </w:r>
      <w:r>
        <w:rPr>
          <w:rFonts w:hint="eastAsia" w:ascii="仿宋_GB2312" w:hAnsi="仿宋_GB2312" w:cs="仿宋_GB2312"/>
          <w:b/>
          <w:bCs/>
          <w:highlight w:val="none"/>
          <w:u w:val="none"/>
          <w:lang w:eastAsia="zh-CN"/>
        </w:rPr>
        <w:t>。</w:t>
      </w:r>
      <w:r>
        <w:rPr>
          <w:rFonts w:hint="eastAsia" w:ascii="仿宋_GB2312" w:hAnsi="仿宋_GB2312" w:cs="仿宋_GB2312"/>
          <w:highlight w:val="none"/>
          <w:u w:val="none"/>
        </w:rPr>
        <w:t>北京市相继出台多项</w:t>
      </w:r>
      <w:r>
        <w:rPr>
          <w:rFonts w:hint="eastAsia" w:ascii="仿宋_GB2312" w:hAnsi="仿宋_GB2312" w:cs="仿宋_GB2312"/>
          <w:highlight w:val="none"/>
          <w:u w:val="none"/>
          <w:lang w:val="en-US" w:eastAsia="zh-CN"/>
        </w:rPr>
        <w:t>文旅产业</w:t>
      </w:r>
      <w:r>
        <w:rPr>
          <w:rFonts w:hint="eastAsia" w:ascii="仿宋_GB2312" w:hAnsi="仿宋_GB2312" w:cs="仿宋_GB2312"/>
          <w:highlight w:val="none"/>
          <w:u w:val="none"/>
        </w:rPr>
        <w:t>政策，以资金奖补、贷款贴息等方式降低文旅企业运营成本，吸引社会资本参与优质文旅项目投资建设。</w:t>
      </w:r>
      <w:r>
        <w:rPr>
          <w:rFonts w:hint="eastAsia" w:ascii="仿宋_GB2312" w:hAnsi="仿宋_GB2312" w:cs="仿宋_GB2312"/>
          <w:b/>
          <w:bCs/>
          <w:highlight w:val="none"/>
          <w:u w:val="none"/>
        </w:rPr>
        <w:t>区级层面精准落地</w:t>
      </w:r>
      <w:r>
        <w:rPr>
          <w:rFonts w:hint="eastAsia" w:ascii="仿宋_GB2312" w:hAnsi="仿宋_GB2312" w:cs="仿宋_GB2312"/>
          <w:b/>
          <w:bCs/>
          <w:highlight w:val="none"/>
          <w:u w:val="none"/>
          <w:lang w:eastAsia="zh-CN"/>
        </w:rPr>
        <w:t>。</w:t>
      </w:r>
      <w:r>
        <w:rPr>
          <w:rFonts w:hint="eastAsia" w:ascii="仿宋_GB2312" w:hAnsi="仿宋_GB2312" w:cs="仿宋_GB2312"/>
          <w:highlight w:val="none"/>
          <w:u w:val="none"/>
        </w:rPr>
        <w:t>《密云区支持文旅产业高质量发展若干措施（试行）》细化激励政策，充分激活各类文旅经营主体活力。国家、市、区三级政策同向发力、协同赋能，为密云“十五五”时期文旅产业高质量发展提供坚实政策保障。</w:t>
      </w:r>
    </w:p>
    <w:p w14:paraId="38574664">
      <w:pPr>
        <w:pageBreakBefore w:val="0"/>
        <w:kinsoku/>
        <w:wordWrap/>
        <w:overflowPunct/>
        <w:topLinePunct w:val="0"/>
        <w:autoSpaceDE/>
        <w:autoSpaceDN/>
        <w:bidi w:val="0"/>
        <w:adjustRightInd/>
        <w:snapToGrid/>
        <w:spacing w:line="560" w:lineRule="exact"/>
        <w:ind w:firstLine="640"/>
        <w:textAlignment w:val="auto"/>
        <w:rPr>
          <w:highlight w:val="none"/>
          <w:u w:val="none"/>
        </w:rPr>
      </w:pPr>
      <w:r>
        <w:rPr>
          <w:rFonts w:hint="eastAsia"/>
          <w:highlight w:val="none"/>
          <w:u w:val="none"/>
        </w:rPr>
        <w:t>（二）生态价值创新转化</w:t>
      </w:r>
      <w:r>
        <w:rPr>
          <w:rFonts w:hint="eastAsia"/>
          <w:highlight w:val="none"/>
          <w:u w:val="none"/>
          <w:lang w:eastAsia="zh-CN"/>
        </w:rPr>
        <w:t>，</w:t>
      </w:r>
      <w:r>
        <w:rPr>
          <w:rFonts w:hint="eastAsia"/>
          <w:highlight w:val="none"/>
          <w:u w:val="none"/>
        </w:rPr>
        <w:t>“两山”实践标杆引领</w:t>
      </w:r>
      <w:bookmarkEnd w:id="95"/>
      <w:bookmarkEnd w:id="96"/>
      <w:bookmarkEnd w:id="97"/>
      <w:bookmarkEnd w:id="98"/>
      <w:bookmarkEnd w:id="99"/>
      <w:bookmarkEnd w:id="100"/>
      <w:bookmarkEnd w:id="101"/>
    </w:p>
    <w:p w14:paraId="59ED35F5">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color w:val="auto"/>
          <w:highlight w:val="none"/>
          <w:u w:val="none"/>
        </w:rPr>
      </w:pPr>
      <w:r>
        <w:rPr>
          <w:rFonts w:hint="eastAsia" w:ascii="仿宋_GB2312" w:hAnsi="仿宋_GB2312" w:cs="仿宋_GB2312"/>
          <w:highlight w:val="none"/>
          <w:u w:val="none"/>
        </w:rPr>
        <w:t>长期稳居全市前列</w:t>
      </w:r>
      <w:r>
        <w:rPr>
          <w:rFonts w:hint="eastAsia" w:ascii="仿宋_GB2312" w:hAnsi="仿宋_GB2312" w:cs="仿宋_GB2312"/>
          <w:highlight w:val="none"/>
          <w:u w:val="none"/>
          <w:lang w:val="en-US" w:eastAsia="zh-CN"/>
        </w:rPr>
        <w:t>的</w:t>
      </w:r>
      <w:r>
        <w:rPr>
          <w:rFonts w:hint="eastAsia" w:ascii="仿宋_GB2312" w:hAnsi="仿宋_GB2312" w:cs="仿宋_GB2312"/>
          <w:highlight w:val="none"/>
          <w:u w:val="none"/>
        </w:rPr>
        <w:t>密云区生态环境质量指数，</w:t>
      </w:r>
      <w:r>
        <w:rPr>
          <w:rFonts w:hint="eastAsia" w:ascii="仿宋_GB2312" w:hAnsi="仿宋_GB2312" w:cs="仿宋_GB2312"/>
          <w:color w:val="auto"/>
          <w:highlight w:val="none"/>
          <w:u w:val="none"/>
          <w:lang w:val="en-US" w:eastAsia="zh-CN"/>
        </w:rPr>
        <w:t>以及</w:t>
      </w:r>
      <w:r>
        <w:rPr>
          <w:rFonts w:hint="eastAsia" w:ascii="仿宋_GB2312" w:hAnsi="仿宋_GB2312" w:cs="仿宋_GB2312"/>
          <w:color w:val="auto"/>
          <w:highlight w:val="none"/>
          <w:u w:val="none"/>
        </w:rPr>
        <w:t>位列全市第一</w:t>
      </w:r>
      <w:r>
        <w:rPr>
          <w:rFonts w:hint="eastAsia" w:ascii="仿宋_GB2312" w:hAnsi="仿宋_GB2312" w:cs="仿宋_GB2312"/>
          <w:color w:val="auto"/>
          <w:highlight w:val="none"/>
          <w:u w:val="none"/>
          <w:lang w:val="en-US" w:eastAsia="zh-CN"/>
        </w:rPr>
        <w:t>的</w:t>
      </w:r>
      <w:r>
        <w:rPr>
          <w:rFonts w:hint="eastAsia" w:ascii="仿宋_GB2312" w:hAnsi="仿宋_GB2312" w:cs="仿宋_GB2312"/>
          <w:color w:val="auto"/>
          <w:highlight w:val="none"/>
          <w:u w:val="none"/>
        </w:rPr>
        <w:t>生态系统调节服务价值（GEP-R）总量</w:t>
      </w:r>
      <w:r>
        <w:rPr>
          <w:rFonts w:hint="eastAsia" w:ascii="仿宋_GB2312" w:hAnsi="仿宋_GB2312" w:cs="仿宋_GB2312"/>
          <w:color w:val="auto"/>
          <w:highlight w:val="none"/>
          <w:u w:val="none"/>
          <w:lang w:val="en-US" w:eastAsia="zh-CN"/>
        </w:rPr>
        <w:t>和</w:t>
      </w:r>
      <w:r>
        <w:rPr>
          <w:rFonts w:hint="eastAsia" w:ascii="仿宋_GB2312" w:hAnsi="仿宋_GB2312" w:cs="仿宋_GB2312"/>
          <w:color w:val="auto"/>
          <w:highlight w:val="none"/>
          <w:u w:val="none"/>
        </w:rPr>
        <w:t>增量，为文旅产业发展筑牢坚实生态本底。党的二十届四中全会明确部署加快经济社会发展全面绿色转型，北京市持续深化密云水库横向生态补偿机制、加快推动GEP核算成果落地应用，为密云生态产品价值市场化转化提供了绝佳政策窗口期。密云拥有充足条件持续释放生态游憩价值、放大文旅承载优势，培育生态文旅、休闲康养、乡村度假等新业态，打造保护、转化、惠民一体的生态价值实现样板，为文旅产业差异化、高质量发展提供独一无二的标杆性发展机遇。</w:t>
      </w:r>
    </w:p>
    <w:p w14:paraId="66A3AD7F">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02" w:name="_Toc232165554"/>
      <w:bookmarkStart w:id="103" w:name="_Toc224543765"/>
      <w:bookmarkStart w:id="104" w:name="_Toc221290541"/>
      <w:bookmarkStart w:id="105" w:name="_Toc232410047"/>
      <w:bookmarkStart w:id="106" w:name="_Toc219549830"/>
      <w:bookmarkStart w:id="107" w:name="_Toc231556949"/>
      <w:bookmarkStart w:id="108" w:name="_Toc231819270"/>
      <w:r>
        <w:rPr>
          <w:rFonts w:hint="eastAsia"/>
          <w:highlight w:val="none"/>
          <w:u w:val="none"/>
        </w:rPr>
        <w:t>（三）数字技术深度融合，智慧服务范式重构</w:t>
      </w:r>
      <w:bookmarkEnd w:id="102"/>
      <w:bookmarkEnd w:id="103"/>
      <w:bookmarkEnd w:id="104"/>
      <w:bookmarkEnd w:id="105"/>
      <w:bookmarkEnd w:id="106"/>
      <w:bookmarkEnd w:id="107"/>
      <w:bookmarkEnd w:id="108"/>
    </w:p>
    <w:p w14:paraId="0BC3EC3D">
      <w:pPr>
        <w:pageBreakBefore w:val="0"/>
        <w:kinsoku/>
        <w:wordWrap/>
        <w:overflowPunct/>
        <w:topLinePunct w:val="0"/>
        <w:autoSpaceDE/>
        <w:autoSpaceDN/>
        <w:bidi w:val="0"/>
        <w:adjustRightInd/>
        <w:snapToGrid/>
        <w:spacing w:line="560" w:lineRule="exact"/>
        <w:textAlignment w:val="auto"/>
        <w:rPr>
          <w:rFonts w:ascii="仿宋_GB2312" w:hAnsi="仿宋_GB2312" w:cs="仿宋_GB2312"/>
          <w:highlight w:val="none"/>
          <w:u w:val="none"/>
        </w:rPr>
      </w:pPr>
      <w:r>
        <w:rPr>
          <w:rFonts w:hint="eastAsia" w:ascii="仿宋_GB2312" w:hAnsi="仿宋_GB2312" w:cs="仿宋_GB2312"/>
          <w:color w:val="auto"/>
          <w:highlight w:val="none"/>
          <w:u w:val="none"/>
        </w:rPr>
        <w:t>5G-A、人工智能大模型、XR等新技术加速成熟应用，</w:t>
      </w:r>
      <w:r>
        <w:rPr>
          <w:rFonts w:hint="eastAsia" w:ascii="仿宋_GB2312" w:hAnsi="仿宋_GB2312" w:cs="仿宋_GB2312"/>
          <w:color w:val="auto"/>
          <w:highlight w:val="none"/>
          <w:u w:val="none"/>
          <w:lang w:val="en-US" w:eastAsia="zh-CN"/>
        </w:rPr>
        <w:t>以及</w:t>
      </w:r>
      <w:r>
        <w:rPr>
          <w:rFonts w:hint="eastAsia" w:ascii="仿宋_GB2312" w:hAnsi="仿宋_GB2312" w:cs="仿宋_GB2312"/>
          <w:color w:val="auto"/>
          <w:highlight w:val="none"/>
          <w:u w:val="none"/>
        </w:rPr>
        <w:t>国家水生态环境智慧监测业务与实验平台建设，为</w:t>
      </w:r>
      <w:r>
        <w:rPr>
          <w:rFonts w:hint="eastAsia" w:ascii="仿宋_GB2312" w:hAnsi="仿宋_GB2312" w:cs="仿宋_GB2312"/>
          <w:color w:val="auto"/>
          <w:highlight w:val="none"/>
          <w:u w:val="none"/>
          <w:lang w:val="en-US" w:eastAsia="zh-CN"/>
        </w:rPr>
        <w:t>密云</w:t>
      </w:r>
      <w:r>
        <w:rPr>
          <w:rFonts w:hint="eastAsia" w:ascii="仿宋_GB2312" w:hAnsi="仿宋_GB2312" w:cs="仿宋_GB2312"/>
          <w:color w:val="auto"/>
          <w:highlight w:val="none"/>
          <w:u w:val="none"/>
        </w:rPr>
        <w:t>数字长城、云游水库等虚实融合场景搭建坚实技术底座</w:t>
      </w:r>
      <w:r>
        <w:rPr>
          <w:rFonts w:hint="eastAsia" w:ascii="仿宋_GB2312" w:hAnsi="仿宋_GB2312" w:cs="仿宋_GB2312"/>
          <w:color w:val="auto"/>
          <w:highlight w:val="none"/>
          <w:u w:val="none"/>
          <w:lang w:eastAsia="zh-CN"/>
        </w:rPr>
        <w:t>。</w:t>
      </w:r>
      <w:r>
        <w:rPr>
          <w:rFonts w:hint="eastAsia" w:ascii="仿宋_GB2312" w:hAnsi="仿宋_GB2312" w:cs="仿宋_GB2312"/>
          <w:color w:val="auto"/>
          <w:highlight w:val="none"/>
          <w:u w:val="none"/>
          <w:lang w:val="en-US" w:eastAsia="zh-CN"/>
        </w:rPr>
        <w:t>借助</w:t>
      </w:r>
      <w:r>
        <w:rPr>
          <w:rFonts w:hint="eastAsia" w:ascii="仿宋_GB2312" w:hAnsi="仿宋_GB2312" w:cs="仿宋_GB2312"/>
          <w:highlight w:val="none"/>
          <w:u w:val="none"/>
        </w:rPr>
        <w:t>中关村密云园数字经济产业园（孵化园）</w:t>
      </w:r>
      <w:r>
        <w:rPr>
          <w:rFonts w:hint="eastAsia" w:ascii="仿宋_GB2312" w:hAnsi="仿宋_GB2312" w:cs="仿宋_GB2312"/>
          <w:highlight w:val="none"/>
          <w:u w:val="none"/>
          <w:lang w:val="en-US" w:eastAsia="zh-CN"/>
        </w:rPr>
        <w:t>建设契机，</w:t>
      </w:r>
      <w:r>
        <w:rPr>
          <w:rFonts w:hint="eastAsia" w:ascii="仿宋_GB2312" w:hAnsi="仿宋_GB2312" w:cs="仿宋_GB2312"/>
          <w:highlight w:val="none"/>
          <w:u w:val="none"/>
        </w:rPr>
        <w:t>为</w:t>
      </w:r>
      <w:r>
        <w:rPr>
          <w:rFonts w:hint="eastAsia" w:ascii="仿宋_GB2312" w:hAnsi="仿宋_GB2312" w:cs="仿宋_GB2312"/>
          <w:highlight w:val="none"/>
          <w:u w:val="none"/>
          <w:lang w:val="en-US" w:eastAsia="zh-CN"/>
        </w:rPr>
        <w:t>密云</w:t>
      </w:r>
      <w:r>
        <w:rPr>
          <w:rFonts w:hint="eastAsia" w:ascii="仿宋_GB2312" w:hAnsi="仿宋_GB2312" w:cs="仿宋_GB2312"/>
          <w:highlight w:val="none"/>
          <w:u w:val="none"/>
        </w:rPr>
        <w:t>一码通游、无感支付、AI个性化推荐的全域覆盖创造有利条件</w:t>
      </w:r>
      <w:r>
        <w:rPr>
          <w:rFonts w:hint="eastAsia" w:ascii="仿宋_GB2312" w:hAnsi="仿宋_GB2312" w:cs="仿宋_GB2312"/>
          <w:highlight w:val="none"/>
          <w:u w:val="none"/>
          <w:lang w:eastAsia="zh-CN"/>
        </w:rPr>
        <w:t>，</w:t>
      </w:r>
      <w:r>
        <w:rPr>
          <w:rFonts w:hint="eastAsia" w:ascii="仿宋_GB2312" w:hAnsi="仿宋_GB2312" w:cs="仿宋_GB2312"/>
          <w:highlight w:val="none"/>
          <w:u w:val="none"/>
          <w:lang w:val="en-US" w:eastAsia="zh-CN"/>
        </w:rPr>
        <w:t>从而</w:t>
      </w:r>
      <w:r>
        <w:rPr>
          <w:rFonts w:hint="eastAsia" w:ascii="仿宋_GB2312" w:hAnsi="仿宋_GB2312" w:cs="仿宋_GB2312"/>
          <w:highlight w:val="none"/>
          <w:u w:val="none"/>
        </w:rPr>
        <w:t>提升管理效能，催生沉浸式、交互式消费新场景。</w:t>
      </w:r>
    </w:p>
    <w:p w14:paraId="58B21678">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09" w:name="_Toc597087264"/>
      <w:r>
        <w:rPr>
          <w:rFonts w:hint="eastAsia"/>
          <w:highlight w:val="none"/>
          <w:u w:val="none"/>
        </w:rPr>
        <w:t>二、面临挑战</w:t>
      </w:r>
      <w:bookmarkEnd w:id="109"/>
    </w:p>
    <w:p w14:paraId="0AF90587">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10" w:name="_Toc232165557"/>
      <w:bookmarkStart w:id="111" w:name="_Toc224543768"/>
      <w:bookmarkStart w:id="112" w:name="_Toc221290545"/>
      <w:bookmarkStart w:id="113" w:name="_Toc231819273"/>
      <w:bookmarkStart w:id="114" w:name="_Toc232410050"/>
      <w:bookmarkStart w:id="115" w:name="_Toc54563617"/>
      <w:bookmarkStart w:id="116" w:name="_Toc231556952"/>
      <w:r>
        <w:rPr>
          <w:rFonts w:hint="eastAsia"/>
          <w:highlight w:val="none"/>
          <w:u w:val="none"/>
        </w:rPr>
        <w:t>（一）区域竞争白热化与产品同质化风险加剧</w:t>
      </w:r>
      <w:bookmarkEnd w:id="110"/>
      <w:bookmarkEnd w:id="111"/>
      <w:bookmarkEnd w:id="112"/>
      <w:bookmarkEnd w:id="113"/>
      <w:bookmarkEnd w:id="114"/>
      <w:bookmarkEnd w:id="115"/>
      <w:bookmarkEnd w:id="116"/>
    </w:p>
    <w:p w14:paraId="1CA92EDC">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当前京郊文旅市场赛道高度拥挤、同质化竞争日趋白热化，各郊区均立足自身核心资源打造差异化标杆IP，对密云形成强势竞争。区域内乡村文旅多以“民宿+采摘”浅层业态为主，产品模式复制化、同质化问题突出，易引发低价内卷、客源分流，尚未形成不可替代的核心品牌标识。整体来看，我区文旅产品创新迭代能力不足，农文旅体商融合层次较浅，难以匹配新时期游客品质化、个性化、多元化的消费需求。</w:t>
      </w:r>
    </w:p>
    <w:p w14:paraId="3343CD25">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17" w:name="_Toc232165558"/>
      <w:bookmarkStart w:id="118" w:name="_Toc231556953"/>
      <w:bookmarkStart w:id="119" w:name="_Toc231819274"/>
      <w:bookmarkStart w:id="120" w:name="_Toc221290546"/>
      <w:bookmarkStart w:id="121" w:name="_Toc224543769"/>
      <w:bookmarkStart w:id="122" w:name="_Toc232410051"/>
      <w:bookmarkStart w:id="123" w:name="_Toc75193650"/>
      <w:r>
        <w:rPr>
          <w:rFonts w:hint="eastAsia"/>
          <w:highlight w:val="none"/>
          <w:u w:val="none"/>
        </w:rPr>
        <w:t>（二）</w:t>
      </w:r>
      <w:bookmarkEnd w:id="117"/>
      <w:bookmarkEnd w:id="118"/>
      <w:bookmarkEnd w:id="119"/>
      <w:bookmarkEnd w:id="120"/>
      <w:bookmarkEnd w:id="121"/>
      <w:bookmarkStart w:id="124" w:name="_Toc231556954"/>
      <w:bookmarkStart w:id="125" w:name="_Toc221290547"/>
      <w:bookmarkStart w:id="126" w:name="_Toc232165559"/>
      <w:bookmarkStart w:id="127" w:name="_Toc231819275"/>
      <w:bookmarkStart w:id="128" w:name="_Toc224543770"/>
      <w:r>
        <w:rPr>
          <w:rFonts w:hint="eastAsia"/>
          <w:highlight w:val="none"/>
          <w:u w:val="none"/>
        </w:rPr>
        <w:t>基础设施与公共服务存在短板</w:t>
      </w:r>
      <w:bookmarkEnd w:id="122"/>
      <w:bookmarkEnd w:id="123"/>
      <w:bookmarkEnd w:id="124"/>
      <w:bookmarkEnd w:id="125"/>
      <w:bookmarkEnd w:id="126"/>
      <w:bookmarkEnd w:id="127"/>
      <w:bookmarkEnd w:id="128"/>
    </w:p>
    <w:p w14:paraId="580B91D6">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全区文旅基础设施与公共服务体系仍存在结构性短板，精细化、韧性化保障能力有待提升。部分重点景区、乡村文旅节点的连通道路等级不高、通行承载能力有限，停车场、旅游标识、游客服务中心、便民休憩点位等基础配套设施功能不够完善</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快进慢游”全域交通网络体系尚未完全成型。文旅领域专项资金投入、数字化技术支撑、设施迭代升级力度仍需加大，整体基础设施与公共服务水平难以完全适配全域文旅提质升级，一定程度上制约了文旅产业赋能乡村振兴、拉动全域消费的综合效能。</w:t>
      </w:r>
      <w:bookmarkEnd w:id="92"/>
      <w:bookmarkEnd w:id="93"/>
      <w:bookmarkEnd w:id="94"/>
    </w:p>
    <w:p w14:paraId="339C98EB">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29" w:name="_Toc1059291114"/>
      <w:bookmarkStart w:id="130" w:name="_Toc232410052"/>
      <w:r>
        <w:rPr>
          <w:rFonts w:hint="eastAsia"/>
          <w:highlight w:val="none"/>
          <w:u w:val="none"/>
        </w:rPr>
        <w:t>（三）文旅提质与乡村振兴、城市更新融合不足</w:t>
      </w:r>
      <w:bookmarkEnd w:id="129"/>
      <w:bookmarkEnd w:id="130"/>
    </w:p>
    <w:p w14:paraId="18A95E8B">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lang w:eastAsia="zh-CN"/>
        </w:rPr>
        <w:t>全区</w:t>
      </w:r>
      <w:r>
        <w:rPr>
          <w:rFonts w:hint="eastAsia" w:ascii="仿宋_GB2312" w:hAnsi="仿宋_GB2312" w:cs="仿宋_GB2312"/>
          <w:highlight w:val="none"/>
          <w:u w:val="none"/>
        </w:rPr>
        <w:t>现有</w:t>
      </w:r>
      <w:r>
        <w:rPr>
          <w:rFonts w:hint="eastAsia" w:ascii="仿宋_GB2312" w:hAnsi="仿宋_GB2312" w:cs="仿宋_GB2312"/>
          <w:highlight w:val="none"/>
          <w:u w:val="none"/>
          <w:lang w:eastAsia="zh-CN"/>
        </w:rPr>
        <w:t>文旅</w:t>
      </w:r>
      <w:r>
        <w:rPr>
          <w:rFonts w:hint="eastAsia" w:ascii="仿宋_GB2312" w:hAnsi="仿宋_GB2312" w:cs="仿宋_GB2312"/>
          <w:highlight w:val="none"/>
          <w:u w:val="none"/>
        </w:rPr>
        <w:t>产品、服务与运营模式迭代缓慢；文旅与乡村振兴、城市更新结合不够紧密，对闲置院落、老旧街巷、低效空间等资源盘活利用不充分；文旅与康养、体育、数字经济、特色农业等新兴业态融合层次偏浅，跨界创新产品偏少。融合发展思路不够开阔、落地载体不足，未能有效借助城乡建设契机赋能文旅产业，难以通过业态融合培育新增长点，制约了文旅产业长远发展。</w:t>
      </w:r>
      <w:r>
        <w:rPr>
          <w:rFonts w:hint="eastAsia" w:ascii="仿宋_GB2312" w:hAnsi="仿宋_GB2312" w:cs="仿宋_GB2312"/>
          <w:highlight w:val="none"/>
          <w:u w:val="none"/>
        </w:rPr>
        <w:br w:type="page"/>
      </w:r>
    </w:p>
    <w:p w14:paraId="7C618BC0">
      <w:pPr>
        <w:pStyle w:val="3"/>
        <w:pageBreakBefore w:val="0"/>
        <w:kinsoku/>
        <w:wordWrap/>
        <w:overflowPunct/>
        <w:topLinePunct w:val="0"/>
        <w:autoSpaceDE/>
        <w:autoSpaceDN/>
        <w:bidi w:val="0"/>
        <w:adjustRightInd/>
        <w:snapToGrid/>
        <w:spacing w:line="560" w:lineRule="exact"/>
        <w:ind w:firstLine="198" w:firstLineChars="62"/>
        <w:textAlignment w:val="auto"/>
        <w:rPr>
          <w:highlight w:val="none"/>
          <w:u w:val="none"/>
        </w:rPr>
      </w:pPr>
      <w:bookmarkStart w:id="131" w:name="_Toc866319368"/>
      <w:r>
        <w:rPr>
          <w:rFonts w:hint="eastAsia"/>
          <w:highlight w:val="none"/>
          <w:u w:val="none"/>
        </w:rPr>
        <w:t xml:space="preserve">第三章 </w:t>
      </w:r>
      <w:bookmarkStart w:id="132" w:name="OLE_LINK26"/>
      <w:r>
        <w:rPr>
          <w:rFonts w:hint="eastAsia"/>
          <w:highlight w:val="none"/>
          <w:u w:val="none"/>
        </w:rPr>
        <w:t>密云区</w:t>
      </w:r>
      <w:r>
        <w:rPr>
          <w:rFonts w:hint="eastAsia"/>
          <w:highlight w:val="none"/>
          <w:u w:val="none"/>
          <w:lang w:eastAsia="zh-CN"/>
        </w:rPr>
        <w:t>“</w:t>
      </w:r>
      <w:r>
        <w:rPr>
          <w:rFonts w:hint="eastAsia"/>
          <w:highlight w:val="none"/>
          <w:u w:val="none"/>
        </w:rPr>
        <w:t>十五五”文化和旅游发展总体要求</w:t>
      </w:r>
      <w:bookmarkEnd w:id="65"/>
      <w:bookmarkEnd w:id="66"/>
      <w:bookmarkEnd w:id="67"/>
      <w:bookmarkEnd w:id="131"/>
      <w:bookmarkEnd w:id="132"/>
    </w:p>
    <w:p w14:paraId="18B5D162">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33" w:name="_Toc290491316"/>
      <w:bookmarkStart w:id="134" w:name="_Toc200619292"/>
      <w:bookmarkStart w:id="135" w:name="_Toc200552642"/>
      <w:bookmarkStart w:id="136" w:name="_Toc202364143"/>
      <w:r>
        <w:rPr>
          <w:rFonts w:hint="eastAsia"/>
          <w:highlight w:val="none"/>
          <w:u w:val="none"/>
        </w:rPr>
        <w:t>一、指导思想</w:t>
      </w:r>
      <w:bookmarkEnd w:id="133"/>
      <w:bookmarkEnd w:id="134"/>
      <w:bookmarkEnd w:id="135"/>
      <w:bookmarkEnd w:id="136"/>
    </w:p>
    <w:p w14:paraId="63A7753E">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bookmarkStart w:id="137" w:name="_Toc202364144"/>
      <w:bookmarkStart w:id="138" w:name="_Toc200552643"/>
      <w:bookmarkStart w:id="139" w:name="_Toc200619293"/>
      <w:r>
        <w:rPr>
          <w:rFonts w:hint="eastAsia" w:ascii="仿宋_GB2312" w:hAnsi="仿宋_GB2312" w:eastAsia="仿宋_GB2312" w:cs="仿宋_GB2312"/>
          <w:highlight w:val="none"/>
          <w:u w:val="none"/>
        </w:rPr>
        <w:t>坚持以习近平新时代中国特色社会主义思想为指导，深入贯彻落实党的二十大和二十届历次全会精神，深入贯彻习近平总书记对北京重要讲话精神，牢记习近平总书记重要回信嘱托，认真落实市委市政府工作要求，以新时代首都发展为统领，强化“三区”功能定位，坚持以高水平保护实现高质量发展，全面落实“以水润城、以水兴业、以水富民”发展战略，坚持文化为魂、旅游为体、科技赋能、保护优先,着力做大做强文化旅游业,深化“文旅+百业”“百业+文旅”</w:t>
      </w:r>
      <w:r>
        <w:rPr>
          <w:rFonts w:hint="eastAsia" w:ascii="仿宋_GB2312" w:hAnsi="仿宋_GB2312" w:cs="仿宋_GB2312"/>
          <w:highlight w:val="none"/>
          <w:u w:val="none"/>
          <w:lang w:eastAsia="zh-CN"/>
        </w:rPr>
        <w:t>，推动文化事业和文化产业高质量发展，</w:t>
      </w:r>
      <w:r>
        <w:rPr>
          <w:rFonts w:hint="eastAsia" w:ascii="仿宋_GB2312" w:hAnsi="仿宋_GB2312" w:eastAsia="仿宋_GB2312" w:cs="仿宋_GB2312"/>
          <w:highlight w:val="none"/>
          <w:u w:val="none"/>
        </w:rPr>
        <w:t>推进乡村旅游提档升级，发展“小而美”文旅业态，做好“来密云看海”文旅融合大文章，实现文化繁荣、旅游发展、生态保护、民生改善与灾后高效恢复的有机统一，推动密云区文化旅游产业高质量可持续发展，助力密云区在新时代首都发展中展现新作为、作出新贡献。</w:t>
      </w:r>
    </w:p>
    <w:p w14:paraId="602A16AC">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40" w:name="_Toc1057218381"/>
      <w:r>
        <w:rPr>
          <w:rFonts w:hint="eastAsia"/>
          <w:highlight w:val="none"/>
          <w:u w:val="none"/>
        </w:rPr>
        <w:t>二、基本原则</w:t>
      </w:r>
      <w:bookmarkEnd w:id="137"/>
      <w:bookmarkEnd w:id="138"/>
      <w:bookmarkEnd w:id="139"/>
      <w:bookmarkEnd w:id="140"/>
    </w:p>
    <w:p w14:paraId="50A6B1A6">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生态为基，守牢底线。锚定“生态优先”基本要求，立足首都生态涵养区核心职责，将水源保护、生态守护作为文旅发展的根本前提与刚性底线。以《密云水库水源保护条例》为遵循，统筹生态保护与产业发展，推动文旅产业绿色低碳转型，筑牢“两山”理论实践的生态根基，实现可持续发展。</w:t>
      </w:r>
    </w:p>
    <w:p w14:paraId="1D129D0F">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创新引领，提质增效。深化科技</w:t>
      </w:r>
      <w:r>
        <w:rPr>
          <w:rFonts w:hint="eastAsia" w:ascii="仿宋_GB2312" w:hAnsi="仿宋_GB2312" w:eastAsia="仿宋_GB2312" w:cs="仿宋_GB2312"/>
          <w:highlight w:val="none"/>
          <w:u w:val="none"/>
          <w:lang w:val="en-US" w:eastAsia="zh-CN"/>
        </w:rPr>
        <w:t>赋能</w:t>
      </w:r>
      <w:r>
        <w:rPr>
          <w:rFonts w:hint="eastAsia" w:ascii="仿宋_GB2312" w:hAnsi="仿宋_GB2312" w:eastAsia="仿宋_GB2312" w:cs="仿宋_GB2312"/>
          <w:highlight w:val="none"/>
          <w:u w:val="none"/>
        </w:rPr>
        <w:t>、文旅与多产业的跨界融合，激活新质生产力；深挖特色文化资源，创新产品形态、服务模式与品牌体系，推动产业从规模扩张向质量效益转型，构建具有密云辨识度的现代化文旅产业体系。</w:t>
      </w:r>
    </w:p>
    <w:p w14:paraId="7A5588F2">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以人为本，共建共享。践行“人民至上”核心要求，围绕群众文旅需求与民生改善目标，优化产品供给与服务保障。兼顾游客多样化体验与本地居民增收诉求，实现“保水”与“富民”有机统一，让文旅发展成果惠及更多群众，促进物质文明与精神文明协同提升。</w:t>
      </w:r>
    </w:p>
    <w:p w14:paraId="15E3D714">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41" w:name="_Toc202364145"/>
      <w:bookmarkStart w:id="142" w:name="_Toc200619294"/>
      <w:bookmarkStart w:id="143" w:name="_Toc200552644"/>
      <w:bookmarkStart w:id="144" w:name="_Toc389634189"/>
      <w:bookmarkStart w:id="145" w:name="OLE_LINK4"/>
      <w:r>
        <w:rPr>
          <w:rFonts w:hint="eastAsia"/>
          <w:highlight w:val="none"/>
          <w:u w:val="none"/>
        </w:rPr>
        <w:t>三、发展</w:t>
      </w:r>
      <w:bookmarkEnd w:id="141"/>
      <w:bookmarkEnd w:id="142"/>
      <w:bookmarkEnd w:id="143"/>
      <w:r>
        <w:rPr>
          <w:rFonts w:hint="eastAsia"/>
          <w:highlight w:val="none"/>
          <w:u w:val="none"/>
        </w:rPr>
        <w:t>目标</w:t>
      </w:r>
      <w:bookmarkEnd w:id="144"/>
    </w:p>
    <w:p w14:paraId="16895435">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以文化为魂、旅游为体，</w:t>
      </w:r>
      <w:bookmarkStart w:id="146" w:name="OLE_LINK9"/>
      <w:r>
        <w:rPr>
          <w:rFonts w:hint="eastAsia" w:ascii="仿宋_GB2312" w:hAnsi="仿宋_GB2312" w:cs="仿宋_GB2312"/>
          <w:highlight w:val="none"/>
          <w:u w:val="none"/>
        </w:rPr>
        <w:t>做强“来密云看海”特色文旅IP，提升传统景区的文化内涵，丰富溪翁庄、古北口等旅游重点镇的文旅业态，建成一批富有文化底蕴、激发消费活力、创新文旅体验的特色旅游景区、乡村旅游重点镇村和文旅体农商融合消费新场景。围绕密云生命健康产业，将健康文化融入旅游各环节，积极培育健康文旅新业态；以文化为纽带拓宽长城保护传承利用路径，推进长城文化带（长城国家文化公园）建设</w:t>
      </w:r>
      <w:bookmarkEnd w:id="146"/>
      <w:bookmarkStart w:id="147" w:name="OLE_LINK10"/>
      <w:bookmarkStart w:id="148" w:name="OLE_LINK15"/>
      <w:r>
        <w:rPr>
          <w:rFonts w:hint="eastAsia" w:ascii="仿宋_GB2312" w:hAnsi="仿宋_GB2312" w:cs="仿宋_GB2312"/>
          <w:highlight w:val="none"/>
          <w:u w:val="none"/>
        </w:rPr>
        <w:t>，打造京津冀和京郊微度假首选目的地</w:t>
      </w:r>
      <w:bookmarkEnd w:id="147"/>
      <w:r>
        <w:rPr>
          <w:rFonts w:hint="eastAsia" w:ascii="仿宋_GB2312" w:hAnsi="仿宋_GB2312" w:cs="仿宋_GB2312"/>
          <w:highlight w:val="none"/>
          <w:u w:val="none"/>
        </w:rPr>
        <w:t>。</w:t>
      </w:r>
    </w:p>
    <w:p w14:paraId="1435F72A">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到2030年，实现“十五五”期间累计旅游接待人数5801万人次、旅游综合收入591.8亿元，年均增速达到5%</w:t>
      </w:r>
      <w:bookmarkStart w:id="149" w:name="OLE_LINK11"/>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“来密云看海</w:t>
      </w:r>
      <w:r>
        <w:rPr>
          <w:rFonts w:ascii="仿宋_GB2312" w:hAnsi="仿宋_GB2312" w:cs="仿宋_GB2312"/>
          <w:highlight w:val="none"/>
          <w:u w:val="none"/>
        </w:rPr>
        <w:t>”</w:t>
      </w:r>
      <w:r>
        <w:rPr>
          <w:rFonts w:hint="eastAsia" w:ascii="仿宋_GB2312" w:hAnsi="仿宋_GB2312" w:cs="仿宋_GB2312"/>
          <w:highlight w:val="none"/>
          <w:u w:val="none"/>
        </w:rPr>
        <w:t>品牌深入人心，绿色生态品牌影响力显著增加，文化软实力显著增强，全域旅游产品供给不断丰富，服务水平不断提升，市场环境不断优化，文旅产业高质量发展再上新台阶</w:t>
      </w:r>
      <w:bookmarkEnd w:id="149"/>
      <w:r>
        <w:rPr>
          <w:rFonts w:hint="eastAsia" w:ascii="仿宋_GB2312" w:hAnsi="仿宋_GB2312" w:cs="仿宋_GB2312"/>
          <w:highlight w:val="none"/>
          <w:u w:val="none"/>
        </w:rPr>
        <w:t>。</w:t>
      </w:r>
      <w:bookmarkEnd w:id="148"/>
      <w:bookmarkStart w:id="150" w:name="_Toc200619296"/>
      <w:bookmarkStart w:id="151" w:name="_Toc200552646"/>
    </w:p>
    <w:bookmarkEnd w:id="145"/>
    <w:p w14:paraId="29067FB9">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52" w:name="_Toc904174820"/>
      <w:bookmarkStart w:id="153" w:name="_Toc224543775"/>
      <w:r>
        <w:rPr>
          <w:rFonts w:hint="eastAsia"/>
          <w:highlight w:val="none"/>
          <w:u w:val="none"/>
        </w:rPr>
        <w:t>四、空间布局</w:t>
      </w:r>
      <w:bookmarkEnd w:id="152"/>
      <w:bookmarkEnd w:id="153"/>
    </w:p>
    <w:p w14:paraId="01155BFF">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严格落实《北京城市总体规划（2016年-2035年）》赋予密云的“首都最重要的水源保护地及区域生态治理协作区、国家生态文明先行示范区、特色文化旅游休闲及创新发展示范区”功能定位，深入贯彻《密云分区规划（国土空间规划）（2017年-2035年）》部署要求，依托密云区资源禀赋，构建</w:t>
      </w:r>
      <w:r>
        <w:rPr>
          <w:rFonts w:hint="eastAsia" w:ascii="仿宋_GB2312" w:hAnsi="仿宋_GB2312" w:cs="仿宋_GB2312"/>
          <w:b/>
          <w:bCs/>
          <w:highlight w:val="none"/>
          <w:u w:val="none"/>
        </w:rPr>
        <w:t>“一核</w:t>
      </w:r>
      <w:r>
        <w:rPr>
          <w:rFonts w:hint="eastAsia" w:ascii="仿宋_GB2312" w:hAnsi="仿宋_GB2312" w:cs="仿宋_GB2312"/>
          <w:b/>
          <w:bCs/>
          <w:highlight w:val="none"/>
          <w:u w:val="none"/>
          <w:lang w:val="en-US" w:eastAsia="zh-CN"/>
        </w:rPr>
        <w:t>聚能</w:t>
      </w:r>
      <w:r>
        <w:rPr>
          <w:rFonts w:hint="eastAsia" w:ascii="仿宋_GB2312" w:hAnsi="仿宋_GB2312" w:cs="仿宋_GB2312"/>
          <w:b/>
          <w:bCs/>
          <w:highlight w:val="none"/>
          <w:u w:val="none"/>
        </w:rPr>
        <w:t>、四带联动、多点支撑、全域覆盖”</w:t>
      </w:r>
      <w:r>
        <w:rPr>
          <w:rFonts w:hint="eastAsia" w:ascii="仿宋_GB2312" w:hAnsi="仿宋_GB2312" w:cs="仿宋_GB2312"/>
          <w:highlight w:val="none"/>
          <w:u w:val="none"/>
        </w:rPr>
        <w:t>的文化和旅游发展空间布局，推动文旅产业高质量发展。</w:t>
      </w:r>
    </w:p>
    <w:p w14:paraId="7BA2EFC6">
      <w:pPr>
        <w:pStyle w:val="5"/>
        <w:spacing w:before="204" w:after="204"/>
        <w:ind w:firstLine="640"/>
        <w:rPr>
          <w:highlight w:val="none"/>
          <w:u w:val="none"/>
        </w:rPr>
      </w:pPr>
      <w:bookmarkStart w:id="154" w:name="_Toc231556964"/>
      <w:bookmarkStart w:id="155" w:name="_Toc232165565"/>
      <w:bookmarkStart w:id="156" w:name="_Toc221290554"/>
      <w:bookmarkStart w:id="157" w:name="_Toc224543776"/>
      <w:bookmarkStart w:id="158" w:name="_Toc231819281"/>
      <w:bookmarkStart w:id="159" w:name="_Toc220399167"/>
      <w:bookmarkStart w:id="160" w:name="_Toc221229319"/>
      <w:bookmarkStart w:id="161" w:name="_Toc232410058"/>
      <w:bookmarkStart w:id="162" w:name="_Toc871913568"/>
      <w:r>
        <w:rPr>
          <w:rFonts w:hint="eastAsia"/>
          <w:highlight w:val="none"/>
          <w:u w:val="none"/>
        </w:rPr>
        <w:t>（一）“一核”聚能</w:t>
      </w:r>
    </w:p>
    <w:p w14:paraId="6E6F7172">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r>
        <w:rPr>
          <w:rFonts w:hint="eastAsia" w:ascii="仿宋_GB2312" w:hAnsi="仿宋_GB2312" w:cs="仿宋_GB2312"/>
          <w:highlight w:val="none"/>
          <w:u w:val="none"/>
        </w:rPr>
        <w:t>坚守生态保护优先底线，紧紧围绕首都最重要的水源保护地及区域生态治理协作区、国家生态文明先行示范区、特色文化旅游休闲及创新发展示范区</w:t>
      </w:r>
      <w:r>
        <w:rPr>
          <w:rFonts w:hint="eastAsia" w:ascii="仿宋_GB2312" w:hAnsi="仿宋_GB2312" w:cs="仿宋_GB2312"/>
          <w:highlight w:val="none"/>
          <w:u w:val="none"/>
          <w:lang w:val="en-US" w:eastAsia="zh-CN"/>
        </w:rPr>
        <w:t>功能定位</w:t>
      </w:r>
      <w:r>
        <w:rPr>
          <w:rFonts w:hint="eastAsia" w:ascii="仿宋_GB2312" w:hAnsi="仿宋_GB2312" w:cs="仿宋_GB2312"/>
          <w:highlight w:val="none"/>
          <w:u w:val="none"/>
        </w:rPr>
        <w:t>，</w:t>
      </w:r>
      <w:r>
        <w:rPr>
          <w:rFonts w:hint="eastAsia" w:ascii="仿宋_GB2312" w:hAnsi="仿宋_GB2312" w:cs="仿宋_GB2312"/>
          <w:highlight w:val="none"/>
          <w:u w:val="none"/>
          <w:lang w:val="en-US" w:eastAsia="zh-CN"/>
        </w:rPr>
        <w:t>将</w:t>
      </w:r>
      <w:r>
        <w:rPr>
          <w:rFonts w:hint="eastAsia" w:ascii="仿宋_GB2312" w:hAnsi="仿宋_GB2312" w:cs="仿宋_GB2312"/>
          <w:highlight w:val="none"/>
          <w:u w:val="none"/>
        </w:rPr>
        <w:t>密云水库全域生态体系</w:t>
      </w:r>
      <w:r>
        <w:rPr>
          <w:rFonts w:hint="eastAsia" w:ascii="仿宋_GB2312" w:hAnsi="仿宋_GB2312" w:cs="仿宋_GB2312"/>
          <w:highlight w:val="none"/>
          <w:u w:val="none"/>
          <w:lang w:val="en-US" w:eastAsia="zh-CN"/>
        </w:rPr>
        <w:t>作为</w:t>
      </w:r>
      <w:r>
        <w:rPr>
          <w:rFonts w:hint="eastAsia" w:ascii="仿宋_GB2312" w:hAnsi="仿宋_GB2312" w:cs="仿宋_GB2312"/>
          <w:highlight w:val="none"/>
          <w:u w:val="none"/>
        </w:rPr>
        <w:t>区域生态功能核心区</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依托</w:t>
      </w:r>
      <w:r>
        <w:rPr>
          <w:rFonts w:hint="eastAsia" w:ascii="仿宋_GB2312" w:hAnsi="仿宋_GB2312" w:cs="仿宋_GB2312"/>
          <w:highlight w:val="none"/>
          <w:u w:val="none"/>
          <w:lang w:eastAsia="zh-CN"/>
        </w:rPr>
        <w:t>“</w:t>
      </w:r>
      <w:r>
        <w:rPr>
          <w:rFonts w:hint="eastAsia" w:ascii="仿宋_GB2312" w:hAnsi="仿宋_GB2312" w:cs="仿宋_GB2312"/>
          <w:highlight w:val="none"/>
          <w:u w:val="none"/>
          <w:lang w:val="en-US" w:eastAsia="zh-CN"/>
        </w:rPr>
        <w:t>无价之宝”——密云</w:t>
      </w:r>
      <w:r>
        <w:rPr>
          <w:rFonts w:hint="eastAsia" w:ascii="仿宋_GB2312" w:hAnsi="仿宋_GB2312" w:cs="仿宋_GB2312"/>
          <w:highlight w:val="none"/>
          <w:u w:val="none"/>
        </w:rPr>
        <w:t>水库独一无二的</w:t>
      </w:r>
      <w:r>
        <w:rPr>
          <w:rFonts w:hint="eastAsia" w:ascii="仿宋_GB2312" w:hAnsi="仿宋_GB2312" w:cs="仿宋_GB2312"/>
          <w:highlight w:val="none"/>
          <w:u w:val="none"/>
          <w:lang w:val="en-US" w:eastAsia="zh-CN"/>
        </w:rPr>
        <w:t>资源禀赋</w:t>
      </w:r>
      <w:r>
        <w:rPr>
          <w:rFonts w:hint="eastAsia" w:ascii="仿宋_GB2312" w:hAnsi="仿宋_GB2312" w:cs="仿宋_GB2312"/>
          <w:highlight w:val="none"/>
          <w:u w:val="none"/>
        </w:rPr>
        <w:t>，</w:t>
      </w:r>
      <w:r>
        <w:rPr>
          <w:rFonts w:hint="eastAsia" w:ascii="仿宋_GB2312" w:hAnsi="仿宋_GB2312" w:cs="仿宋_GB2312"/>
          <w:highlight w:val="none"/>
          <w:u w:val="none"/>
          <w:lang w:val="en-US" w:eastAsia="zh-CN"/>
        </w:rPr>
        <w:t>深化</w:t>
      </w:r>
      <w:r>
        <w:rPr>
          <w:rFonts w:hint="eastAsia" w:ascii="仿宋_GB2312" w:hAnsi="仿宋_GB2312" w:cs="仿宋_GB2312"/>
          <w:highlight w:val="none"/>
          <w:u w:val="none"/>
        </w:rPr>
        <w:t>“来密云看海”城市品牌，串联</w:t>
      </w:r>
      <w:r>
        <w:rPr>
          <w:rFonts w:hint="eastAsia" w:ascii="仿宋_GB2312" w:hAnsi="仿宋_GB2312" w:cs="仿宋_GB2312"/>
          <w:highlight w:val="none"/>
          <w:u w:val="none"/>
          <w:lang w:val="en-US" w:eastAsia="zh-CN"/>
        </w:rPr>
        <w:t>四条特色文化旅游休闲发展带</w:t>
      </w:r>
      <w:r>
        <w:rPr>
          <w:rFonts w:hint="eastAsia" w:ascii="仿宋_GB2312" w:hAnsi="仿宋_GB2312" w:cs="仿宋_GB2312"/>
          <w:highlight w:val="none"/>
          <w:u w:val="none"/>
        </w:rPr>
        <w:t>特色文旅资源，布局生态观光、文化体验、休闲度假等多元微度假场景</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赋能全区生态文旅创新升级</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构建</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以生态IP为引领、全域资源联动</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的文旅发展新格局</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为密云全面实施“以水润城、以水兴业、以水富民”发展战略注入强劲动能。</w:t>
      </w:r>
    </w:p>
    <w:bookmarkEnd w:id="154"/>
    <w:bookmarkEnd w:id="155"/>
    <w:bookmarkEnd w:id="156"/>
    <w:bookmarkEnd w:id="157"/>
    <w:bookmarkEnd w:id="158"/>
    <w:bookmarkEnd w:id="159"/>
    <w:bookmarkEnd w:id="160"/>
    <w:bookmarkEnd w:id="161"/>
    <w:bookmarkEnd w:id="162"/>
    <w:p w14:paraId="1C3474D6">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63" w:name="_Toc232410059"/>
      <w:bookmarkStart w:id="164" w:name="_Toc221290555"/>
      <w:bookmarkStart w:id="165" w:name="_Toc224543777"/>
      <w:bookmarkStart w:id="166" w:name="_Toc221229320"/>
      <w:bookmarkStart w:id="167" w:name="_Toc232165566"/>
      <w:bookmarkStart w:id="168" w:name="_Toc1970413895"/>
      <w:bookmarkStart w:id="169" w:name="_Toc231819282"/>
      <w:bookmarkStart w:id="170" w:name="_Toc231556965"/>
      <w:bookmarkStart w:id="171" w:name="_Toc220399168"/>
      <w:r>
        <w:rPr>
          <w:rFonts w:hint="eastAsia"/>
          <w:highlight w:val="none"/>
          <w:u w:val="none"/>
        </w:rPr>
        <w:t>（二）“四带”联动</w:t>
      </w:r>
      <w:bookmarkEnd w:id="163"/>
      <w:bookmarkEnd w:id="164"/>
      <w:bookmarkEnd w:id="165"/>
      <w:bookmarkEnd w:id="166"/>
      <w:bookmarkEnd w:id="167"/>
      <w:bookmarkEnd w:id="168"/>
      <w:bookmarkEnd w:id="169"/>
      <w:bookmarkEnd w:id="170"/>
      <w:bookmarkEnd w:id="171"/>
    </w:p>
    <w:p w14:paraId="4E744DAC">
      <w:pPr>
        <w:pageBreakBefore w:val="0"/>
        <w:tabs>
          <w:tab w:val="left" w:pos="1486"/>
        </w:tabs>
        <w:kinsoku/>
        <w:wordWrap/>
        <w:overflowPunct/>
        <w:topLinePunct w:val="0"/>
        <w:autoSpaceDE/>
        <w:autoSpaceDN/>
        <w:bidi w:val="0"/>
        <w:adjustRightInd/>
        <w:snapToGrid/>
        <w:spacing w:line="560" w:lineRule="exact"/>
        <w:jc w:val="left"/>
        <w:textAlignment w:val="auto"/>
        <w:rPr>
          <w:rFonts w:hint="eastAsia"/>
          <w:highlight w:val="none"/>
          <w:u w:val="none"/>
          <w:lang w:val="en-US" w:eastAsia="zh-CN"/>
        </w:rPr>
      </w:pPr>
      <w:r>
        <w:rPr>
          <w:rFonts w:hint="eastAsia" w:ascii="仿宋_GB2312" w:hAnsi="仿宋_GB2312" w:cs="仿宋_GB2312"/>
          <w:highlight w:val="none"/>
          <w:u w:val="none"/>
        </w:rPr>
        <w:t>升级优化四条特色文化和旅游发展带业态布局，强化各带资源互补、差异化发展、协同联动，形成贯穿全域的文旅发展骨干脉络。</w:t>
      </w:r>
      <w:r>
        <w:rPr>
          <w:rFonts w:hint="eastAsia"/>
          <w:highlight w:val="none"/>
          <w:u w:val="none"/>
          <w:lang w:val="en-US" w:eastAsia="zh-CN"/>
        </w:rPr>
        <w:t>东部地区文化休闲旅游发展带：以京承高速为轴线，发挥古北水镇龙头引领作用，打造京郊首选文旅休闲微度假走廊；西部地区休闲美食和旅游度假发展带：深度融合红色文化、生态文化、美食文化等资源，打造北京休闲美食文化体验区和京津冀生态度假旅游目的地；南部地区时尚运动和体育旅游发展带：以京沈高铁密云站交通枢纽为支点，整合体育活动、农业特色、文化魅力和旅游动能，打造时尚运动文化休闲旅游体验产业集群；北部地区长城文化旅游发展带：全面融入北京长城文化带建设，建设长城大景区，加强古北口—司马台长城段联动发展，建设“长城文化+”文旅核心片区。</w:t>
      </w:r>
      <w:bookmarkStart w:id="172" w:name="_Toc221290556"/>
      <w:bookmarkStart w:id="173" w:name="_Toc232165567"/>
      <w:bookmarkStart w:id="174" w:name="_Toc231556966"/>
      <w:bookmarkStart w:id="175" w:name="_Toc401012878"/>
      <w:bookmarkStart w:id="176" w:name="_Toc232410060"/>
      <w:bookmarkStart w:id="177" w:name="_Toc221229321"/>
      <w:bookmarkStart w:id="178" w:name="_Toc220399169"/>
      <w:bookmarkStart w:id="179" w:name="_Toc231819283"/>
      <w:bookmarkStart w:id="180" w:name="_Toc224543778"/>
    </w:p>
    <w:p w14:paraId="3D9F7243">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highlight w:val="none"/>
          <w:u w:val="none"/>
        </w:rPr>
      </w:pPr>
      <w:r>
        <w:rPr>
          <w:rFonts w:hint="eastAsia"/>
          <w:highlight w:val="none"/>
          <w:u w:val="none"/>
          <w:lang w:eastAsia="zh-CN"/>
        </w:rPr>
        <w:t>（</w:t>
      </w:r>
      <w:r>
        <w:rPr>
          <w:rFonts w:hint="eastAsia"/>
          <w:highlight w:val="none"/>
          <w:u w:val="none"/>
          <w:lang w:val="en-US" w:eastAsia="zh-CN"/>
        </w:rPr>
        <w:t>三）</w:t>
      </w:r>
      <w:r>
        <w:rPr>
          <w:rFonts w:hint="eastAsia"/>
          <w:highlight w:val="none"/>
          <w:u w:val="none"/>
        </w:rPr>
        <w:t>“多点”支撑</w:t>
      </w:r>
      <w:bookmarkEnd w:id="172"/>
      <w:bookmarkEnd w:id="173"/>
      <w:bookmarkEnd w:id="174"/>
      <w:bookmarkEnd w:id="175"/>
      <w:bookmarkEnd w:id="176"/>
      <w:bookmarkEnd w:id="177"/>
      <w:bookmarkEnd w:id="178"/>
      <w:bookmarkEnd w:id="179"/>
      <w:bookmarkEnd w:id="180"/>
      <w:bookmarkStart w:id="181" w:name="_Toc220399170"/>
      <w:bookmarkStart w:id="182" w:name="_Toc224543779"/>
      <w:bookmarkStart w:id="183" w:name="_Toc232165568"/>
      <w:bookmarkStart w:id="184" w:name="_Toc232410061"/>
      <w:bookmarkStart w:id="185" w:name="_Toc221290557"/>
      <w:bookmarkStart w:id="186" w:name="_Toc231819284"/>
      <w:bookmarkStart w:id="187" w:name="_Toc221229322"/>
      <w:bookmarkStart w:id="188" w:name="_Toc231556967"/>
      <w:bookmarkStart w:id="189" w:name="_Toc1019756260"/>
    </w:p>
    <w:p w14:paraId="52A3DC49">
      <w:pPr>
        <w:pageBreakBefore w:val="0"/>
        <w:numPr>
          <w:ilvl w:val="0"/>
          <w:numId w:val="0"/>
        </w:numPr>
        <w:tabs>
          <w:tab w:val="left" w:pos="1486"/>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heme="minorBidi"/>
          <w:b w:val="0"/>
          <w:bCs w:val="0"/>
          <w:kern w:val="2"/>
          <w:sz w:val="32"/>
          <w:szCs w:val="24"/>
          <w:highlight w:val="none"/>
          <w:u w:val="none"/>
          <w:lang w:val="en-US" w:eastAsia="zh-CN" w:bidi="ar-SA"/>
        </w:rPr>
      </w:pPr>
      <w:r>
        <w:rPr>
          <w:rFonts w:hint="eastAsia" w:ascii="Times New Roman" w:hAnsi="Times New Roman" w:eastAsia="仿宋_GB2312" w:cstheme="minorBidi"/>
          <w:b w:val="0"/>
          <w:bCs w:val="0"/>
          <w:kern w:val="2"/>
          <w:sz w:val="32"/>
          <w:szCs w:val="24"/>
          <w:highlight w:val="none"/>
          <w:u w:val="none"/>
          <w:lang w:val="en-US" w:eastAsia="zh-CN" w:bidi="ar-SA"/>
        </w:rPr>
        <w:t>立足各镇资源禀赋，推动特色乡镇建设，统筹长城遗存、古镇街巷、红色文化等核心资源，活化利用古长城、古村落等历史资源，培育长城研学、古堡体验、边塞民俗等特色业态，加快古北口历史文化街区提升、古御道基础设施提升等重大项目落地建设，打造古北口镇“长城古镇”。整合生态农业、特色林果、田园生态资源，依托甜蜜产业基础，深化太师屯镇“甜蜜小镇”建设。统筹古树生态、古建村落、山野资源，聚焦古树文化特色，以新城子“古树名镇”旅游设施提升项目为牵引，擦亮新城子镇“古树名镇”品牌。以重大项目落地转化为牵引，同步推动高岭、不老屯、冯家峪、石城、北庄、大城子、穆家峪、溪翁庄、巨各庄、东邵渠、河南寨、十里堡镇特色IP持续</w:t>
      </w:r>
      <w:r>
        <w:rPr>
          <w:rFonts w:hint="eastAsia" w:cstheme="minorBidi"/>
          <w:b w:val="0"/>
          <w:bCs w:val="0"/>
          <w:kern w:val="2"/>
          <w:sz w:val="32"/>
          <w:szCs w:val="24"/>
          <w:highlight w:val="none"/>
          <w:u w:val="none"/>
          <w:lang w:val="en-US" w:eastAsia="zh-CN" w:bidi="ar-SA"/>
        </w:rPr>
        <w:t>打造</w:t>
      </w:r>
      <w:r>
        <w:rPr>
          <w:rFonts w:hint="eastAsia" w:ascii="Times New Roman" w:hAnsi="Times New Roman" w:eastAsia="仿宋_GB2312" w:cstheme="minorBidi"/>
          <w:b w:val="0"/>
          <w:bCs w:val="0"/>
          <w:kern w:val="2"/>
          <w:sz w:val="32"/>
          <w:szCs w:val="24"/>
          <w:highlight w:val="none"/>
          <w:u w:val="none"/>
          <w:lang w:val="en-US" w:eastAsia="zh-CN" w:bidi="ar-SA"/>
        </w:rPr>
        <w:t>，形成</w:t>
      </w:r>
      <w:r>
        <w:rPr>
          <w:rFonts w:hint="eastAsia" w:cstheme="minorBidi"/>
          <w:b w:val="0"/>
          <w:bCs w:val="0"/>
          <w:kern w:val="2"/>
          <w:sz w:val="32"/>
          <w:szCs w:val="24"/>
          <w:highlight w:val="none"/>
          <w:u w:val="none"/>
          <w:lang w:val="en-US" w:eastAsia="zh-CN" w:bidi="ar-SA"/>
        </w:rPr>
        <w:t>“以</w:t>
      </w:r>
      <w:r>
        <w:rPr>
          <w:rFonts w:hint="eastAsia" w:ascii="Times New Roman" w:hAnsi="Times New Roman" w:eastAsia="仿宋_GB2312" w:cstheme="minorBidi"/>
          <w:b w:val="0"/>
          <w:bCs w:val="0"/>
          <w:kern w:val="2"/>
          <w:sz w:val="32"/>
          <w:szCs w:val="24"/>
          <w:highlight w:val="none"/>
          <w:u w:val="none"/>
          <w:lang w:val="en-US" w:eastAsia="zh-CN" w:bidi="ar-SA"/>
        </w:rPr>
        <w:t>大</w:t>
      </w:r>
      <w:r>
        <w:rPr>
          <w:rFonts w:hint="eastAsia" w:ascii="Times New Roman" w:hAnsi="Times New Roman" w:eastAsia="仿宋_GB2312" w:cstheme="minorBidi"/>
          <w:b w:val="0"/>
          <w:bCs w:val="0"/>
          <w:spacing w:val="-6"/>
          <w:kern w:val="2"/>
          <w:sz w:val="32"/>
          <w:szCs w:val="24"/>
          <w:highlight w:val="none"/>
          <w:u w:val="none"/>
          <w:lang w:val="en-US" w:eastAsia="zh-CN" w:bidi="ar-SA"/>
        </w:rPr>
        <w:t>项目为牵引、以特色IP为支撑、百花齐放各具亮点</w:t>
      </w:r>
      <w:r>
        <w:rPr>
          <w:rFonts w:hint="eastAsia" w:cstheme="minorBidi"/>
          <w:b w:val="0"/>
          <w:bCs w:val="0"/>
          <w:spacing w:val="-6"/>
          <w:kern w:val="2"/>
          <w:sz w:val="32"/>
          <w:szCs w:val="24"/>
          <w:highlight w:val="none"/>
          <w:u w:val="none"/>
          <w:lang w:val="en-US" w:eastAsia="zh-CN" w:bidi="ar-SA"/>
        </w:rPr>
        <w:t>”</w:t>
      </w:r>
      <w:r>
        <w:rPr>
          <w:rFonts w:hint="eastAsia" w:ascii="Times New Roman" w:hAnsi="Times New Roman" w:eastAsia="仿宋_GB2312" w:cstheme="minorBidi"/>
          <w:b w:val="0"/>
          <w:bCs w:val="0"/>
          <w:spacing w:val="-6"/>
          <w:kern w:val="2"/>
          <w:sz w:val="32"/>
          <w:szCs w:val="24"/>
          <w:highlight w:val="none"/>
          <w:u w:val="none"/>
          <w:lang w:val="en-US" w:eastAsia="zh-CN" w:bidi="ar-SA"/>
        </w:rPr>
        <w:t>的发展格局。</w:t>
      </w:r>
    </w:p>
    <w:p w14:paraId="3B96E791">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r>
        <w:rPr>
          <w:rFonts w:hint="eastAsia"/>
          <w:highlight w:val="none"/>
          <w:u w:val="none"/>
        </w:rPr>
        <w:t>（四）“全域”覆盖</w:t>
      </w:r>
      <w:bookmarkEnd w:id="181"/>
      <w:bookmarkEnd w:id="182"/>
      <w:bookmarkEnd w:id="183"/>
      <w:bookmarkEnd w:id="184"/>
      <w:bookmarkEnd w:id="185"/>
      <w:bookmarkEnd w:id="186"/>
      <w:bookmarkEnd w:id="187"/>
      <w:bookmarkEnd w:id="188"/>
      <w:bookmarkEnd w:id="189"/>
    </w:p>
    <w:bookmarkEnd w:id="150"/>
    <w:bookmarkEnd w:id="151"/>
    <w:p w14:paraId="6E72EBB9">
      <w:pPr>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heme="minorBidi"/>
          <w:b w:val="0"/>
          <w:bCs w:val="0"/>
          <w:kern w:val="2"/>
          <w:sz w:val="32"/>
          <w:szCs w:val="24"/>
          <w:highlight w:val="none"/>
          <w:u w:val="none"/>
          <w:lang w:val="en-US" w:eastAsia="zh-CN" w:bidi="ar-SA"/>
        </w:rPr>
      </w:pPr>
      <w:bookmarkStart w:id="190" w:name="_Toc202364158"/>
      <w:bookmarkStart w:id="191" w:name="_Toc200552657"/>
      <w:bookmarkStart w:id="192" w:name="_Toc200619307"/>
      <w:r>
        <w:rPr>
          <w:rFonts w:hint="eastAsia" w:ascii="Times New Roman" w:hAnsi="Times New Roman" w:eastAsia="仿宋_GB2312" w:cstheme="minorBidi"/>
          <w:b w:val="0"/>
          <w:bCs w:val="0"/>
          <w:kern w:val="2"/>
          <w:sz w:val="32"/>
          <w:szCs w:val="24"/>
          <w:highlight w:val="none"/>
          <w:u w:val="none"/>
          <w:lang w:val="en-US" w:eastAsia="zh-CN" w:bidi="ar-SA"/>
        </w:rPr>
        <w:t>构建“快进慢游、内畅外通”的全域旅游交通网络。重点升级环库公路等骨干道路，优化通行条件与承载能力，完善沿线景观绿化、观景平台、休闲停车区及交通标识导引，打造“最美公路”景观带，畅通景区与乡镇快速通达，满足“快进”需求。整合山水生态、古村风貌、田园景观，建设骑行绿道、徒步步道、滨水漫游道等慢行体系，串联自然景观、古村落、网红打卡点、田园体验基地，推出山水生态、长城文化、田园休闲、乡村研学等主题精品线路。</w:t>
      </w:r>
      <w:r>
        <w:rPr>
          <w:rFonts w:hint="eastAsia" w:cstheme="minorBidi"/>
          <w:b w:val="0"/>
          <w:bCs w:val="0"/>
          <w:kern w:val="2"/>
          <w:sz w:val="32"/>
          <w:szCs w:val="24"/>
          <w:highlight w:val="none"/>
          <w:u w:val="none"/>
          <w:lang w:val="en-US" w:eastAsia="zh-CN" w:bidi="ar-SA"/>
        </w:rPr>
        <w:t>设置</w:t>
      </w:r>
      <w:r>
        <w:rPr>
          <w:rFonts w:hint="eastAsia" w:ascii="Times New Roman" w:hAnsi="Times New Roman" w:eastAsia="仿宋_GB2312" w:cstheme="minorBidi"/>
          <w:b w:val="0"/>
          <w:bCs w:val="0"/>
          <w:kern w:val="2"/>
          <w:sz w:val="32"/>
          <w:szCs w:val="24"/>
          <w:highlight w:val="none"/>
          <w:u w:val="none"/>
          <w:lang w:val="en-US" w:eastAsia="zh-CN" w:bidi="ar-SA"/>
        </w:rPr>
        <w:t>覆盖重点景区、精品民宿、特色乡镇的旅游接驳专线，推动智慧驾驶、智能接驳等新业态落地，提升智能化水平；拓展旅游集散中心功能，叠加线路咨询、票务预订、文旅导览、行李寄存、文创展示等多元服务。科学增设停车场、新能源充电桩、智慧旅游厕所、休憩驿站等配套设施，补全服务短板，实现交通设施与文旅服务、景观体验深度融合，构建功能完善、体验优质的全域交旅融合体系。</w:t>
      </w:r>
    </w:p>
    <w:p w14:paraId="409712FE">
      <w:pPr>
        <w:pStyle w:val="3"/>
        <w:pageBreakBefore w:val="0"/>
        <w:kinsoku/>
        <w:wordWrap/>
        <w:overflowPunct/>
        <w:topLinePunct w:val="0"/>
        <w:autoSpaceDE/>
        <w:autoSpaceDN/>
        <w:bidi w:val="0"/>
        <w:adjustRightInd/>
        <w:snapToGrid/>
        <w:spacing w:line="560" w:lineRule="exact"/>
        <w:ind w:firstLine="198" w:firstLineChars="62"/>
        <w:textAlignment w:val="auto"/>
        <w:rPr>
          <w:highlight w:val="none"/>
          <w:u w:val="none"/>
        </w:rPr>
      </w:pPr>
      <w:bookmarkStart w:id="193" w:name="_Toc2123958760"/>
      <w:r>
        <w:rPr>
          <w:rFonts w:hint="eastAsia"/>
          <w:highlight w:val="none"/>
          <w:u w:val="none"/>
        </w:rPr>
        <w:t xml:space="preserve">第四章 </w:t>
      </w:r>
      <w:bookmarkEnd w:id="190"/>
      <w:bookmarkEnd w:id="191"/>
      <w:bookmarkEnd w:id="192"/>
      <w:bookmarkStart w:id="194" w:name="_Toc200552658"/>
      <w:bookmarkStart w:id="195" w:name="_Toc200619308"/>
      <w:bookmarkStart w:id="196" w:name="_Toc202364159"/>
      <w:r>
        <w:rPr>
          <w:rFonts w:hint="eastAsia"/>
          <w:highlight w:val="none"/>
          <w:u w:val="none"/>
        </w:rPr>
        <w:t>密云区“十五五”文化和旅游发展主要任务</w:t>
      </w:r>
      <w:bookmarkEnd w:id="193"/>
      <w:bookmarkEnd w:id="194"/>
      <w:bookmarkEnd w:id="195"/>
      <w:bookmarkEnd w:id="196"/>
    </w:p>
    <w:p w14:paraId="0C28A0BD">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197" w:name="_Toc1901698886"/>
      <w:r>
        <w:rPr>
          <w:rFonts w:hint="eastAsia"/>
          <w:highlight w:val="none"/>
          <w:u w:val="none"/>
        </w:rPr>
        <w:t>一、深耕文化事业发展，强化文化遗产保护传承</w:t>
      </w:r>
      <w:bookmarkEnd w:id="197"/>
    </w:p>
    <w:p w14:paraId="0BBE6114">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198" w:name="_Toc221290560"/>
      <w:bookmarkStart w:id="199" w:name="_Toc232410065"/>
      <w:bookmarkStart w:id="200" w:name="_Toc231556970"/>
      <w:bookmarkStart w:id="201" w:name="_Toc232165572"/>
      <w:bookmarkStart w:id="202" w:name="_Toc231819287"/>
      <w:bookmarkStart w:id="203" w:name="_Toc221229325"/>
      <w:bookmarkStart w:id="204" w:name="_Toc854058701"/>
      <w:bookmarkStart w:id="205" w:name="_Toc224543782"/>
      <w:r>
        <w:rPr>
          <w:rFonts w:hint="eastAsia"/>
          <w:highlight w:val="none"/>
          <w:u w:val="none"/>
        </w:rPr>
        <w:t>（一）推动公共文化提质增效</w:t>
      </w:r>
      <w:bookmarkEnd w:id="198"/>
      <w:bookmarkEnd w:id="199"/>
      <w:bookmarkEnd w:id="200"/>
      <w:bookmarkEnd w:id="201"/>
      <w:bookmarkEnd w:id="202"/>
      <w:bookmarkEnd w:id="203"/>
      <w:bookmarkEnd w:id="204"/>
      <w:bookmarkEnd w:id="205"/>
    </w:p>
    <w:p w14:paraId="440C7785">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推动优质文化资源直达基层。对接市级歌舞、话剧、戏曲等专业院团，与镇街综合文化中心、乡村文化阵地结对共建，常态化提供精品演出、艺术辅导等服务。依托市级及区级公共文化数字平台，整合密云水库文化数字展、长城非遗数字库、乡村文艺精品库等特色资源，线上精准推送至乡村、景区、民宿，实现优质文化资源“一键可达、全民共享”。</w:t>
      </w:r>
    </w:p>
    <w:p w14:paraId="5B857A24">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lang w:val="en-US" w:eastAsia="zh-CN"/>
        </w:rPr>
        <w:t>完善</w:t>
      </w:r>
      <w:r>
        <w:rPr>
          <w:rFonts w:hint="eastAsia" w:ascii="仿宋_GB2312" w:hAnsi="仿宋_GB2312" w:cs="仿宋_GB2312"/>
          <w:szCs w:val="30"/>
          <w:highlight w:val="none"/>
          <w:u w:val="none"/>
        </w:rPr>
        <w:t>“三馆”服务功能。</w:t>
      </w:r>
      <w:r>
        <w:rPr>
          <w:rFonts w:hint="eastAsia" w:ascii="仿宋_GB2312" w:hAnsi="仿宋_GB2312" w:cs="仿宋_GB2312"/>
          <w:szCs w:val="30"/>
          <w:highlight w:val="none"/>
          <w:u w:val="none"/>
          <w:lang w:val="en-US" w:eastAsia="zh-CN"/>
        </w:rPr>
        <w:t>拓展</w:t>
      </w:r>
      <w:r>
        <w:rPr>
          <w:rFonts w:hint="eastAsia" w:ascii="仿宋_GB2312" w:hAnsi="仿宋_GB2312" w:cs="仿宋_GB2312"/>
          <w:szCs w:val="30"/>
          <w:highlight w:val="none"/>
          <w:u w:val="none"/>
        </w:rPr>
        <w:t>图书借阅、艺术展览、研学体验、文旅咨询、便民服务、数字资源体验等功能，打造图书馆一站式综合文化空间。优化免费艺术培训课程体系，建设“可听、可视、可赏、可读”新型体验区，搭建远程培训系统，实现优质课程同步覆盖乡村群众。聚焦密云水库历史、长城文化、非遗技艺、生态保护、红色文化等本土主题，定期更新特色展览。升级区级公共文化资源共享平台，整合图书馆数字资源、文化馆线上课程、博物馆虚拟展厅、非遗数字档案等，实现“一端登录、全量获取”。</w:t>
      </w:r>
    </w:p>
    <w:p w14:paraId="070E0D7E">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打造新型文化活动空间。构建“城区引领、乡镇覆盖、乡村延伸”的新型公共文化空间网络。大力推动新型空间向乡村延伸，改造升级村级老旧综合文化室，活化利用乡村老屋、古戏台、农家大院、传统院落等资源，建设乡村博物馆、村史馆、非遗工坊等特色阵地，拓展乡村文化广场、体育健身场地等室外文体空间，以乡村文化空间升级带动公共文化服务提档。</w:t>
      </w:r>
    </w:p>
    <w:p w14:paraId="6A6E0A53">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 xml:space="preserve">培育壮大群众文化品牌。深化“舞动密云”“唱响密云”等品牌活动影响力，策划“密云非遗文化节”“长城文化嘉年华”等惠民IP活动。健全文化惠民长效机制，组织专业团队、民间社团开展“文化下乡”“戏曲进乡村”等活动，针对老年人、青少年等不同群体开展精准化文化服务，打通文化惠民“最后一公里”。   </w:t>
      </w:r>
    </w:p>
    <w:p w14:paraId="3D350C3F">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培育特色演艺新空间。鼓励在商圈、商业综合体、历史文化街区、酒店、旅游景区、文博场馆等场所打造演艺新空间。推动演艺内容与密云长城文化、水镇风情、农耕民俗深度融合，推出常态化驻场演出，支持各类经营主体引入小型音乐剧、非遗主题秀、沉浸式戏剧等多元演艺形式，丰富夜间消费场景，激活区域文旅消费活力。</w:t>
      </w:r>
    </w:p>
    <w:p w14:paraId="3274C074">
      <w:pPr>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206" w:name="_Toc231556997"/>
      <w:bookmarkStart w:id="207" w:name="_Toc231819314"/>
      <w:r>
        <w:rPr>
          <w:rFonts w:hint="eastAsia"/>
          <w:highlight w:val="none"/>
          <w:u w:val="none"/>
        </w:rPr>
        <w:t>完善公共配套设施</w:t>
      </w:r>
      <w:bookmarkEnd w:id="206"/>
      <w:bookmarkEnd w:id="207"/>
      <w:r>
        <w:rPr>
          <w:rFonts w:hint="eastAsia"/>
          <w:highlight w:val="none"/>
          <w:u w:val="none"/>
        </w:rPr>
        <w:t>。</w:t>
      </w:r>
      <w:r>
        <w:rPr>
          <w:rFonts w:hint="eastAsia" w:ascii="仿宋_GB2312" w:hAnsi="仿宋_GB2312" w:cs="仿宋_GB2312"/>
          <w:szCs w:val="30"/>
          <w:highlight w:val="none"/>
          <w:u w:val="none"/>
        </w:rPr>
        <w:t>整合全区游客集散点位、闲置停车场、老旧旅游标识系统、废弃旅游驿站、闲置配套充电设施等存量资源，依托现有公共建筑、交通节点实施改造，拓展游客咨询、精品线路发布、户外装备租赁、安全应急救援、文创便民消费、生态环境动态监测等综合服务功能，补齐文旅公共服务配套短板。</w:t>
      </w:r>
    </w:p>
    <w:p w14:paraId="34CBF0D6">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208" w:name="_Toc231819288"/>
      <w:bookmarkStart w:id="209" w:name="_Toc231556971"/>
      <w:bookmarkStart w:id="210" w:name="_Toc232165573"/>
      <w:bookmarkStart w:id="211" w:name="_Toc232410066"/>
      <w:bookmarkStart w:id="212" w:name="_Toc224543783"/>
      <w:bookmarkStart w:id="213" w:name="_Toc383891159"/>
      <w:bookmarkStart w:id="214" w:name="_Toc221290561"/>
      <w:bookmarkStart w:id="215" w:name="_Toc221229326"/>
      <w:r>
        <w:rPr>
          <w:rFonts w:hint="eastAsia"/>
          <w:highlight w:val="none"/>
          <w:u w:val="none"/>
        </w:rPr>
        <w:t>（二）</w:t>
      </w:r>
      <w:bookmarkEnd w:id="208"/>
      <w:bookmarkEnd w:id="209"/>
      <w:bookmarkEnd w:id="210"/>
      <w:bookmarkStart w:id="216" w:name="_Toc232165574"/>
      <w:bookmarkStart w:id="217" w:name="_Toc231556972"/>
      <w:bookmarkStart w:id="218" w:name="_Toc231819289"/>
      <w:r>
        <w:rPr>
          <w:rFonts w:hint="eastAsia"/>
          <w:highlight w:val="none"/>
          <w:u w:val="none"/>
        </w:rPr>
        <w:t>强化文物与传统遗存保护</w:t>
      </w:r>
      <w:bookmarkEnd w:id="211"/>
      <w:bookmarkEnd w:id="212"/>
      <w:bookmarkEnd w:id="213"/>
      <w:bookmarkEnd w:id="214"/>
      <w:bookmarkEnd w:id="215"/>
      <w:bookmarkEnd w:id="216"/>
      <w:bookmarkEnd w:id="217"/>
      <w:bookmarkEnd w:id="218"/>
    </w:p>
    <w:p w14:paraId="68185B5A">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加速长城国家文化公园建设。聚焦长城核心文物资源，健全司马台、古北口等重点长城段落本体修缮保护长效机制，持续实施长城保护工作，加强长城本体修缮、监测及标识体系建设，建立长城资源动态监测数据库，实现保护工作的科学化、精细化、常态化管理。推进密云长城资源复核工作，完善密云长城资源名录，夯实长城保护基础。申报长城抢险项目，并按国家文物局、市文物局批复推进实施，重点推进蟠龙山长城等关键点位的修缮与抢险加固。</w:t>
      </w:r>
    </w:p>
    <w:p w14:paraId="17DFBB10">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动京畿长城国家风景道（密云段）建设。科完善道路基础设施，提升道路通行能力和安全性，打造兼具观景、休闲、文化体验功能的特色风景道。沿线合理布局观景平台、停车场、旅游驿站等配套设施，挖掘并展示长城历史文化、民俗风情，设置文化标识和景观小品，将风景道打造成展示密云长城文化魅力的重要窗口，带动沿线乡村旅游发展，促进区域经济增长。</w:t>
      </w:r>
    </w:p>
    <w:p w14:paraId="6609BFBD">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进文物资源活化赋能。聚焦古北口、新城子等区域传统村落，坚持“保护第一”、“最小干预”原则，充分挖掘传统村落的民俗文化、农耕文化、建筑文化资源，丰富非遗展示、民俗体验、精品民宿、乡村研学等业态，推动传统村落从“保护”向“活化”转型。加快推进古北口古御道旅游基础设施改造、古北口活力历史文化街区提质升级等重点项目，合理引入文创产业、非遗工坊、特色民俗体验等业态，完善配套服务，重现历史街区的传统风貌。运用VR、全息投影等先进技术还原长城历史军事场景与民俗风情，打造沉浸式体验项目，推动文物及传统遗存与旅游、科技深度融合，让传统文脉“活起来”。</w:t>
      </w:r>
    </w:p>
    <w:p w14:paraId="64439D09">
      <w:pPr>
        <w:pStyle w:val="4"/>
        <w:pageBreakBefore w:val="0"/>
        <w:kinsoku/>
        <w:wordWrap/>
        <w:overflowPunct/>
        <w:topLinePunct w:val="0"/>
        <w:autoSpaceDE/>
        <w:autoSpaceDN/>
        <w:bidi w:val="0"/>
        <w:adjustRightInd/>
        <w:snapToGrid/>
        <w:spacing w:line="560" w:lineRule="exact"/>
        <w:ind w:firstLine="640"/>
        <w:textAlignment w:val="auto"/>
        <w:rPr>
          <w:color w:val="auto"/>
          <w:highlight w:val="none"/>
          <w:u w:val="none"/>
        </w:rPr>
      </w:pPr>
      <w:bookmarkStart w:id="219" w:name="_Toc1017833725"/>
      <w:r>
        <w:rPr>
          <w:rFonts w:hint="eastAsia"/>
          <w:color w:val="auto"/>
          <w:highlight w:val="none"/>
          <w:u w:val="none"/>
        </w:rPr>
        <w:t>二、构建多元产品体系，丰富业态供给内涵</w:t>
      </w:r>
      <w:bookmarkEnd w:id="219"/>
    </w:p>
    <w:p w14:paraId="53DF80E9">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color w:val="auto"/>
          <w:highlight w:val="none"/>
          <w:u w:val="none"/>
        </w:rPr>
      </w:pPr>
      <w:bookmarkStart w:id="220" w:name="_Toc2024167720"/>
      <w:bookmarkStart w:id="221" w:name="_Toc231556974"/>
      <w:bookmarkStart w:id="222" w:name="_Toc224543790"/>
      <w:bookmarkStart w:id="223" w:name="_Toc231819291"/>
      <w:bookmarkStart w:id="224" w:name="_Toc221290568"/>
      <w:bookmarkStart w:id="225" w:name="_Toc232165576"/>
      <w:bookmarkStart w:id="226" w:name="_Toc232410068"/>
      <w:bookmarkStart w:id="227" w:name="_Toc221229333"/>
      <w:r>
        <w:rPr>
          <w:rFonts w:hint="eastAsia"/>
          <w:color w:val="auto"/>
          <w:highlight w:val="none"/>
          <w:u w:val="none"/>
        </w:rPr>
        <w:t>（一）做强“来密云看海”核心品牌产品</w:t>
      </w:r>
      <w:bookmarkEnd w:id="220"/>
    </w:p>
    <w:p w14:paraId="759704B5">
      <w:pPr>
        <w:pStyle w:val="8"/>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cs="仿宋_GB2312"/>
          <w:color w:val="auto"/>
          <w:szCs w:val="30"/>
          <w:highlight w:val="none"/>
          <w:u w:val="none"/>
        </w:rPr>
      </w:pPr>
      <w:r>
        <w:rPr>
          <w:rFonts w:hint="eastAsia" w:ascii="仿宋_GB2312" w:hAnsi="仿宋_GB2312" w:cs="仿宋_GB2312"/>
          <w:color w:val="auto"/>
          <w:szCs w:val="30"/>
          <w:highlight w:val="none"/>
          <w:u w:val="none"/>
        </w:rPr>
        <w:t>以密云水库全域生态体系为核心依托，</w:t>
      </w:r>
      <w:r>
        <w:rPr>
          <w:rFonts w:hint="eastAsia" w:ascii="仿宋_GB2312" w:hAnsi="仿宋_GB2312" w:cs="仿宋_GB2312"/>
          <w:u w:val="none"/>
        </w:rPr>
        <w:t>深度融合长城文化、水库生态与红色文化</w:t>
      </w:r>
      <w:r>
        <w:rPr>
          <w:rFonts w:hint="eastAsia" w:ascii="仿宋_GB2312" w:hAnsi="仿宋_GB2312" w:cs="仿宋_GB2312"/>
          <w:color w:val="auto"/>
          <w:szCs w:val="30"/>
          <w:highlight w:val="none"/>
          <w:u w:val="none"/>
        </w:rPr>
        <w:t>，</w:t>
      </w:r>
      <w:r>
        <w:rPr>
          <w:rFonts w:hint="eastAsia" w:ascii="仿宋_GB2312" w:hAnsi="仿宋_GB2312" w:cs="仿宋_GB2312"/>
          <w:u w:val="none"/>
        </w:rPr>
        <w:t>统筹日光山谷、云蒙山、云峰山、邑仕庄园四大标杆观景平台，完善咖啡轻食、特色餐饮、网红打卡等业态，植入水库建设史、红色故事与非遗元素，打造辨识度鲜明的区域文旅标识</w:t>
      </w:r>
      <w:r>
        <w:rPr>
          <w:rFonts w:hint="eastAsia" w:ascii="仿宋_GB2312" w:hAnsi="仿宋_GB2312" w:cs="仿宋_GB2312"/>
          <w:u w:val="none"/>
          <w:lang w:eastAsia="zh-CN"/>
        </w:rPr>
        <w:t>，</w:t>
      </w:r>
      <w:r>
        <w:rPr>
          <w:rFonts w:hint="eastAsia" w:ascii="仿宋_GB2312" w:hAnsi="仿宋_GB2312" w:cs="仿宋_GB2312"/>
          <w:color w:val="auto"/>
          <w:szCs w:val="30"/>
          <w:highlight w:val="none"/>
          <w:u w:val="none"/>
        </w:rPr>
        <w:t>推动“看海”从观光体验向消费闭环升级，实现品牌价值向经济价值转化。</w:t>
      </w:r>
    </w:p>
    <w:p w14:paraId="7762DB49">
      <w:pPr>
        <w:pStyle w:val="8"/>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szCs w:val="30"/>
          <w:highlight w:val="none"/>
          <w:u w:val="none"/>
        </w:rPr>
      </w:pPr>
      <w:r>
        <w:rPr>
          <w:rFonts w:hint="eastAsia" w:ascii="仿宋_GB2312" w:hAnsi="仿宋_GB2312" w:cs="仿宋_GB2312"/>
          <w:color w:val="auto"/>
          <w:szCs w:val="30"/>
          <w:highlight w:val="none"/>
          <w:u w:val="none"/>
        </w:rPr>
        <w:t>以“来密云看海”品牌为牵引，推动生态价值向旅游经济转化。将观景体验转化为消费场景，精准错位布局休闲之海、运动之海、康养之海、浪漫之海四大主题业态，培育落日观海咖啡、星空露营、特色鱼宴等轻量化、高品质夜间消费场景，补齐夜间文旅消费短板。以密云水库“海韵”风光、水库大坝等为原型设计制作主题文创产品，开发“看海”主题礼盒、伴手礼套装，实现“看海”从观光到消费到复购的完整产品闭环。</w:t>
      </w:r>
    </w:p>
    <w:p w14:paraId="540F8ECE">
      <w:pPr>
        <w:pStyle w:val="8"/>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cs="仿宋_GB2312"/>
          <w:b/>
          <w:bCs/>
          <w:color w:val="auto"/>
          <w:szCs w:val="30"/>
          <w:highlight w:val="none"/>
          <w:u w:val="none"/>
        </w:rPr>
      </w:pPr>
      <w:r>
        <w:rPr>
          <w:rFonts w:hint="eastAsia" w:ascii="仿宋_GB2312" w:hAnsi="仿宋_GB2312" w:cs="仿宋_GB2312"/>
          <w:color w:val="auto"/>
          <w:szCs w:val="30"/>
          <w:highlight w:val="none"/>
          <w:u w:val="none"/>
        </w:rPr>
        <w:t>围绕水库建设历程、保水人坚守、回信精神等主题，将水库故事融入观景节点解说与导览体系，让游客在观光中理解“来密云看海”背后的守护与奉献。围绕水源涵养、水质保护、生物多样性、候鸟迁徙等核心主题，完善观景节点生态解说系统与候鸟观测体验设施，让游客从看见美景到理解生态价值。联动属地学校、科研机构、社区、企业开展生态科普宣讲、候鸟保护观测、生态志愿公益实践等特色活动，增加游客的体验感和参与度</w:t>
      </w:r>
      <w:r>
        <w:rPr>
          <w:rFonts w:hint="eastAsia" w:ascii="仿宋_GB2312" w:hAnsi="仿宋_GB2312" w:cs="仿宋_GB2312"/>
          <w:color w:val="auto"/>
          <w:szCs w:val="30"/>
          <w:highlight w:val="none"/>
          <w:u w:val="none"/>
          <w:lang w:eastAsia="zh-C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778D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54D769D">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专栏1：</w:t>
            </w:r>
            <w:r>
              <w:rPr>
                <w:rFonts w:hint="eastAsia" w:ascii="楷体" w:hAnsi="楷体" w:eastAsia="楷体" w:cs="仿宋_GB2312"/>
                <w:highlight w:val="none"/>
                <w:u w:val="none"/>
                <w:lang w:eastAsia="zh-CN"/>
              </w:rPr>
              <w:t>“</w:t>
            </w:r>
            <w:r>
              <w:rPr>
                <w:rFonts w:hint="eastAsia" w:ascii="楷体" w:hAnsi="楷体" w:eastAsia="楷体" w:cs="仿宋_GB2312"/>
                <w:highlight w:val="none"/>
                <w:u w:val="none"/>
                <w:lang w:val="en-US" w:eastAsia="zh-CN"/>
              </w:rPr>
              <w:t>看海”场景提质</w:t>
            </w:r>
          </w:p>
        </w:tc>
      </w:tr>
      <w:tr w14:paraId="3532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6640C456">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highlight w:val="none"/>
                <w:u w:val="none"/>
                <w:lang w:val="en-US" w:eastAsia="zh-CN"/>
              </w:rPr>
            </w:pPr>
            <w:r>
              <w:rPr>
                <w:rFonts w:hint="eastAsia" w:ascii="仿宋_GB2312" w:hAnsi="仿宋_GB2312" w:eastAsia="仿宋_GB2312" w:cs="仿宋_GB2312"/>
                <w:highlight w:val="none"/>
                <w:u w:val="none"/>
                <w:lang w:val="en-US" w:eastAsia="zh-CN"/>
              </w:rPr>
              <w:t>1.推动重点项目建设。重点推进“日光山谷（二期）项目落地，通过旅游基础设施提升、环境景观优化、民宿提质改造、安全设施完善、游玩体验优化等，有效拉动餐饮、住宿、交通、农产品销售等关联产业发展，增加就业岗位，促进周边就业。</w:t>
            </w:r>
          </w:p>
          <w:p w14:paraId="43C509D1">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u w:val="none"/>
                <w:lang w:val="en-US" w:eastAsia="zh-CN"/>
              </w:rPr>
            </w:pPr>
            <w:r>
              <w:rPr>
                <w:rFonts w:hint="eastAsia" w:ascii="仿宋_GB2312" w:hAnsi="仿宋_GB2312" w:eastAsia="仿宋_GB2312" w:cs="仿宋_GB2312"/>
                <w:highlight w:val="none"/>
                <w:u w:val="none"/>
                <w:lang w:val="en-US" w:eastAsia="zh-CN"/>
              </w:rPr>
              <w:t>2.打造主题观海场景。结合水库四季风貌，推出水库晨雾、湖畔落日、林海秋景、星空水岸等四季主题观海场景，塑造“一平台一主题、一视角一特色”的差异化观海体验。</w:t>
            </w:r>
          </w:p>
          <w:p w14:paraId="2D59549E">
            <w:pPr>
              <w:pStyle w:val="8"/>
              <w:pageBreakBefore w:val="0"/>
              <w:kinsoku/>
              <w:wordWrap/>
              <w:overflowPunct/>
              <w:topLinePunct w:val="0"/>
              <w:autoSpaceDE/>
              <w:autoSpaceDN/>
              <w:bidi w:val="0"/>
              <w:adjustRightInd/>
              <w:snapToGrid/>
              <w:spacing w:line="560" w:lineRule="exact"/>
              <w:ind w:firstLine="640"/>
              <w:jc w:val="both"/>
              <w:textAlignment w:val="auto"/>
              <w:rPr>
                <w:rFonts w:hint="default" w:eastAsia="仿宋_GB2312"/>
                <w:u w:val="none"/>
                <w:lang w:val="en-US" w:eastAsia="zh-CN"/>
              </w:rPr>
            </w:pPr>
            <w:r>
              <w:rPr>
                <w:rFonts w:hint="eastAsia" w:ascii="仿宋_GB2312" w:hAnsi="仿宋_GB2312" w:eastAsia="仿宋_GB2312" w:cs="仿宋_GB2312"/>
                <w:u w:val="none"/>
                <w:lang w:val="en-US" w:eastAsia="zh-CN"/>
              </w:rPr>
              <w:t>3.打造生态旅游廊道。</w:t>
            </w:r>
            <w:r>
              <w:rPr>
                <w:rFonts w:hint="eastAsia" w:ascii="仿宋_GB2312" w:hAnsi="仿宋_GB2312" w:eastAsia="仿宋_GB2312" w:cs="仿宋_GB2312"/>
                <w:color w:val="auto"/>
                <w:szCs w:val="30"/>
                <w:highlight w:val="none"/>
                <w:u w:val="none"/>
              </w:rPr>
              <w:t>融入北京旅游休闲绿道建设布局，串联白河城市森林公园绿道、冶仙塔文化休闲公园绿道、石马峪村大石山森林公园绿道，打造集生态展示、休闲游憩、文化体验于一体的生态旅游廊道。</w:t>
            </w:r>
          </w:p>
        </w:tc>
      </w:tr>
      <w:bookmarkEnd w:id="221"/>
      <w:bookmarkEnd w:id="222"/>
      <w:bookmarkEnd w:id="223"/>
      <w:bookmarkEnd w:id="224"/>
      <w:bookmarkEnd w:id="225"/>
      <w:bookmarkEnd w:id="226"/>
      <w:bookmarkEnd w:id="227"/>
    </w:tbl>
    <w:p w14:paraId="06D6B8DB">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highlight w:val="none"/>
          <w:u w:val="none"/>
        </w:rPr>
      </w:pPr>
      <w:bookmarkStart w:id="228" w:name="_Toc1898417913"/>
      <w:bookmarkStart w:id="229" w:name="_Toc232410069"/>
      <w:bookmarkStart w:id="230" w:name="_Toc221290570"/>
      <w:bookmarkStart w:id="231" w:name="_Toc231819292"/>
      <w:bookmarkStart w:id="232" w:name="_Toc221229335"/>
      <w:bookmarkStart w:id="233" w:name="_Toc224543792"/>
      <w:bookmarkStart w:id="234" w:name="_Toc232165577"/>
      <w:bookmarkStart w:id="235" w:name="_Toc231556975"/>
      <w:r>
        <w:rPr>
          <w:rFonts w:hint="eastAsia"/>
          <w:color w:val="auto"/>
          <w:highlight w:val="none"/>
          <w:u w:val="none"/>
        </w:rPr>
        <w:t>（二）培育康养旅游特色业</w:t>
      </w:r>
      <w:r>
        <w:rPr>
          <w:rFonts w:hint="eastAsia"/>
          <w:highlight w:val="none"/>
          <w:u w:val="none"/>
        </w:rPr>
        <w:t>态</w:t>
      </w:r>
      <w:bookmarkEnd w:id="228"/>
      <w:bookmarkEnd w:id="229"/>
      <w:bookmarkEnd w:id="230"/>
      <w:bookmarkEnd w:id="231"/>
      <w:bookmarkEnd w:id="232"/>
      <w:bookmarkEnd w:id="233"/>
      <w:bookmarkEnd w:id="234"/>
      <w:bookmarkEnd w:id="235"/>
    </w:p>
    <w:p w14:paraId="0679B7E4">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培育生态康养载体。依托密云优良森林、山地及生态资源，立足不老屯镇、北庄镇、云峰山等康养重点片区，深度挖掘区域长寿文化、自然生态疗愈优势，完善全域康养旅游产品体系。科学规划建设森林疗养、星空旅居、山野露营、生态静养等特色康养空间，持续丰富层级多元、特色鲜明的康养载体供给。深度推动农业资源、生态景观与康养旅游场景有机衔接，将密云水库鱼、中华蜂产品、特色果蔬等优质农特产品融入康养餐饮、食疗药膳、康养伴手礼等环节，打造“生态+康养+美食”融合发展模式。培育森林疗养、中医药理疗、星空康养民宿、生态食疗等沉浸式康养业态，构建差异化、高品质、可体验的全域康养旅游产业体系。</w:t>
      </w:r>
    </w:p>
    <w:p w14:paraId="3F429CF2">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进康养项目建设。依托重点片区推进康养标杆项目落地建设、提质升级，夯实康养产业发展硬支撑。重点布局山楂谷康养综合体、全域精品民宿康养集聚区，形成多点联动的康养项目格局。深化产业跨界融合，联动中关村（密云）生命健康服务产业园，导入生物医药、医疗器械等专业资源，创新开发健康检测、慢病调理、康复疗养等专业化康养服务，推动生命健康科研成果与文旅体验场景深度转化，打造医养结合、康养融合的示范项目，全面提升密云康养旅游的专业化、品质化、特色化发展水平。</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1E7E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218BDAEB">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2</w:t>
            </w:r>
            <w:r>
              <w:rPr>
                <w:rFonts w:hint="eastAsia" w:ascii="楷体" w:hAnsi="楷体" w:eastAsia="楷体" w:cs="仿宋_GB2312"/>
                <w:highlight w:val="none"/>
                <w:u w:val="none"/>
              </w:rPr>
              <w:t>：康养旅游试点建设</w:t>
            </w:r>
          </w:p>
        </w:tc>
      </w:tr>
      <w:tr w14:paraId="1742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3AF6F351">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r>
              <w:rPr>
                <w:rFonts w:hint="eastAsia" w:ascii="仿宋_GB2312" w:hAnsi="仿宋_GB2312" w:cs="仿宋_GB2312"/>
                <w:highlight w:val="none"/>
                <w:u w:val="none"/>
              </w:rPr>
              <w:t>1</w:t>
            </w:r>
            <w:r>
              <w:rPr>
                <w:rFonts w:ascii="仿宋_GB2312" w:hAnsi="仿宋_GB2312" w:cs="仿宋_GB2312"/>
                <w:highlight w:val="none"/>
                <w:u w:val="none"/>
              </w:rPr>
              <w:t>.</w:t>
            </w:r>
            <w:r>
              <w:rPr>
                <w:rFonts w:hint="eastAsia"/>
                <w:highlight w:val="none"/>
                <w:u w:val="none"/>
              </w:rPr>
              <w:t>推动康养项目落地。</w:t>
            </w:r>
            <w:r>
              <w:rPr>
                <w:rFonts w:hint="eastAsia" w:ascii="仿宋_GB2312" w:hAnsi="仿宋_GB2312" w:cs="仿宋_GB2312"/>
                <w:highlight w:val="none"/>
                <w:u w:val="none"/>
              </w:rPr>
              <w:t>重点推进山楂谷“生态康养综合体”、不老屯转山子亲子康养项目落地，联动周边乡村发展康养民宿、食疗药膳餐厅。</w:t>
            </w:r>
          </w:p>
          <w:p w14:paraId="7B891D4B">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2</w:t>
            </w:r>
            <w:r>
              <w:rPr>
                <w:rFonts w:ascii="仿宋_GB2312" w:hAnsi="仿宋_GB2312" w:cs="仿宋_GB2312"/>
                <w:highlight w:val="none"/>
                <w:u w:val="none"/>
              </w:rPr>
              <w:t>.</w:t>
            </w:r>
            <w:r>
              <w:rPr>
                <w:rFonts w:hint="eastAsia" w:ascii="仿宋_GB2312" w:hAnsi="仿宋_GB2312" w:cs="仿宋_GB2312"/>
                <w:highlight w:val="none"/>
                <w:u w:val="none"/>
              </w:rPr>
              <w:t>开发乡村康养产品。挖掘乡村中医药资源、农耕养生文化，开发乡村康养体验课程、农耕养生套餐；打造“乡村康养+研学”“乡村康养+露营”融合产品，吸引都市人群前往乡村康养度假，带动乡村旅游消费与农民增收。</w:t>
            </w:r>
          </w:p>
          <w:p w14:paraId="54FF11EB">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3</w:t>
            </w:r>
            <w:r>
              <w:rPr>
                <w:rFonts w:ascii="仿宋_GB2312" w:hAnsi="仿宋_GB2312" w:cs="仿宋_GB2312"/>
                <w:highlight w:val="none"/>
                <w:u w:val="none"/>
              </w:rPr>
              <w:t>.</w:t>
            </w:r>
            <w:r>
              <w:rPr>
                <w:rFonts w:hint="eastAsia" w:ascii="仿宋_GB2312" w:hAnsi="仿宋_GB2312" w:cs="仿宋_GB2312"/>
                <w:highlight w:val="none"/>
                <w:u w:val="none"/>
              </w:rPr>
              <w:t>培育乡村康养服务人才。开展康养服务、民宿运营等专项培训，提升乡村康养旅游服务水平。</w:t>
            </w:r>
          </w:p>
        </w:tc>
      </w:tr>
    </w:tbl>
    <w:p w14:paraId="445BFA6F">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236" w:name="_Toc221290571"/>
      <w:bookmarkStart w:id="237" w:name="_Toc221229336"/>
      <w:bookmarkStart w:id="238" w:name="_Toc232410070"/>
      <w:bookmarkStart w:id="239" w:name="_Toc1545320312"/>
      <w:bookmarkStart w:id="240" w:name="_Toc224543793"/>
      <w:bookmarkStart w:id="241" w:name="_Toc232165578"/>
      <w:bookmarkStart w:id="242" w:name="_Toc231819293"/>
      <w:bookmarkStart w:id="243" w:name="_Toc231556976"/>
      <w:r>
        <w:rPr>
          <w:rFonts w:hint="eastAsia"/>
          <w:highlight w:val="none"/>
          <w:u w:val="none"/>
        </w:rPr>
        <w:t>（三）打造体育旅游融合产品</w:t>
      </w:r>
      <w:bookmarkEnd w:id="236"/>
      <w:bookmarkEnd w:id="237"/>
      <w:bookmarkEnd w:id="238"/>
      <w:bookmarkEnd w:id="239"/>
      <w:bookmarkEnd w:id="240"/>
      <w:bookmarkEnd w:id="241"/>
      <w:bookmarkEnd w:id="242"/>
      <w:bookmarkEnd w:id="243"/>
    </w:p>
    <w:p w14:paraId="75B5DB9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打造特色运动场景。依托密云山地、森林、峡谷、河湖等多元地形生态资源，持续完善全域徒步、山地骑行、环湖漫游立体化运动线路网络。重点培育户外徒步、山地骑行、水上运动、森林探险、冰雪嬉雪等特色体育旅游业态，打造多条兼具运动体验与景观观赏价值的精品运动线路。在全域户外集散节点、运动沿线、观景平台配套布局新能源充电设施，实现户外运动场景与绿色出行无缝衔接，推动新能源产业、体育业态与文旅体验深度融合。</w:t>
      </w:r>
    </w:p>
    <w:p w14:paraId="4B7B11B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r>
        <w:rPr>
          <w:rFonts w:hint="eastAsia" w:ascii="仿宋_GB2312" w:hAnsi="仿宋_GB2312" w:cs="仿宋_GB2312"/>
          <w:highlight w:val="none"/>
          <w:u w:val="none"/>
          <w:lang w:val="en-US" w:eastAsia="zh-CN"/>
        </w:rPr>
        <w:t>深化</w:t>
      </w:r>
      <w:r>
        <w:rPr>
          <w:rFonts w:hint="eastAsia" w:ascii="仿宋_GB2312" w:hAnsi="仿宋_GB2312" w:cs="仿宋_GB2312"/>
          <w:highlight w:val="none"/>
          <w:u w:val="none"/>
        </w:rPr>
        <w:t>“跟着赛事去旅行”</w:t>
      </w:r>
      <w:r>
        <w:rPr>
          <w:rFonts w:hint="eastAsia" w:ascii="仿宋_GB2312" w:hAnsi="仿宋_GB2312" w:cs="仿宋_GB2312"/>
          <w:highlight w:val="none"/>
          <w:u w:val="none"/>
          <w:lang w:val="en-US" w:eastAsia="zh-CN"/>
        </w:rPr>
        <w:t>品牌建设</w:t>
      </w:r>
      <w:r>
        <w:rPr>
          <w:rFonts w:hint="eastAsia" w:ascii="仿宋_GB2312" w:hAnsi="仿宋_GB2312" w:cs="仿宋_GB2312"/>
          <w:highlight w:val="none"/>
          <w:u w:val="none"/>
        </w:rPr>
        <w:t>。完善赛事沿线民宿住宿、特色餐饮、农特产品展销、休闲驿站等配套服务，串联沿线景区景点、乡村点位、产业园区，推出“赛事+观光”“赛事+研学”等复合型融合业态。打造赛事美食市集、文创展销、农特产品集市，构建“观赛、游玩、消费、体验”一体化场景，高效将赛事流量转化为文旅消费增量。依托户外步道、露营基地、山地场地常态化开展山地越野、冰雪运动会、攀冰、户外拓展、露营嘉年华等特色文体活动，精准匹配亲子、青少年、户外运动爱好者多元客群需求，持续做大京郊生态体育旅游特色品牌。</w:t>
      </w:r>
    </w:p>
    <w:p w14:paraId="6C970E0A">
      <w:pPr>
        <w:pageBreakBefore w:val="0"/>
        <w:kinsoku/>
        <w:wordWrap/>
        <w:overflowPunct/>
        <w:topLinePunct w:val="0"/>
        <w:autoSpaceDE/>
        <w:autoSpaceDN/>
        <w:bidi w:val="0"/>
        <w:adjustRightInd/>
        <w:snapToGrid/>
        <w:spacing w:line="560" w:lineRule="exact"/>
        <w:textAlignment w:val="auto"/>
        <w:rPr>
          <w:u w:val="none"/>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2387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5BD954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3</w:t>
            </w:r>
            <w:r>
              <w:rPr>
                <w:rFonts w:hint="eastAsia" w:ascii="楷体" w:hAnsi="楷体" w:eastAsia="楷体" w:cs="仿宋_GB2312"/>
                <w:highlight w:val="none"/>
                <w:u w:val="none"/>
              </w:rPr>
              <w:t>：户外及体育旅游项目提升</w:t>
            </w:r>
          </w:p>
        </w:tc>
      </w:tr>
      <w:tr w14:paraId="08D0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93BA27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1</w:t>
            </w:r>
            <w:r>
              <w:rPr>
                <w:rFonts w:ascii="仿宋_GB2312" w:hAnsi="仿宋_GB2312" w:cs="仿宋_GB2312"/>
                <w:highlight w:val="none"/>
                <w:u w:val="none"/>
              </w:rPr>
              <w:t>.</w:t>
            </w:r>
            <w:r>
              <w:rPr>
                <w:rFonts w:hint="eastAsia"/>
                <w:highlight w:val="none"/>
                <w:u w:val="none"/>
              </w:rPr>
              <w:t>标志性文旅赛事培育行动。培育山地越野、环湖自行车、山地户外挑战赛、亲子自然生活节、湖畔露营季等本土品牌赛事，以赛事引流赋能产业消费。</w:t>
            </w:r>
          </w:p>
          <w:p w14:paraId="3910975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2</w:t>
            </w:r>
            <w:r>
              <w:rPr>
                <w:rFonts w:ascii="仿宋_GB2312" w:hAnsi="仿宋_GB2312" w:cs="仿宋_GB2312"/>
                <w:highlight w:val="none"/>
                <w:u w:val="none"/>
              </w:rPr>
              <w:t>.</w:t>
            </w:r>
            <w:r>
              <w:rPr>
                <w:rFonts w:hint="eastAsia" w:ascii="仿宋_GB2312" w:hAnsi="仿宋_GB2312" w:cs="仿宋_GB2312"/>
                <w:highlight w:val="none"/>
                <w:u w:val="none"/>
              </w:rPr>
              <w:t>精品户外线路体系建设行动。依托密云良好的生态资源，分级打造徒步、山地骑行、山野越野、亲子自然研学、森林康养疗愈、湖畔星空露营六大标准化精品旅游线路，完善线路配套与安全管控规范。</w:t>
            </w:r>
          </w:p>
          <w:p w14:paraId="7116B10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3</w:t>
            </w:r>
            <w:r>
              <w:rPr>
                <w:rFonts w:ascii="仿宋_GB2312" w:hAnsi="仿宋_GB2312" w:cs="仿宋_GB2312"/>
                <w:highlight w:val="none"/>
                <w:u w:val="none"/>
              </w:rPr>
              <w:t>.</w:t>
            </w:r>
            <w:r>
              <w:rPr>
                <w:rFonts w:hint="eastAsia" w:ascii="仿宋_GB2312" w:hAnsi="仿宋_GB2312" w:cs="仿宋_GB2312"/>
                <w:highlight w:val="none"/>
                <w:u w:val="none"/>
              </w:rPr>
              <w:t>户外运动公共服务综合体建设行动。统筹实现精品线路发布、赛事报名受理、户外装备租赁、接驳交通统筹、全域应急救援、招商展示等公共服务功能。</w:t>
            </w:r>
          </w:p>
        </w:tc>
      </w:tr>
    </w:tbl>
    <w:p w14:paraId="5F6C93C6">
      <w:pPr>
        <w:pStyle w:val="5"/>
        <w:pageBreakBefore w:val="0"/>
        <w:kinsoku/>
        <w:wordWrap/>
        <w:overflowPunct/>
        <w:topLinePunct w:val="0"/>
        <w:autoSpaceDE/>
        <w:autoSpaceDN/>
        <w:bidi w:val="0"/>
        <w:adjustRightInd/>
        <w:snapToGrid/>
        <w:spacing w:before="204" w:after="204" w:line="560" w:lineRule="exact"/>
        <w:ind w:firstLine="480" w:firstLineChars="150"/>
        <w:textAlignment w:val="auto"/>
        <w:rPr>
          <w:highlight w:val="none"/>
          <w:u w:val="none"/>
        </w:rPr>
      </w:pPr>
      <w:bookmarkStart w:id="244" w:name="_Toc221229337"/>
      <w:bookmarkStart w:id="245" w:name="_Toc221290572"/>
      <w:bookmarkStart w:id="246" w:name="_Toc232410071"/>
      <w:bookmarkStart w:id="247" w:name="_Toc232165579"/>
      <w:bookmarkStart w:id="248" w:name="_Toc224543794"/>
      <w:bookmarkStart w:id="249" w:name="_Toc231819294"/>
      <w:bookmarkStart w:id="250" w:name="_Toc531256966"/>
      <w:bookmarkStart w:id="251" w:name="_Toc231556977"/>
      <w:r>
        <w:rPr>
          <w:rFonts w:hint="eastAsia"/>
          <w:highlight w:val="none"/>
          <w:u w:val="none"/>
        </w:rPr>
        <w:t>（四）打造研学文旅新场景</w:t>
      </w:r>
      <w:bookmarkEnd w:id="244"/>
      <w:bookmarkEnd w:id="245"/>
      <w:bookmarkEnd w:id="246"/>
      <w:bookmarkEnd w:id="247"/>
      <w:bookmarkEnd w:id="248"/>
      <w:bookmarkEnd w:id="249"/>
      <w:bookmarkEnd w:id="250"/>
      <w:bookmarkEnd w:id="251"/>
    </w:p>
    <w:p w14:paraId="4D30CF00">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lang w:eastAsia="zh-CN"/>
        </w:rPr>
      </w:pPr>
      <w:r>
        <w:rPr>
          <w:rFonts w:hint="eastAsia" w:ascii="仿宋_GB2312" w:hAnsi="仿宋_GB2312" w:cs="仿宋_GB2312"/>
          <w:highlight w:val="none"/>
          <w:u w:val="none"/>
        </w:rPr>
        <w:t>构建多元研学体系。整合密云生态、红色、非遗、农业、科技等特色资源，分类打造主题鲜明的研学旅游产品体系。深挖长城边塞文化、古镇历史底蕴，打造长城文史、古镇民俗研学线路；围绕古树生态、古村落文化开发自然科普与古建研学内容；依托北庄观鸟特色小镇项目建设，打造湿地生态、鸟类观测主题研学产品；结合葡萄种植、红酒酿造产业链，开发农耕与酒庄文化研学线路。同时依托北汽新能源享界超级工厂，打造新能源汽车研学线路，开展汽车制造、新能源技术科普体验；联动中关村（密云）生命健康服务产业园，推出健康科普、医疗器械体验类研学内容。以白乙化烈士纪念馆、邓玉芬雕塑主题广场、古北口长城抗战纪念园等红色阵地为核心，系统性打造红色旅游融合发展示范区，开发情景化研学课程与主题线路</w:t>
      </w:r>
      <w:r>
        <w:rPr>
          <w:rFonts w:hint="eastAsia" w:ascii="仿宋_GB2312" w:hAnsi="仿宋_GB2312" w:cs="仿宋_GB2312"/>
          <w:highlight w:val="none"/>
          <w:u w:val="none"/>
          <w:lang w:eastAsia="zh-CN"/>
        </w:rPr>
        <w:t>。</w:t>
      </w:r>
    </w:p>
    <w:p w14:paraId="4956062D">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进研学品牌建设。以单个重点项目为载体分步打造研学标杆，依托古北口历史文化街区、古御道争创长城文化、红色研学示范基地；借助新城子“古树名镇”打造古树生态研学特色品牌；依托北庄观鸟特色小镇培育观鸟科普研学名片；以北京张裕爱斐堡为基础打造农耕与酒庄研学基地。主动对接京津冀地区中小学、教育机构与旅游企业，结合各个项目的资源特色，开发沉浸式、体验式研学产品，重点做强长城文史、古树生态、观鸟科普、酒庄农耕、新能源、生命健康等系列特色研学品牌，全面打响密云研学旅游区域名片。</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428A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0BA5743A">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4</w:t>
            </w:r>
            <w:r>
              <w:rPr>
                <w:rFonts w:hint="eastAsia" w:ascii="楷体" w:hAnsi="楷体" w:eastAsia="楷体" w:cs="仿宋_GB2312"/>
                <w:highlight w:val="none"/>
                <w:u w:val="none"/>
              </w:rPr>
              <w:t>：研学旅游提升专项行动</w:t>
            </w:r>
          </w:p>
        </w:tc>
      </w:tr>
      <w:tr w14:paraId="7A98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85E8611">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1.研学阵地提质行动。依托古北口镇、新城子镇、北庄镇等重点区域，持续完善研学教室、体验工坊、户外实践场地、科普展厅等硬件设施，配齐研学专用设备，全面优化研学活动硬件条件。</w:t>
            </w:r>
          </w:p>
          <w:p w14:paraId="532B8C39">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2.课程体系开发行动。围绕长城文化、古树生态、湿地观鸟、农耕酒庄、红色历史、新能源、生命健康七大方向，编制标准化研学课程、研学手册与实践教案，打造分层分类的精品课程体系。</w:t>
            </w:r>
          </w:p>
          <w:p w14:paraId="2BB8CF52">
            <w:pPr>
              <w:pageBreakBefore w:val="0"/>
              <w:kinsoku/>
              <w:wordWrap/>
              <w:overflowPunct/>
              <w:topLinePunct w:val="0"/>
              <w:autoSpaceDE/>
              <w:autoSpaceDN/>
              <w:bidi w:val="0"/>
              <w:adjustRightInd/>
              <w:snapToGrid/>
              <w:spacing w:line="560" w:lineRule="exact"/>
              <w:ind w:firstLine="640"/>
              <w:textAlignment w:val="auto"/>
              <w:rPr>
                <w:highlight w:val="none"/>
                <w:u w:val="none"/>
              </w:rPr>
            </w:pPr>
            <w:r>
              <w:rPr>
                <w:rFonts w:hint="eastAsia" w:ascii="仿宋_GB2312" w:hAnsi="仿宋_GB2312" w:eastAsia="仿宋_GB2312" w:cs="仿宋_GB2312"/>
                <w:highlight w:val="none"/>
                <w:u w:val="none"/>
              </w:rPr>
              <w:t>3.研学品牌</w:t>
            </w:r>
            <w:r>
              <w:rPr>
                <w:rFonts w:hint="eastAsia" w:ascii="仿宋_GB2312" w:hAnsi="仿宋_GB2312" w:cs="仿宋_GB2312"/>
                <w:highlight w:val="none"/>
                <w:u w:val="none"/>
                <w:lang w:val="en-US" w:eastAsia="zh-CN"/>
              </w:rPr>
              <w:t>推广</w:t>
            </w:r>
            <w:r>
              <w:rPr>
                <w:rFonts w:hint="eastAsia" w:ascii="仿宋_GB2312" w:hAnsi="仿宋_GB2312" w:eastAsia="仿宋_GB2312" w:cs="仿宋_GB2312"/>
                <w:highlight w:val="none"/>
                <w:u w:val="none"/>
              </w:rPr>
              <w:t>行动。面向京津冀中小学、研学机构开展精准推介，推出主题研学线路组合，常态化举办研学交流、体验活动，扩大密云研学品牌影响力。</w:t>
            </w:r>
          </w:p>
        </w:tc>
      </w:tr>
    </w:tbl>
    <w:p w14:paraId="1EDFFF9D">
      <w:pPr>
        <w:pStyle w:val="5"/>
        <w:pageBreakBefore w:val="0"/>
        <w:kinsoku/>
        <w:wordWrap/>
        <w:overflowPunct/>
        <w:topLinePunct w:val="0"/>
        <w:autoSpaceDE/>
        <w:autoSpaceDN/>
        <w:bidi w:val="0"/>
        <w:adjustRightInd/>
        <w:snapToGrid/>
        <w:spacing w:before="204" w:after="204" w:line="560" w:lineRule="exact"/>
        <w:ind w:firstLine="480" w:firstLineChars="150"/>
        <w:textAlignment w:val="auto"/>
        <w:rPr>
          <w:highlight w:val="none"/>
          <w:u w:val="none"/>
        </w:rPr>
      </w:pPr>
      <w:bookmarkStart w:id="252" w:name="_Toc231556978"/>
      <w:bookmarkStart w:id="253" w:name="_Toc1746306983"/>
      <w:bookmarkStart w:id="254" w:name="_Toc231819295"/>
      <w:bookmarkStart w:id="255" w:name="_Toc232165580"/>
      <w:bookmarkStart w:id="256" w:name="_Toc224543795"/>
      <w:bookmarkStart w:id="257" w:name="_Toc221290573"/>
      <w:bookmarkStart w:id="258" w:name="_Toc221229338"/>
      <w:bookmarkStart w:id="259" w:name="_Toc232410072"/>
      <w:r>
        <w:rPr>
          <w:rFonts w:hint="eastAsia"/>
          <w:highlight w:val="none"/>
          <w:u w:val="none"/>
        </w:rPr>
        <w:t>（五）升级冰雪旅游特色产品</w:t>
      </w:r>
      <w:bookmarkEnd w:id="252"/>
      <w:bookmarkEnd w:id="253"/>
      <w:bookmarkEnd w:id="254"/>
      <w:bookmarkEnd w:id="255"/>
      <w:bookmarkEnd w:id="256"/>
      <w:bookmarkEnd w:id="257"/>
      <w:bookmarkEnd w:id="258"/>
      <w:bookmarkEnd w:id="259"/>
    </w:p>
    <w:p w14:paraId="2273DD18">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丰富冰雪主题活动体系</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举办年度冰雪嘉年华，创新推出雪地音乐会、冰雪主题服饰秀、星空冰雪打卡等潮流娱乐业态。结合元旦、春节等关键节假日，植入传统民俗展演、年味市集、特色美食体验等内容，持续提升密云冬季文旅核心吸引力。</w:t>
      </w:r>
    </w:p>
    <w:p w14:paraId="1B970C6F">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打造冬季特色场景。深度挖掘冰雪文旅潜力，系统性开发冰雪观光、峡谷嬉雪、户外攀冰、雪地徒步、冰雪秘境打卡等多元化冬季体验项目，丰富冬季文旅产品供给。将长城文化、边塞民俗与冰雪景观深度融合，创新打造“长城+冰雪+民俗”沉浸式特色体验场景，打破冬季文旅单一观光模式，构建景观独特、体验丰富、特色鲜明的冬季冰雪游玩场景体系，激活山区冬季文旅资源活力。</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5C29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523AADB7">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bookmarkStart w:id="260" w:name="_Toc231556979"/>
            <w:bookmarkStart w:id="261" w:name="_Toc224543796"/>
            <w:bookmarkStart w:id="262" w:name="_Toc221229339"/>
            <w:bookmarkStart w:id="263" w:name="_Toc221290574"/>
            <w:bookmarkStart w:id="264" w:name="_Toc522459732"/>
            <w:bookmarkStart w:id="265" w:name="_Toc232165581"/>
            <w:bookmarkStart w:id="266" w:name="_Toc232410073"/>
            <w:bookmarkStart w:id="267" w:name="_Toc231819296"/>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5</w:t>
            </w:r>
            <w:r>
              <w:rPr>
                <w:rFonts w:hint="eastAsia" w:ascii="楷体" w:hAnsi="楷体" w:eastAsia="楷体" w:cs="仿宋_GB2312"/>
                <w:highlight w:val="none"/>
                <w:u w:val="none"/>
              </w:rPr>
              <w:t>：冰雪旅游提质升级专项行动</w:t>
            </w:r>
          </w:p>
        </w:tc>
      </w:tr>
      <w:tr w14:paraId="41FD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643C792">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1.南山滑雪场业态丰富行动。推动南山滑雪场由单一滑雪体验向“滑雪+度假”综合业态转型，</w:t>
            </w:r>
            <w:r>
              <w:rPr>
                <w:rFonts w:hint="eastAsia" w:ascii="仿宋_GB2312" w:hAnsi="仿宋_GB2312" w:cs="仿宋_GB2312"/>
                <w:highlight w:val="none"/>
                <w:u w:val="none"/>
                <w:lang w:val="en-US" w:eastAsia="zh-CN"/>
              </w:rPr>
              <w:t>增加</w:t>
            </w:r>
            <w:r>
              <w:rPr>
                <w:rFonts w:hint="eastAsia" w:ascii="仿宋_GB2312" w:hAnsi="仿宋_GB2312" w:eastAsia="仿宋_GB2312" w:cs="仿宋_GB2312"/>
                <w:highlight w:val="none"/>
                <w:u w:val="none"/>
              </w:rPr>
              <w:t>雪地餐吧、雪地音乐会等时尚消费场景；引入专业滑雪教学培训体系，开设青少年滑雪冬令营、亲子滑雪体验课程；完善雪场夜间照明系统，</w:t>
            </w:r>
            <w:r>
              <w:rPr>
                <w:rFonts w:hint="eastAsia" w:ascii="仿宋_GB2312" w:hAnsi="仿宋_GB2312" w:cs="仿宋_GB2312"/>
                <w:highlight w:val="none"/>
                <w:u w:val="none"/>
                <w:lang w:val="en-US" w:eastAsia="zh-CN"/>
              </w:rPr>
              <w:t>打造</w:t>
            </w:r>
            <w:r>
              <w:rPr>
                <w:rFonts w:hint="eastAsia" w:ascii="仿宋_GB2312" w:hAnsi="仿宋_GB2312" w:eastAsia="仿宋_GB2312" w:cs="仿宋_GB2312"/>
                <w:highlight w:val="none"/>
                <w:u w:val="none"/>
              </w:rPr>
              <w:t>夜场滑雪、星空雪道等特色产品，延长游客停留时间，提升雪场全时运营能力。</w:t>
            </w:r>
          </w:p>
          <w:p w14:paraId="71D7B486">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2.户外冰雪赛事培育行动。培育户外攀冰挑战赛、冰雪越野跑等专业冰雪赛事品牌；举办</w:t>
            </w:r>
            <w:r>
              <w:rPr>
                <w:rFonts w:hint="eastAsia" w:ascii="仿宋_GB2312" w:hAnsi="仿宋_GB2312" w:cs="仿宋_GB2312"/>
                <w:highlight w:val="none"/>
                <w:u w:val="none"/>
                <w:lang w:val="en-US" w:eastAsia="zh-CN"/>
              </w:rPr>
              <w:t>攀冰、滑雪等</w:t>
            </w:r>
            <w:r>
              <w:rPr>
                <w:rFonts w:hint="eastAsia" w:ascii="仿宋_GB2312" w:hAnsi="仿宋_GB2312" w:eastAsia="仿宋_GB2312" w:cs="仿宋_GB2312"/>
                <w:highlight w:val="none"/>
                <w:u w:val="none"/>
              </w:rPr>
              <w:t>冰雪赛事，以赛事吸引客流</w:t>
            </w:r>
            <w:r>
              <w:rPr>
                <w:rFonts w:hint="eastAsia" w:ascii="仿宋_GB2312" w:hAnsi="仿宋_GB2312" w:cs="仿宋_GB2312"/>
                <w:highlight w:val="none"/>
                <w:u w:val="none"/>
                <w:lang w:val="en-US" w:eastAsia="zh-CN"/>
              </w:rPr>
              <w:t>并</w:t>
            </w:r>
            <w:r>
              <w:rPr>
                <w:rFonts w:hint="eastAsia" w:ascii="仿宋_GB2312" w:hAnsi="仿宋_GB2312" w:eastAsia="仿宋_GB2312" w:cs="仿宋_GB2312"/>
                <w:highlight w:val="none"/>
                <w:u w:val="none"/>
              </w:rPr>
              <w:t>带动消费，持续扩大密云冰雪运动的专业影响力与大众参与度。</w:t>
            </w:r>
          </w:p>
          <w:p w14:paraId="4BCF111D">
            <w:pPr>
              <w:pageBreakBefore w:val="0"/>
              <w:kinsoku/>
              <w:wordWrap/>
              <w:overflowPunct/>
              <w:topLinePunct w:val="0"/>
              <w:autoSpaceDE/>
              <w:autoSpaceDN/>
              <w:bidi w:val="0"/>
              <w:adjustRightInd/>
              <w:snapToGrid/>
              <w:spacing w:line="560" w:lineRule="exact"/>
              <w:ind w:firstLine="640"/>
              <w:textAlignment w:val="auto"/>
              <w:rPr>
                <w:highlight w:val="none"/>
                <w:u w:val="none"/>
              </w:rPr>
            </w:pPr>
            <w:r>
              <w:rPr>
                <w:rFonts w:hint="eastAsia" w:ascii="仿宋_GB2312" w:hAnsi="仿宋_GB2312" w:eastAsia="仿宋_GB2312" w:cs="仿宋_GB2312"/>
                <w:highlight w:val="none"/>
                <w:u w:val="none"/>
              </w:rPr>
              <w:t>3.冬季冰雪宣传推广行动。围绕冬季冰雪嘉年华主题，</w:t>
            </w:r>
            <w:r>
              <w:rPr>
                <w:rFonts w:hint="eastAsia" w:ascii="仿宋_GB2312" w:hAnsi="仿宋_GB2312" w:cs="仿宋_GB2312"/>
                <w:highlight w:val="none"/>
                <w:u w:val="none"/>
                <w:lang w:val="en-US" w:eastAsia="zh-CN"/>
              </w:rPr>
              <w:t>利用</w:t>
            </w:r>
            <w:r>
              <w:rPr>
                <w:rFonts w:hint="eastAsia" w:ascii="仿宋_GB2312" w:hAnsi="仿宋_GB2312" w:eastAsia="仿宋_GB2312" w:cs="仿宋_GB2312"/>
                <w:highlight w:val="none"/>
                <w:u w:val="none"/>
              </w:rPr>
              <w:t>主流媒体与</w:t>
            </w:r>
            <w:r>
              <w:rPr>
                <w:rFonts w:hint="eastAsia" w:ascii="仿宋_GB2312" w:hAnsi="仿宋_GB2312" w:cs="仿宋_GB2312"/>
                <w:highlight w:val="none"/>
                <w:u w:val="none"/>
                <w:lang w:val="en-US" w:eastAsia="zh-CN"/>
              </w:rPr>
              <w:t>新媒体</w:t>
            </w:r>
            <w:r>
              <w:rPr>
                <w:rFonts w:hint="eastAsia" w:ascii="仿宋_GB2312" w:hAnsi="仿宋_GB2312" w:eastAsia="仿宋_GB2312" w:cs="仿宋_GB2312"/>
                <w:highlight w:val="none"/>
                <w:u w:val="none"/>
              </w:rPr>
              <w:t>平台开展集中宣推；推出冰雪联票、滑雪+</w:t>
            </w:r>
            <w:r>
              <w:rPr>
                <w:rFonts w:hint="eastAsia" w:ascii="仿宋_GB2312" w:hAnsi="仿宋_GB2312" w:cs="仿宋_GB2312"/>
                <w:highlight w:val="none"/>
                <w:u w:val="none"/>
                <w:lang w:val="en-US" w:eastAsia="zh-CN"/>
              </w:rPr>
              <w:t>私汤</w:t>
            </w:r>
            <w:r>
              <w:rPr>
                <w:rFonts w:hint="eastAsia" w:ascii="仿宋_GB2312" w:hAnsi="仿宋_GB2312" w:eastAsia="仿宋_GB2312" w:cs="仿宋_GB2312"/>
                <w:highlight w:val="none"/>
                <w:u w:val="none"/>
              </w:rPr>
              <w:t>+民宿组合优惠套餐；面向京津冀核心客源市场精准推广，持续提升密云冬季冰雪旅游的曝光度和市场号召力。</w:t>
            </w:r>
          </w:p>
        </w:tc>
      </w:tr>
    </w:tbl>
    <w:p w14:paraId="6B9043FB">
      <w:pPr>
        <w:pStyle w:val="5"/>
        <w:pageBreakBefore w:val="0"/>
        <w:kinsoku/>
        <w:wordWrap/>
        <w:overflowPunct/>
        <w:topLinePunct w:val="0"/>
        <w:autoSpaceDE/>
        <w:autoSpaceDN/>
        <w:bidi w:val="0"/>
        <w:adjustRightInd/>
        <w:snapToGrid/>
        <w:spacing w:before="204" w:after="204" w:line="560" w:lineRule="exact"/>
        <w:ind w:firstLine="480" w:firstLineChars="150"/>
        <w:textAlignment w:val="auto"/>
        <w:rPr>
          <w:highlight w:val="none"/>
          <w:u w:val="none"/>
        </w:rPr>
      </w:pPr>
      <w:r>
        <w:rPr>
          <w:rFonts w:hint="eastAsia"/>
          <w:highlight w:val="none"/>
          <w:u w:val="none"/>
        </w:rPr>
        <w:t>（六）打造入境游精品旅游产品</w:t>
      </w:r>
      <w:bookmarkEnd w:id="260"/>
      <w:bookmarkEnd w:id="261"/>
      <w:bookmarkEnd w:id="262"/>
      <w:bookmarkEnd w:id="263"/>
      <w:bookmarkEnd w:id="264"/>
      <w:bookmarkEnd w:id="265"/>
      <w:bookmarkEnd w:id="266"/>
      <w:bookmarkEnd w:id="267"/>
    </w:p>
    <w:p w14:paraId="4700462E">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lang w:val="en-US" w:eastAsia="zh-CN"/>
        </w:rPr>
      </w:pPr>
      <w:r>
        <w:rPr>
          <w:rFonts w:hint="default" w:ascii="仿宋_GB2312" w:hAnsi="仿宋_GB2312" w:cs="仿宋_GB2312"/>
          <w:highlight w:val="none"/>
          <w:u w:val="none"/>
        </w:rPr>
        <w:t>打造古北口—司马台长城入境游核心产品。 加强对司马台长城、蟠龙山长城、古北水镇等重点景区的宣传推广和提质升级，依托古北口历史文化街区、古御道旅游基础设施提升项目片区文旅资源，推出多语种长城文化深度研学之旅。结合新能源汽车、生命健康主导产业，推出“新能源+长城”“生命健康+长城”国际特色体验线路。联合国际平台开设专题页面，投放多语种宣传视频；在首都机场、大兴机场、国际旅行社门店设置多语种宣传展台，发放中英日韩版旅游手册与文创纪念品，提升国际曝光度。</w:t>
      </w:r>
      <w:r>
        <w:rPr>
          <w:rFonts w:hint="eastAsia" w:ascii="仿宋_GB2312" w:hAnsi="仿宋_GB2312" w:cs="仿宋_GB2312"/>
          <w:highlight w:val="none"/>
          <w:u w:val="none"/>
          <w:lang w:val="en-US" w:eastAsia="zh-CN"/>
        </w:rPr>
        <w:t xml:space="preserve">  </w:t>
      </w:r>
    </w:p>
    <w:p w14:paraId="0B5B786E">
      <w:pPr>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cs="仿宋_GB2312"/>
          <w:highlight w:val="none"/>
          <w:u w:val="none"/>
        </w:rPr>
      </w:pPr>
      <w:r>
        <w:rPr>
          <w:rFonts w:hint="default" w:ascii="仿宋_GB2312" w:hAnsi="仿宋_GB2312" w:cs="仿宋_GB2312"/>
          <w:highlight w:val="none"/>
          <w:u w:val="none"/>
        </w:rPr>
        <w:t>优化入境服务保障体系。利用闲置小院改造建设长城国际驿站；配备多语种（英语、韩语、日语等）服务人员与智能翻译设备、外币兑换点及国际支付终端。完善多语种标识系统，覆盖景区导览、交通指引、餐饮住宿、生命健康服务等关键场景，持续推进国际语言环境建设，规范景区重点场所外语标识，提升服务窗口外语服务能力。在重点区域设置多语种新能源充电指引、生命健康服务指引，适配入境游客需求，提高城市环境宜居便利化水平。</w:t>
      </w:r>
    </w:p>
    <w:p w14:paraId="6FDE95EF">
      <w:pPr>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cs="仿宋_GB2312"/>
          <w:highlight w:val="none"/>
          <w:u w:val="none"/>
        </w:rPr>
      </w:pPr>
      <w:r>
        <w:rPr>
          <w:rFonts w:hint="default" w:ascii="仿宋_GB2312" w:hAnsi="仿宋_GB2312" w:cs="仿宋_GB2312"/>
          <w:highlight w:val="none"/>
          <w:u w:val="none"/>
        </w:rPr>
        <w:t>构建多元外事接待与对外宣介体系</w:t>
      </w:r>
      <w:r>
        <w:rPr>
          <w:rFonts w:hint="eastAsia" w:ascii="仿宋_GB2312" w:hAnsi="仿宋_GB2312" w:cs="仿宋_GB2312"/>
          <w:highlight w:val="none"/>
          <w:u w:val="none"/>
          <w:lang w:eastAsia="zh-CN"/>
        </w:rPr>
        <w:t>。</w:t>
      </w:r>
      <w:r>
        <w:rPr>
          <w:rFonts w:hint="default" w:ascii="仿宋_GB2312" w:hAnsi="仿宋_GB2312" w:cs="仿宋_GB2312"/>
          <w:highlight w:val="none"/>
          <w:u w:val="none"/>
        </w:rPr>
        <w:t>制作文旅、招商等专业领域双语宣传资料，积极参与并利用经贸往来、知名展会、国际会议等多元渠道宣传推介密云优质</w:t>
      </w:r>
      <w:r>
        <w:rPr>
          <w:rFonts w:hint="eastAsia" w:ascii="仿宋_GB2312" w:hAnsi="仿宋_GB2312" w:cs="仿宋_GB2312"/>
          <w:highlight w:val="none"/>
          <w:u w:val="none"/>
          <w:lang w:val="en-US" w:eastAsia="zh-CN"/>
        </w:rPr>
        <w:t>文旅</w:t>
      </w:r>
      <w:r>
        <w:rPr>
          <w:rFonts w:hint="default" w:ascii="仿宋_GB2312" w:hAnsi="仿宋_GB2312" w:cs="仿宋_GB2312"/>
          <w:highlight w:val="none"/>
          <w:u w:val="none"/>
        </w:rPr>
        <w:t>资源。充分发挥生态文明、乡村振兴、文化旅游等方面资源优势，打造特色参访线路，重点对外展示宣介密云区在生态环保、产业发展、社会民生保障等方面的突出成就和优势，全面提升密云国际知名度与对外吸引力。</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2222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597EAB69">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6</w:t>
            </w:r>
            <w:r>
              <w:rPr>
                <w:rFonts w:hint="eastAsia" w:ascii="楷体" w:hAnsi="楷体" w:eastAsia="楷体" w:cs="仿宋_GB2312"/>
                <w:highlight w:val="none"/>
                <w:u w:val="none"/>
              </w:rPr>
              <w:t>：入境旅游服务提升专项行动</w:t>
            </w:r>
          </w:p>
        </w:tc>
      </w:tr>
      <w:tr w14:paraId="208A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0732D07">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1.涉外场景改造行动。对古北口、司马台长城等核心入境游览区域，持续完善多语种标识、讲解点位、体验场馆等硬件设施，升级国际驿站服务功能。</w:t>
            </w:r>
          </w:p>
          <w:p w14:paraId="40DEEAFA">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2.服务队伍培优行动。开展多语种接待、涉外礼仪、出入境政策等专项培训，组建常态化涉外服务队伍，提升综合服务能力。</w:t>
            </w:r>
          </w:p>
          <w:p w14:paraId="37184623">
            <w:pPr>
              <w:pageBreakBefore w:val="0"/>
              <w:kinsoku/>
              <w:wordWrap/>
              <w:overflowPunct/>
              <w:topLinePunct w:val="0"/>
              <w:autoSpaceDE/>
              <w:autoSpaceDN/>
              <w:bidi w:val="0"/>
              <w:adjustRightInd/>
              <w:snapToGrid/>
              <w:spacing w:line="560" w:lineRule="exact"/>
              <w:ind w:firstLine="640"/>
              <w:textAlignment w:val="auto"/>
              <w:rPr>
                <w:rFonts w:hint="eastAsia" w:eastAsia="仿宋_GB2312"/>
                <w:highlight w:val="none"/>
                <w:u w:val="none"/>
                <w:lang w:eastAsia="zh-CN"/>
              </w:rPr>
            </w:pPr>
            <w:r>
              <w:rPr>
                <w:rFonts w:hint="eastAsia" w:ascii="仿宋_GB2312" w:hAnsi="仿宋_GB2312" w:eastAsia="仿宋_GB2312" w:cs="仿宋_GB2312"/>
                <w:highlight w:val="none"/>
                <w:u w:val="none"/>
              </w:rPr>
              <w:t>3.国际营销拓展行动。深化与海外媒体、旅游机构、驻华社群合作，常态化开展线上线下国际推广活动，拓展入境客源市场。</w:t>
            </w:r>
          </w:p>
        </w:tc>
      </w:tr>
    </w:tbl>
    <w:p w14:paraId="033B3E6A">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268" w:name="_Toc2067566788"/>
      <w:bookmarkStart w:id="269" w:name="_Toc224543797"/>
      <w:r>
        <w:rPr>
          <w:rFonts w:hint="eastAsia"/>
          <w:highlight w:val="none"/>
          <w:u w:val="none"/>
        </w:rPr>
        <w:t>三、提质乡村旅游发展，深化多业态融合</w:t>
      </w:r>
      <w:bookmarkEnd w:id="268"/>
      <w:bookmarkEnd w:id="269"/>
    </w:p>
    <w:p w14:paraId="17458101">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270" w:name="_Toc1162113809"/>
      <w:bookmarkStart w:id="271" w:name="_Toc221229341"/>
      <w:bookmarkStart w:id="272" w:name="_Toc231819298"/>
      <w:bookmarkStart w:id="273" w:name="_Toc231556981"/>
      <w:bookmarkStart w:id="274" w:name="_Toc224543798"/>
      <w:bookmarkStart w:id="275" w:name="_Toc232410075"/>
      <w:bookmarkStart w:id="276" w:name="_Toc232165583"/>
      <w:bookmarkStart w:id="277" w:name="_Toc221290576"/>
      <w:r>
        <w:rPr>
          <w:rFonts w:hint="eastAsia"/>
          <w:highlight w:val="none"/>
          <w:u w:val="none"/>
        </w:rPr>
        <w:t>（一）打造特色乡村文旅业态</w:t>
      </w:r>
      <w:bookmarkEnd w:id="270"/>
      <w:bookmarkEnd w:id="271"/>
      <w:bookmarkEnd w:id="272"/>
      <w:bookmarkEnd w:id="273"/>
      <w:bookmarkEnd w:id="274"/>
      <w:bookmarkEnd w:id="275"/>
      <w:bookmarkEnd w:id="276"/>
      <w:bookmarkEnd w:id="277"/>
    </w:p>
    <w:p w14:paraId="38ED0A91">
      <w:pPr>
        <w:pageBreakBefore w:val="0"/>
        <w:kinsoku/>
        <w:wordWrap/>
        <w:overflowPunct/>
        <w:topLinePunct w:val="0"/>
        <w:autoSpaceDE/>
        <w:autoSpaceDN/>
        <w:bidi w:val="0"/>
        <w:adjustRightInd/>
        <w:snapToGrid/>
        <w:spacing w:line="560" w:lineRule="exact"/>
        <w:ind w:firstLine="640"/>
        <w:textAlignment w:val="auto"/>
        <w:rPr>
          <w:highlight w:val="none"/>
          <w:u w:val="none"/>
        </w:rPr>
      </w:pPr>
      <w:r>
        <w:rPr>
          <w:rFonts w:hint="eastAsia" w:ascii="仿宋_GB2312" w:hAnsi="仿宋_GB2312" w:cs="仿宋_GB2312"/>
          <w:highlight w:val="none"/>
          <w:u w:val="none"/>
        </w:rPr>
        <w:t>培育乡村“小而美”业态。紧扣农文旅深度融合发展核心要求，立足</w:t>
      </w:r>
      <w:r>
        <w:rPr>
          <w:rFonts w:hint="eastAsia" w:ascii="仿宋_GB2312" w:hAnsi="仿宋_GB2312" w:cs="仿宋_GB2312"/>
          <w:highlight w:val="none"/>
          <w:u w:val="none"/>
          <w:lang w:val="en-US" w:eastAsia="zh-CN"/>
        </w:rPr>
        <w:t>特色乡镇</w:t>
      </w:r>
      <w:r>
        <w:rPr>
          <w:rFonts w:hint="eastAsia" w:ascii="仿宋_GB2312" w:hAnsi="仿宋_GB2312" w:cs="仿宋_GB2312"/>
          <w:highlight w:val="none"/>
          <w:u w:val="none"/>
        </w:rPr>
        <w:t>发展定位，实施乡村“小而美”业态培育工程，聚焦精品民宿、非遗工坊、田园体验、特色餐饮等细分领域，打造一批小而精、小而特、小而优的乡村文旅示范项目；严控乡村旅游开发规模与强度，杜绝大规模、粗放式开发，系统保护乡村原生自然风貌、传统建筑肌理与特色民俗文化，推动乡村旅游提质升级，持续彰显乡土本色与文化底蕴。</w:t>
      </w:r>
    </w:p>
    <w:p w14:paraId="23A684C6">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动乡村民宿提质升级。对标全国甲、乙级民宿评定标准，系统推进民宿硬件设施标准化改造和服务品质精细化提升。依托区域内长城文化、山水生态、红色资源、冰雪禀赋等多元特色资源，分类培育主题鲜明、风格各异的乡村民宿，重点打造“长城人家”“云水之家”等特色民宿品牌，全方位满足家庭出游、康养度假、研学旅行、亲子体验等不同群体的旅居需求。同步完善民宿周边停车场、污水处理、智慧网络、休闲步道等配套基础设施，补齐服务短板，持续提升乡村旅游接待能力与服务品质。</w:t>
      </w:r>
    </w:p>
    <w:p w14:paraId="7B42E0FD">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打造特色乡村文旅品牌。结合各镇域资源禀赋差异和发展优势，精准定位、重点发力，打造北庄观鸟休闲、新城子古树名镇、不老屯长寿文化等一批具有辨识度和影响力的特色文旅品牌，形成“一镇一特色、一村一亮点”的差异化乡村文旅发展格局，不断提升密云乡村旅游的知名度、辨识度和核心竞争力，吸引更多游客前来休闲体验。</w:t>
      </w:r>
    </w:p>
    <w:p w14:paraId="652E1DDF">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278" w:name="_Toc221229342"/>
      <w:bookmarkStart w:id="279" w:name="_Toc231819299"/>
      <w:bookmarkStart w:id="280" w:name="_Toc231556982"/>
      <w:bookmarkStart w:id="281" w:name="_Toc232165584"/>
      <w:bookmarkStart w:id="282" w:name="_Toc232410076"/>
      <w:bookmarkStart w:id="283" w:name="_Toc221290577"/>
      <w:bookmarkStart w:id="284" w:name="_Toc283018398"/>
      <w:bookmarkStart w:id="285" w:name="_Toc224543799"/>
      <w:r>
        <w:rPr>
          <w:rFonts w:hint="eastAsia"/>
          <w:highlight w:val="none"/>
          <w:u w:val="none"/>
        </w:rPr>
        <w:t>（二）推动乡村旅游重点片区建设</w:t>
      </w:r>
      <w:bookmarkEnd w:id="278"/>
      <w:bookmarkEnd w:id="279"/>
      <w:bookmarkEnd w:id="280"/>
      <w:bookmarkEnd w:id="281"/>
      <w:bookmarkEnd w:id="282"/>
      <w:bookmarkEnd w:id="283"/>
      <w:bookmarkEnd w:id="284"/>
      <w:bookmarkEnd w:id="285"/>
    </w:p>
    <w:p w14:paraId="6ED24474">
      <w:pPr>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聚焦溪翁庄镇、新城子镇、北庄镇等乡镇差异化资源禀赋差异，强化区域统筹协调与协同发力，按照运营前置、规划前置、机制前置核心原则，紧扣片区特色基底为核心抓手，以品牌塑造提升核心竞争力为关键举措，以业态创新激活发展动力为重要支撑，以项目落地建设夯实发展基础为攻坚重点，深度挖掘镇域内农耕文化、红色文化、长城文化及生态自然资源、非物质文化遗产等特色底蕴，统筹推进资源整合、业态融合、品牌打造、服务提升，高标准、高质量推动乡村旅游重点片区建设，加快构建定位清晰、特色鲜明、优势互补、联动共进的乡村旅游发展新格局，持续提升密云乡村旅游的整体品质和综合影响力。</w:t>
      </w:r>
    </w:p>
    <w:p w14:paraId="1BBA87D7">
      <w:pPr>
        <w:pStyle w:val="5"/>
        <w:pageBreakBefore w:val="0"/>
        <w:widowControl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286" w:name="_Toc232410077"/>
      <w:bookmarkStart w:id="287" w:name="_Toc13937081"/>
      <w:bookmarkStart w:id="288" w:name="_Toc224543800"/>
      <w:bookmarkStart w:id="289" w:name="_Toc221290578"/>
      <w:bookmarkStart w:id="290" w:name="_Toc231556983"/>
      <w:bookmarkStart w:id="291" w:name="_Toc232165585"/>
      <w:bookmarkStart w:id="292" w:name="_Toc221229343"/>
      <w:bookmarkStart w:id="293" w:name="_Toc231819300"/>
      <w:r>
        <w:rPr>
          <w:rFonts w:hint="eastAsia"/>
          <w:highlight w:val="none"/>
          <w:u w:val="none"/>
        </w:rPr>
        <w:t>（三）深化多业态融合发展</w:t>
      </w:r>
      <w:bookmarkEnd w:id="286"/>
      <w:bookmarkEnd w:id="287"/>
      <w:bookmarkEnd w:id="288"/>
      <w:bookmarkEnd w:id="289"/>
      <w:bookmarkEnd w:id="290"/>
      <w:bookmarkEnd w:id="291"/>
      <w:bookmarkEnd w:id="292"/>
      <w:bookmarkEnd w:id="293"/>
    </w:p>
    <w:p w14:paraId="5C84C360">
      <w:pPr>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推动农文旅产品转化升级。</w:t>
      </w:r>
      <w:r>
        <w:rPr>
          <w:rFonts w:hint="eastAsia" w:ascii="仿宋_GB2312" w:hAnsi="仿宋_GB2312" w:cs="仿宋_GB2312"/>
          <w:szCs w:val="30"/>
          <w:highlight w:val="none"/>
          <w:u w:val="none"/>
        </w:rPr>
        <w:t>充分发挥农文旅新主体联盟作用，</w:t>
      </w:r>
      <w:r>
        <w:rPr>
          <w:rFonts w:hint="eastAsia" w:ascii="仿宋_GB2312" w:hAnsi="仿宋_GB2312" w:cs="仿宋_GB2312"/>
          <w:highlight w:val="none"/>
          <w:u w:val="none"/>
        </w:rPr>
        <w:t>依托水库鱼、特色蜜、环湖粮、山区果、平原菜特色农业资源，打造“密云礼物”全品类伴手礼体系，打通线下景区驿站、民宿和线上电商全销售渠道，推动农产品向文旅商品、康养产品、文创产品转化，精心开发“密云八珍”等系列特色文旅伴手礼和文创衍生品，丰富产品品类、提升产品质感，实现“农业+文旅”双向赋能、互利共赢。</w:t>
      </w:r>
    </w:p>
    <w:p w14:paraId="004853C5">
      <w:pPr>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丰富节庆活动融合带动效应。持续办好鱼王美食文化节、农民丰收节等具有密云特色的节庆活动，结合时代特点和游客需求，创新活动内容、优化组织形式，将农业展示、非遗展演、体育赛事、文旅体验、商品展销等多元元素融入节庆活动，丰富活动内涵、提升活动品质。通过节庆活动搭建展示平台，集中展现密云乡村旅游、特色农业和民俗文化魅力，放大节庆经济带动效应，拉动旅游消费、促进农民增收，推动乡村旅游持续健康发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2A8E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tcPr>
          <w:p w14:paraId="257A9106">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bookmarkStart w:id="294" w:name="_Toc200552663"/>
            <w:bookmarkStart w:id="295" w:name="_Toc200619313"/>
            <w:bookmarkStart w:id="296" w:name="_Toc202364178"/>
            <w:bookmarkStart w:id="297" w:name="OLE_LINK1"/>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7</w:t>
            </w:r>
            <w:r>
              <w:rPr>
                <w:rFonts w:hint="eastAsia" w:ascii="楷体" w:hAnsi="楷体" w:eastAsia="楷体" w:cs="仿宋_GB2312"/>
                <w:highlight w:val="none"/>
                <w:u w:val="none"/>
              </w:rPr>
              <w:t>：乡村旅游</w:t>
            </w:r>
            <w:r>
              <w:rPr>
                <w:rFonts w:hint="eastAsia" w:ascii="楷体" w:hAnsi="楷体" w:eastAsia="楷体" w:cs="仿宋_GB2312"/>
                <w:highlight w:val="none"/>
                <w:u w:val="none"/>
                <w:lang w:val="en-US" w:eastAsia="zh-CN"/>
              </w:rPr>
              <w:t>高质量</w:t>
            </w:r>
            <w:r>
              <w:rPr>
                <w:rFonts w:hint="eastAsia" w:ascii="楷体" w:hAnsi="楷体" w:eastAsia="楷体" w:cs="仿宋_GB2312"/>
                <w:highlight w:val="none"/>
                <w:u w:val="none"/>
              </w:rPr>
              <w:t>发展</w:t>
            </w:r>
          </w:p>
        </w:tc>
      </w:tr>
      <w:tr w14:paraId="114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1E849F93">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lang w:eastAsia="zh-CN"/>
              </w:rPr>
            </w:pPr>
            <w:r>
              <w:rPr>
                <w:rFonts w:hint="eastAsia" w:ascii="仿宋_GB2312" w:hAnsi="仿宋_GB2312" w:cs="仿宋_GB2312"/>
                <w:highlight w:val="none"/>
                <w:u w:val="none"/>
                <w:lang w:val="en-US" w:eastAsia="zh-CN"/>
              </w:rPr>
              <w:t>1.</w:t>
            </w:r>
            <w:r>
              <w:rPr>
                <w:rFonts w:hint="eastAsia" w:ascii="仿宋_GB2312" w:hAnsi="仿宋_GB2312" w:cs="仿宋_GB2312"/>
                <w:highlight w:val="none"/>
                <w:u w:val="none"/>
              </w:rPr>
              <w:t>培育乡村旅游品牌</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做强“云水之家”“长城人家”等精品民宿品牌</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推进金叵罗村</w:t>
            </w:r>
            <w:r>
              <w:rPr>
                <w:rFonts w:hint="eastAsia" w:ascii="仿宋_GB2312" w:hAnsi="仿宋_GB2312" w:cs="仿宋_GB2312"/>
                <w:highlight w:val="none"/>
                <w:u w:val="none"/>
                <w:lang w:val="en-US" w:eastAsia="zh-CN"/>
              </w:rPr>
              <w:t>申报联合国</w:t>
            </w:r>
            <w:r>
              <w:rPr>
                <w:rFonts w:hint="eastAsia" w:ascii="仿宋_GB2312" w:hAnsi="仿宋_GB2312" w:cs="仿宋_GB2312"/>
                <w:highlight w:val="none"/>
                <w:u w:val="none"/>
              </w:rPr>
              <w:t>“世界最佳旅游乡村”，打造农文旅深度融合、国际知名的乡村可持续发展样板；高标准建设</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古北妙街</w:t>
            </w:r>
            <w:r>
              <w:rPr>
                <w:rFonts w:hint="eastAsia" w:ascii="仿宋_GB2312" w:hAnsi="仿宋_GB2312" w:cs="仿宋_GB2312"/>
                <w:highlight w:val="none"/>
                <w:u w:val="none"/>
                <w:lang w:eastAsia="zh-CN"/>
              </w:rPr>
              <w:t>”</w:t>
            </w:r>
            <w:r>
              <w:rPr>
                <w:rFonts w:hint="eastAsia" w:ascii="仿宋_GB2312" w:hAnsi="仿宋_GB2312" w:cs="仿宋_GB2312"/>
                <w:highlight w:val="none"/>
                <w:u w:val="none"/>
              </w:rPr>
              <w:t>乡村旅游目的地，丰富夜间消费、文化体验、特色餐饮等多元业态，打造京郊乡村文旅消费新地标</w:t>
            </w:r>
            <w:r>
              <w:rPr>
                <w:rFonts w:hint="eastAsia" w:ascii="仿宋_GB2312" w:hAnsi="仿宋_GB2312" w:cs="仿宋_GB2312"/>
                <w:highlight w:val="none"/>
                <w:u w:val="none"/>
                <w:lang w:eastAsia="zh-CN"/>
              </w:rPr>
              <w:t>。</w:t>
            </w:r>
          </w:p>
          <w:p w14:paraId="526A74AC">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r>
              <w:rPr>
                <w:rFonts w:hint="eastAsia" w:ascii="仿宋_GB2312" w:hAnsi="仿宋_GB2312" w:cs="仿宋_GB2312"/>
                <w:highlight w:val="none"/>
                <w:u w:val="none"/>
              </w:rPr>
              <w:t>2.完善乡村体验产品。联动司马台村西红柿产业园、不老屯镇蜂产业，完善“种植—采摘—体验—销售”全链条；开发“农业+旅游+科普”乡村体验产品。</w:t>
            </w:r>
          </w:p>
          <w:p w14:paraId="0727B718">
            <w:pPr>
              <w:pageBreakBefore w:val="0"/>
              <w:widowControl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3.推动乡村基础设施升级。推进乡村旅游重点片区基础设施升级，完善污水处理、停车场、智慧导览等配套，提升乡村旅游接待能力与服务品质。</w:t>
            </w:r>
          </w:p>
        </w:tc>
      </w:tr>
    </w:tbl>
    <w:p w14:paraId="649BD308">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298" w:name="_Toc1174750494"/>
      <w:bookmarkStart w:id="299" w:name="_Toc164802844"/>
      <w:r>
        <w:rPr>
          <w:rFonts w:hint="eastAsia"/>
          <w:highlight w:val="none"/>
          <w:u w:val="none"/>
          <w:lang w:val="en-US" w:eastAsia="zh-CN"/>
        </w:rPr>
        <w:t>四</w:t>
      </w:r>
      <w:r>
        <w:rPr>
          <w:rFonts w:hint="eastAsia"/>
          <w:highlight w:val="none"/>
          <w:u w:val="none"/>
        </w:rPr>
        <w:t>、盘活存量文旅资源，</w:t>
      </w:r>
      <w:bookmarkEnd w:id="298"/>
      <w:r>
        <w:rPr>
          <w:rFonts w:hint="eastAsia"/>
          <w:highlight w:val="none"/>
          <w:u w:val="none"/>
        </w:rPr>
        <w:t>实施重大项目带动战略</w:t>
      </w:r>
    </w:p>
    <w:p w14:paraId="3F7F991F">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r>
        <w:rPr>
          <w:rFonts w:hint="eastAsia"/>
          <w:highlight w:val="none"/>
          <w:u w:val="none"/>
        </w:rPr>
        <w:t>（一）盘活文旅存量资产</w:t>
      </w:r>
    </w:p>
    <w:p w14:paraId="591DEE59">
      <w:pPr>
        <w:pStyle w:val="8"/>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针对老旧民宿、存量农家乐、农业园区、传统采摘园等闲置低效资源，</w:t>
      </w:r>
      <w:r>
        <w:rPr>
          <w:rFonts w:hint="eastAsia" w:ascii="仿宋_GB2312" w:hAnsi="仿宋_GB2312" w:cs="仿宋_GB2312"/>
          <w:szCs w:val="30"/>
          <w:highlight w:val="none"/>
          <w:u w:val="none"/>
          <w:lang w:val="en-US" w:eastAsia="zh-CN"/>
        </w:rPr>
        <w:t>在</w:t>
      </w:r>
      <w:r>
        <w:rPr>
          <w:rFonts w:hint="eastAsia" w:ascii="仿宋_GB2312" w:hAnsi="仿宋_GB2312" w:cs="仿宋_GB2312"/>
          <w:szCs w:val="30"/>
          <w:highlight w:val="none"/>
          <w:u w:val="none"/>
        </w:rPr>
        <w:t>项目改造前期先行明确产品定位、目标客群、运营主体与收益分配模式，完成可行性论证后方可实施改造提升。重点转型打造主题特色民宿、农耕食育课程体验基地、户外自然研学营地、农产品深加工与风物体验场景，盘活闲置资产价值</w:t>
      </w:r>
      <w:r>
        <w:rPr>
          <w:rFonts w:hint="eastAsia" w:ascii="仿宋_GB2312" w:hAnsi="仿宋_GB2312" w:cs="仿宋_GB2312"/>
          <w:szCs w:val="30"/>
          <w:highlight w:val="none"/>
          <w:u w:val="none"/>
          <w:lang w:eastAsia="zh-CN"/>
        </w:rPr>
        <w:t>，</w:t>
      </w:r>
      <w:r>
        <w:rPr>
          <w:rFonts w:hint="eastAsia" w:ascii="仿宋_GB2312" w:hAnsi="仿宋_GB2312" w:cs="仿宋_GB2312"/>
          <w:szCs w:val="30"/>
          <w:highlight w:val="none"/>
          <w:u w:val="none"/>
        </w:rPr>
        <w:t>补齐文旅二次消费短板。</w:t>
      </w:r>
    </w:p>
    <w:p w14:paraId="743F1267">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highlight w:val="none"/>
          <w:u w:val="none"/>
        </w:rPr>
      </w:pPr>
      <w:r>
        <w:rPr>
          <w:rFonts w:hint="eastAsia"/>
          <w:highlight w:val="none"/>
          <w:u w:val="none"/>
          <w:lang w:eastAsia="zh-CN"/>
        </w:rPr>
        <w:t>（</w:t>
      </w:r>
      <w:r>
        <w:rPr>
          <w:rFonts w:hint="eastAsia"/>
          <w:highlight w:val="none"/>
          <w:u w:val="none"/>
          <w:lang w:val="en-US" w:eastAsia="zh-CN"/>
        </w:rPr>
        <w:t>二）</w:t>
      </w:r>
      <w:r>
        <w:rPr>
          <w:rFonts w:hint="eastAsia"/>
          <w:highlight w:val="none"/>
          <w:u w:val="none"/>
        </w:rPr>
        <w:t>强化项目谋划储备</w:t>
      </w:r>
    </w:p>
    <w:p w14:paraId="46E60381">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ascii="仿宋_GB2312" w:hAnsi="仿宋_GB2312" w:eastAsia="仿宋_GB2312" w:cs="仿宋_GB2312"/>
          <w:bCs w:val="0"/>
          <w:kern w:val="2"/>
          <w:sz w:val="32"/>
          <w:szCs w:val="30"/>
          <w:highlight w:val="none"/>
          <w:u w:val="none"/>
          <w:lang w:val="en-US" w:eastAsia="zh-CN" w:bidi="ar-SA"/>
        </w:rPr>
      </w:pPr>
      <w:r>
        <w:rPr>
          <w:rFonts w:hint="eastAsia" w:ascii="仿宋_GB2312" w:hAnsi="仿宋_GB2312" w:eastAsia="仿宋_GB2312" w:cs="仿宋_GB2312"/>
          <w:bCs w:val="0"/>
          <w:kern w:val="2"/>
          <w:sz w:val="32"/>
          <w:szCs w:val="30"/>
          <w:highlight w:val="none"/>
          <w:u w:val="none"/>
          <w:lang w:val="en-US" w:eastAsia="zh-CN" w:bidi="ar-SA"/>
        </w:rPr>
        <w:t>紧密衔接“十五五”时期密云文旅发展总体目标与空间布局，建立动态更新的文旅项目储备库，形成“谋划一批、储备一批、开工一批、建成一批”的梯次推进格局。重点围绕长城文化带建设、康养旅游培育、乡村旅游提质、景区转型升级、历史文化街区活化等领域，谋划实施一批引领性、标志性、示范性重大文旅项目，以项目为载体推动规划任务落地见效。</w:t>
      </w:r>
    </w:p>
    <w:p w14:paraId="5FDDE1AA">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ascii="仿宋_GB2312" w:hAnsi="仿宋_GB2312" w:cs="仿宋_GB2312"/>
          <w:szCs w:val="30"/>
          <w:highlight w:val="none"/>
          <w:u w:val="none"/>
          <w:lang w:eastAsia="zh-CN"/>
        </w:rPr>
      </w:pPr>
      <w:r>
        <w:rPr>
          <w:rFonts w:hint="eastAsia" w:ascii="仿宋_GB2312" w:hAnsi="仿宋_GB2312" w:cs="仿宋_GB2312"/>
          <w:szCs w:val="30"/>
          <w:highlight w:val="none"/>
          <w:u w:val="none"/>
          <w:lang w:eastAsia="zh-CN"/>
        </w:rPr>
        <w:t>（</w:t>
      </w:r>
      <w:r>
        <w:rPr>
          <w:rFonts w:hint="eastAsia" w:ascii="仿宋_GB2312" w:hAnsi="仿宋_GB2312" w:cs="仿宋_GB2312"/>
          <w:szCs w:val="30"/>
          <w:highlight w:val="none"/>
          <w:u w:val="none"/>
          <w:lang w:val="en-US" w:eastAsia="zh-CN"/>
        </w:rPr>
        <w:t>三）</w:t>
      </w:r>
      <w:r>
        <w:rPr>
          <w:rFonts w:hint="eastAsia" w:ascii="仿宋_GB2312" w:hAnsi="仿宋_GB2312" w:cs="仿宋_GB2312"/>
          <w:szCs w:val="30"/>
          <w:highlight w:val="none"/>
          <w:u w:val="none"/>
          <w:lang w:eastAsia="zh-CN"/>
        </w:rPr>
        <w:t>创新项目运营模式</w:t>
      </w:r>
    </w:p>
    <w:p w14:paraId="090C4D15">
      <w:pPr>
        <w:pageBreakBefore w:val="0"/>
        <w:kinsoku/>
        <w:wordWrap/>
        <w:overflowPunct/>
        <w:topLinePunct w:val="0"/>
        <w:autoSpaceDE/>
        <w:autoSpaceDN/>
        <w:bidi w:val="0"/>
        <w:adjustRightInd/>
        <w:snapToGrid/>
        <w:spacing w:line="560" w:lineRule="exact"/>
        <w:textAlignment w:val="auto"/>
        <w:rPr>
          <w:rFonts w:hint="eastAsia"/>
          <w:u w:val="none"/>
        </w:rPr>
      </w:pPr>
      <w:r>
        <w:rPr>
          <w:rFonts w:hint="eastAsia" w:ascii="仿宋_GB2312" w:hAnsi="仿宋_GB2312" w:cs="仿宋_GB2312"/>
          <w:szCs w:val="30"/>
          <w:highlight w:val="none"/>
          <w:u w:val="none"/>
        </w:rPr>
        <w:t>坚持“运营前置”原则，在项目规划阶段同步明确产品定位、目标客群、运营主体与收益分配机制，确保项目建成即运营、运营即见效。积极探索“国企+社会资本+村集体”多方共建共享模式，建立利益联结机制，实现项目可持续运营与各方共赢。加强项目全生命周期管理，完善从立项审批、建设实施到运营评估的全流程服务保障，确保重大项目按计划推进、高质量落地。</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6CF6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7E1E1F01">
            <w:pPr>
              <w:pageBreakBefore w:val="0"/>
              <w:kinsoku/>
              <w:wordWrap/>
              <w:overflowPunct/>
              <w:topLinePunct w:val="0"/>
              <w:autoSpaceDE/>
              <w:autoSpaceDN/>
              <w:bidi w:val="0"/>
              <w:adjustRightInd/>
              <w:snapToGrid/>
              <w:spacing w:line="560" w:lineRule="exact"/>
              <w:ind w:firstLine="0" w:firstLineChars="0"/>
              <w:jc w:val="center"/>
              <w:textAlignment w:val="auto"/>
              <w:rPr>
                <w:rFonts w:ascii="楷体" w:hAnsi="楷体" w:eastAsia="楷体" w:cs="仿宋_GB2312"/>
                <w:highlight w:val="none"/>
                <w:u w:val="none"/>
              </w:rPr>
            </w:pPr>
            <w:r>
              <w:rPr>
                <w:rFonts w:hint="eastAsia" w:ascii="楷体" w:hAnsi="楷体" w:eastAsia="楷体" w:cs="仿宋_GB2312"/>
                <w:highlight w:val="none"/>
                <w:u w:val="none"/>
              </w:rPr>
              <w:t>专栏</w:t>
            </w:r>
            <w:r>
              <w:rPr>
                <w:rFonts w:hint="eastAsia" w:ascii="楷体" w:hAnsi="楷体" w:eastAsia="楷体" w:cs="仿宋_GB2312"/>
                <w:highlight w:val="none"/>
                <w:u w:val="none"/>
                <w:lang w:val="en-US" w:eastAsia="zh-CN"/>
              </w:rPr>
              <w:t>8</w:t>
            </w:r>
            <w:r>
              <w:rPr>
                <w:rFonts w:hint="eastAsia" w:ascii="楷体" w:hAnsi="楷体" w:eastAsia="楷体" w:cs="仿宋_GB2312"/>
                <w:highlight w:val="none"/>
                <w:u w:val="none"/>
              </w:rPr>
              <w:t>：推动项目落地见效</w:t>
            </w:r>
          </w:p>
        </w:tc>
      </w:tr>
      <w:tr w14:paraId="63BF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6B4ADD8D">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highlight w:val="none"/>
                <w:u w:val="none"/>
              </w:rPr>
            </w:pPr>
            <w:r>
              <w:rPr>
                <w:rFonts w:hint="eastAsia" w:ascii="仿宋_GB2312" w:hAnsi="仿宋_GB2312" w:eastAsia="仿宋_GB2312" w:cs="仿宋_GB2312"/>
                <w:highlight w:val="none"/>
                <w:u w:val="none"/>
              </w:rPr>
              <w:t>1.加快推进北京中旅云谷森泊乐园建设</w:t>
            </w:r>
            <w:r>
              <w:rPr>
                <w:rFonts w:hint="eastAsia" w:ascii="仿宋_GB2312" w:hAnsi="仿宋_GB2312" w:eastAsia="仿宋_GB2312" w:cs="仿宋_GB2312"/>
                <w:highlight w:val="none"/>
                <w:u w:val="none"/>
                <w:lang w:eastAsia="zh-CN"/>
              </w:rPr>
              <w:t>。</w:t>
            </w:r>
            <w:r>
              <w:rPr>
                <w:rFonts w:hint="eastAsia" w:ascii="仿宋_GB2312" w:hAnsi="仿宋_GB2312" w:eastAsia="仿宋_GB2312" w:cs="仿宋_GB2312"/>
                <w:highlight w:val="none"/>
                <w:u w:val="none"/>
              </w:rPr>
              <w:t>打造集多元住宿、奇趣游乐、潮酷运动于一体的华北地区一站式休闲度假新典范，带动南部时尚运动和体育旅游发展带整体跃升。</w:t>
            </w:r>
          </w:p>
          <w:p w14:paraId="6CCB432A">
            <w:pPr>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highlight w:val="none"/>
                <w:u w:val="none"/>
                <w:lang w:val="en-US" w:eastAsia="zh-CN"/>
              </w:rPr>
            </w:pPr>
            <w:r>
              <w:rPr>
                <w:rFonts w:hint="eastAsia" w:ascii="仿宋_GB2312" w:hAnsi="仿宋_GB2312" w:cs="仿宋_GB2312"/>
                <w:highlight w:val="none"/>
                <w:u w:val="none"/>
                <w:lang w:val="en-US" w:eastAsia="zh-CN"/>
              </w:rPr>
              <w:t>2.推进</w:t>
            </w:r>
            <w:r>
              <w:rPr>
                <w:rFonts w:hint="eastAsia" w:ascii="仿宋_GB2312" w:hAnsi="仿宋_GB2312" w:cs="仿宋_GB2312"/>
                <w:szCs w:val="30"/>
                <w:highlight w:val="none"/>
                <w:u w:val="none"/>
              </w:rPr>
              <w:t>古御道历史文化街区旅游基础设施提升</w:t>
            </w:r>
            <w:r>
              <w:rPr>
                <w:rFonts w:hint="eastAsia" w:ascii="仿宋_GB2312" w:hAnsi="仿宋_GB2312" w:cs="仿宋_GB2312"/>
                <w:szCs w:val="30"/>
                <w:highlight w:val="none"/>
                <w:u w:val="none"/>
                <w:lang w:val="en-US" w:eastAsia="zh-CN"/>
              </w:rPr>
              <w:t>项目建设</w:t>
            </w:r>
            <w:r>
              <w:rPr>
                <w:rFonts w:hint="eastAsia" w:ascii="仿宋_GB2312" w:hAnsi="仿宋_GB2312" w:cs="仿宋_GB2312"/>
                <w:szCs w:val="30"/>
                <w:highlight w:val="none"/>
                <w:u w:val="none"/>
              </w:rPr>
              <w:t>，完善慢行步道、游客驿站、河道生态等配套设施</w:t>
            </w:r>
            <w:r>
              <w:rPr>
                <w:rFonts w:hint="eastAsia" w:ascii="仿宋_GB2312" w:hAnsi="仿宋_GB2312" w:cs="仿宋_GB2312"/>
                <w:szCs w:val="30"/>
                <w:highlight w:val="none"/>
                <w:u w:val="none"/>
                <w:lang w:eastAsia="zh-CN"/>
              </w:rPr>
              <w:t>，</w:t>
            </w:r>
            <w:r>
              <w:rPr>
                <w:rFonts w:hint="eastAsia" w:ascii="仿宋_GB2312" w:hAnsi="仿宋_GB2312" w:cs="仿宋_GB2312"/>
                <w:szCs w:val="30"/>
                <w:highlight w:val="none"/>
                <w:u w:val="none"/>
                <w:lang w:val="en-US" w:eastAsia="zh-CN"/>
              </w:rPr>
              <w:t>扎实</w:t>
            </w:r>
            <w:r>
              <w:rPr>
                <w:rFonts w:hint="eastAsia" w:ascii="仿宋_GB2312" w:hAnsi="仿宋_GB2312" w:cs="仿宋_GB2312"/>
                <w:highlight w:val="none"/>
                <w:u w:val="none"/>
                <w:lang w:val="en-US" w:eastAsia="zh-CN"/>
              </w:rPr>
              <w:t>推动历史文化街区保护利用工作</w:t>
            </w:r>
            <w:r>
              <w:rPr>
                <w:rFonts w:hint="eastAsia" w:ascii="仿宋_GB2312" w:hAnsi="仿宋_GB2312" w:cs="仿宋_GB2312"/>
                <w:szCs w:val="30"/>
                <w:highlight w:val="none"/>
                <w:u w:val="none"/>
              </w:rPr>
              <w:t>。</w:t>
            </w:r>
          </w:p>
          <w:p w14:paraId="0672BEE7">
            <w:pPr>
              <w:pageBreakBefore w:val="0"/>
              <w:kinsoku/>
              <w:wordWrap/>
              <w:overflowPunct/>
              <w:topLinePunct w:val="0"/>
              <w:autoSpaceDE/>
              <w:autoSpaceDN/>
              <w:bidi w:val="0"/>
              <w:adjustRightInd/>
              <w:snapToGrid/>
              <w:spacing w:line="560" w:lineRule="exact"/>
              <w:ind w:firstLine="640"/>
              <w:textAlignment w:val="auto"/>
              <w:rPr>
                <w:rFonts w:hint="default"/>
                <w:u w:val="none"/>
                <w:lang w:val="en-US" w:eastAsia="zh-CN"/>
              </w:rPr>
            </w:pPr>
            <w:r>
              <w:rPr>
                <w:rFonts w:hint="eastAsia" w:ascii="仿宋_GB2312" w:hAnsi="仿宋_GB2312" w:cs="仿宋_GB2312"/>
                <w:highlight w:val="none"/>
                <w:u w:val="none"/>
                <w:lang w:val="en-US" w:eastAsia="zh-CN"/>
              </w:rPr>
              <w:t>3.推动新城子“古树名镇”旅游设施提升、北庄观鸟特色小镇建设等一批特色项目落地见效，形成“一镇一品、多点开花”的项目支撑格局。</w:t>
            </w:r>
          </w:p>
        </w:tc>
      </w:tr>
    </w:tbl>
    <w:p w14:paraId="0CF12E2E">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r>
        <w:rPr>
          <w:rFonts w:hint="eastAsia"/>
          <w:highlight w:val="none"/>
          <w:u w:val="none"/>
          <w:lang w:val="en-US" w:eastAsia="zh-CN"/>
        </w:rPr>
        <w:t>五</w:t>
      </w:r>
      <w:r>
        <w:rPr>
          <w:rFonts w:hint="eastAsia"/>
          <w:highlight w:val="none"/>
          <w:u w:val="none"/>
        </w:rPr>
        <w:t>、强化品牌宣传营销，增强区域影响力</w:t>
      </w:r>
      <w:bookmarkEnd w:id="294"/>
      <w:bookmarkEnd w:id="295"/>
      <w:bookmarkEnd w:id="296"/>
      <w:bookmarkEnd w:id="299"/>
    </w:p>
    <w:p w14:paraId="08C38943">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eastAsia="楷体_GB2312"/>
          <w:highlight w:val="none"/>
          <w:u w:val="none"/>
          <w:lang w:val="en-US" w:eastAsia="zh-CN"/>
        </w:rPr>
      </w:pPr>
      <w:bookmarkStart w:id="300" w:name="_Toc202364179"/>
      <w:bookmarkStart w:id="301" w:name="_Toc219056024"/>
      <w:bookmarkStart w:id="302" w:name="_Toc215063867"/>
      <w:bookmarkStart w:id="303" w:name="_Toc220399198"/>
      <w:bookmarkStart w:id="304" w:name="_Toc221290580"/>
      <w:bookmarkStart w:id="305" w:name="_Toc231556985"/>
      <w:bookmarkStart w:id="306" w:name="_Toc232410079"/>
      <w:bookmarkStart w:id="307" w:name="_Toc216878176"/>
      <w:bookmarkStart w:id="308" w:name="_Toc221229345"/>
      <w:bookmarkStart w:id="309" w:name="_Toc224543802"/>
      <w:bookmarkStart w:id="310" w:name="_Toc232165587"/>
      <w:bookmarkStart w:id="311" w:name="_Toc211350911"/>
      <w:bookmarkStart w:id="312" w:name="_Toc231819302"/>
      <w:bookmarkStart w:id="313" w:name="_Toc1734978125"/>
      <w:r>
        <w:rPr>
          <w:rFonts w:hint="eastAsia"/>
          <w:highlight w:val="none"/>
          <w:u w:val="none"/>
        </w:rPr>
        <w:t>（一）</w:t>
      </w:r>
      <w:r>
        <w:rPr>
          <w:rFonts w:hint="eastAsia"/>
          <w:highlight w:val="none"/>
          <w:u w:val="none"/>
          <w:lang w:val="en-US" w:eastAsia="zh-CN"/>
        </w:rPr>
        <w:t>提升</w:t>
      </w:r>
      <w:r>
        <w:rPr>
          <w:rFonts w:hint="eastAsia"/>
          <w:highlight w:val="none"/>
          <w:u w:val="none"/>
        </w:rPr>
        <w:t>文旅品牌</w:t>
      </w:r>
      <w:bookmarkEnd w:id="300"/>
      <w:bookmarkEnd w:id="301"/>
      <w:bookmarkEnd w:id="302"/>
      <w:bookmarkEnd w:id="303"/>
      <w:bookmarkEnd w:id="304"/>
      <w:bookmarkEnd w:id="305"/>
      <w:bookmarkEnd w:id="306"/>
      <w:bookmarkEnd w:id="307"/>
      <w:bookmarkEnd w:id="308"/>
      <w:bookmarkEnd w:id="309"/>
      <w:bookmarkEnd w:id="310"/>
      <w:bookmarkEnd w:id="311"/>
      <w:bookmarkEnd w:id="312"/>
      <w:r>
        <w:rPr>
          <w:rFonts w:hint="eastAsia"/>
          <w:highlight w:val="none"/>
          <w:u w:val="none"/>
          <w:lang w:val="en-US" w:eastAsia="zh-CN"/>
        </w:rPr>
        <w:t>影响力</w:t>
      </w:r>
      <w:bookmarkEnd w:id="313"/>
    </w:p>
    <w:p w14:paraId="546FBFCE">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highlight w:val="none"/>
          <w:u w:val="none"/>
        </w:rPr>
      </w:pPr>
      <w:bookmarkStart w:id="314" w:name="OLE_LINK48"/>
      <w:r>
        <w:rPr>
          <w:rFonts w:hint="eastAsia" w:ascii="仿宋_GB2312"/>
          <w:highlight w:val="none"/>
          <w:u w:val="none"/>
        </w:rPr>
        <w:t>打造文旅活动IP。以全季覆盖、业态融合、流量转化为目标，推动节庆经济与文旅产业深</w:t>
      </w:r>
      <w:r>
        <w:rPr>
          <w:rFonts w:hint="eastAsia" w:ascii="仿宋_GB2312" w:hAnsi="仿宋_GB2312" w:cs="仿宋_GB2312"/>
          <w:highlight w:val="none"/>
          <w:u w:val="none"/>
        </w:rPr>
        <w:t>度融合，实现以节聚客、以客兴产、以产强牌。升级密云生态马拉松、鱼王美食文化节等成熟</w:t>
      </w:r>
      <w:r>
        <w:rPr>
          <w:rFonts w:ascii="仿宋_GB2312" w:hAnsi="仿宋_GB2312" w:cs="仿宋_GB2312"/>
          <w:highlight w:val="none"/>
          <w:u w:val="none"/>
        </w:rPr>
        <w:t>IP，将水库沿线赛道、湖畔场地作为核心场景，植入看海打卡、湖景体验、长城元素，优化活动流程与参与体验，强化全媒体宣推，让节庆活动成为展示海韵密云的重要窗口。重点升级鱼王美食文化节，打造湖畔鱼王宴核心场景，联动水库周边餐饮业态，融入非遗展演、农产展销，打造兼具地域特色与看海氛围的美食IP，让看海理念贯穿活动全程，增强游客参与感与认同感。</w:t>
      </w:r>
    </w:p>
    <w:bookmarkEnd w:id="297"/>
    <w:bookmarkEnd w:id="314"/>
    <w:p w14:paraId="33BB1652">
      <w:pPr>
        <w:pageBreakBefore w:val="0"/>
        <w:kinsoku/>
        <w:wordWrap/>
        <w:overflowPunct/>
        <w:topLinePunct w:val="0"/>
        <w:autoSpaceDE/>
        <w:autoSpaceDN/>
        <w:bidi w:val="0"/>
        <w:adjustRightInd/>
        <w:snapToGrid/>
        <w:spacing w:line="560" w:lineRule="exact"/>
        <w:ind w:firstLine="640"/>
        <w:textAlignment w:val="auto"/>
        <w:rPr>
          <w:rFonts w:hint="eastAsia" w:ascii="仿宋_GB2312"/>
          <w:highlight w:val="none"/>
          <w:u w:val="none"/>
        </w:rPr>
      </w:pPr>
      <w:bookmarkStart w:id="315" w:name="_Toc221290583"/>
      <w:bookmarkStart w:id="316" w:name="_Toc231556988"/>
      <w:bookmarkStart w:id="317" w:name="_Toc232410080"/>
      <w:bookmarkStart w:id="318" w:name="_Toc232165589"/>
      <w:bookmarkStart w:id="319" w:name="_Toc220399201"/>
      <w:bookmarkStart w:id="320" w:name="_Toc221229348"/>
      <w:bookmarkStart w:id="321" w:name="_Toc231819305"/>
      <w:bookmarkStart w:id="322" w:name="_Toc224543805"/>
      <w:r>
        <w:rPr>
          <w:rFonts w:hint="eastAsia" w:ascii="仿宋_GB2312"/>
          <w:highlight w:val="none"/>
          <w:u w:val="none"/>
        </w:rPr>
        <w:t>推动品牌协同联动</w:t>
      </w:r>
      <w:r>
        <w:rPr>
          <w:rFonts w:hint="eastAsia" w:ascii="仿宋_GB2312"/>
          <w:highlight w:val="none"/>
          <w:u w:val="none"/>
          <w:lang w:eastAsia="zh-CN"/>
        </w:rPr>
        <w:t>。</w:t>
      </w:r>
      <w:r>
        <w:rPr>
          <w:rFonts w:hint="eastAsia" w:ascii="仿宋_GB2312"/>
          <w:highlight w:val="none"/>
          <w:u w:val="none"/>
        </w:rPr>
        <w:t>依托长城抗战遗址、水库精神载体，打造红色旅游融合发展示范区，串联红色点位开发沉浸式研学线路，讲好密云奉献故事。立足水库生态资源，联合《中国国家地理》，打造环水库最美风景线，设立标志性打卡装置，创建国家级生态研学示范基地，设计差异化科普课程，配备专业导师服务全年龄段群体。紧扣生态涵养区定位，深化生态旅游示范区建设，常态化开展生态宣教、环保志愿活动，引导游客践行低碳文明旅游理念，以品牌集群效应持续夯实文旅品牌根基。</w:t>
      </w:r>
    </w:p>
    <w:p w14:paraId="161F02A3">
      <w:pPr>
        <w:pStyle w:val="5"/>
        <w:pageBreakBefore w:val="0"/>
        <w:kinsoku/>
        <w:wordWrap/>
        <w:overflowPunct/>
        <w:topLinePunct w:val="0"/>
        <w:autoSpaceDE/>
        <w:autoSpaceDN/>
        <w:bidi w:val="0"/>
        <w:adjustRightInd/>
        <w:snapToGrid/>
        <w:spacing w:before="204" w:after="204" w:line="560" w:lineRule="exact"/>
        <w:ind w:firstLine="640"/>
        <w:textAlignment w:val="auto"/>
        <w:rPr>
          <w:rFonts w:hint="eastAsia"/>
          <w:highlight w:val="none"/>
          <w:u w:val="none"/>
        </w:rPr>
      </w:pPr>
      <w:bookmarkStart w:id="323" w:name="_Toc1244387909"/>
      <w:r>
        <w:rPr>
          <w:rFonts w:hint="eastAsia"/>
          <w:highlight w:val="none"/>
          <w:u w:val="none"/>
        </w:rPr>
        <w:t>（二）</w:t>
      </w:r>
      <w:r>
        <w:rPr>
          <w:rFonts w:hint="eastAsia"/>
          <w:highlight w:val="none"/>
          <w:u w:val="none"/>
          <w:lang w:val="en-US" w:eastAsia="zh-CN"/>
        </w:rPr>
        <w:t>强化</w:t>
      </w:r>
      <w:r>
        <w:rPr>
          <w:rFonts w:hint="eastAsia"/>
          <w:highlight w:val="none"/>
          <w:u w:val="none"/>
        </w:rPr>
        <w:t>线上营销矩阵</w:t>
      </w:r>
      <w:bookmarkEnd w:id="315"/>
      <w:bookmarkEnd w:id="316"/>
      <w:bookmarkEnd w:id="317"/>
      <w:bookmarkEnd w:id="318"/>
      <w:bookmarkEnd w:id="319"/>
      <w:bookmarkEnd w:id="320"/>
      <w:bookmarkEnd w:id="321"/>
      <w:bookmarkEnd w:id="322"/>
      <w:bookmarkEnd w:id="323"/>
    </w:p>
    <w:p w14:paraId="5D81A7A0">
      <w:pPr>
        <w:pStyle w:val="8"/>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构建官方平台、主流媒体、自媒体达人联动的立体传播矩阵，全方位放大“来密云看海”品牌及节庆IP影响力。优化微信公众号、视频号、抖音、小红书等官方账号运营，定期推送水库风光短片、观景台攻略、民宿故事、节庆预告等内容，增强互动性与传播力，提升粉丝粘性。联动央视、北京卫视等主流媒体，推出专题报道与宣传片；邀请旅行达人、网红博主打卡探店、直播分享，发起#来密云看海#等话题挑战赛，激发UGC传播热潮。依托大数据精准定位客群，在社交平台、OTA平台投放个性化推广内容，定向推送活动信息与联动套餐，提升转化效率。完善线上服务闭环，上线“惠玩密云”小程序，整合看海打卡、线路查询、预约报名、消费优惠等功能，联动金融机构推出打卡兑礼、消费满减活动，发放免费门票与惠民套餐，实现线上引流、线下消费、线上复购的闭环运营，持续扩大品牌全网曝光与市场号召力。</w:t>
      </w:r>
    </w:p>
    <w:p w14:paraId="2F578268">
      <w:pPr>
        <w:pStyle w:val="4"/>
        <w:pageBreakBefore w:val="0"/>
        <w:kinsoku/>
        <w:wordWrap/>
        <w:overflowPunct/>
        <w:topLinePunct w:val="0"/>
        <w:autoSpaceDE/>
        <w:autoSpaceDN/>
        <w:bidi w:val="0"/>
        <w:adjustRightInd/>
        <w:snapToGrid/>
        <w:spacing w:line="560" w:lineRule="exact"/>
        <w:ind w:firstLine="640"/>
        <w:textAlignment w:val="auto"/>
        <w:rPr>
          <w:highlight w:val="none"/>
          <w:u w:val="none"/>
        </w:rPr>
      </w:pPr>
      <w:bookmarkStart w:id="324" w:name="_Toc202364174"/>
      <w:bookmarkStart w:id="325" w:name="_Toc84348430"/>
      <w:bookmarkStart w:id="326" w:name="_Toc200619312"/>
      <w:bookmarkStart w:id="327" w:name="_Toc200552662"/>
      <w:r>
        <w:rPr>
          <w:rFonts w:hint="eastAsia"/>
          <w:highlight w:val="none"/>
          <w:u w:val="none"/>
          <w:lang w:val="en-US" w:eastAsia="zh-CN"/>
        </w:rPr>
        <w:t>六</w:t>
      </w:r>
      <w:r>
        <w:rPr>
          <w:rFonts w:hint="eastAsia"/>
          <w:highlight w:val="none"/>
          <w:u w:val="none"/>
        </w:rPr>
        <w:t>、加强行业市场管理，优化旅游发展环境​</w:t>
      </w:r>
      <w:bookmarkEnd w:id="324"/>
      <w:bookmarkEnd w:id="325"/>
      <w:bookmarkEnd w:id="326"/>
      <w:bookmarkEnd w:id="327"/>
    </w:p>
    <w:p w14:paraId="63132774">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328" w:name="_Toc304855990"/>
      <w:bookmarkStart w:id="329" w:name="_Toc232410082"/>
      <w:bookmarkStart w:id="330" w:name="_Toc211350907"/>
      <w:bookmarkStart w:id="331" w:name="_Toc232165591"/>
      <w:bookmarkStart w:id="332" w:name="_Toc221229350"/>
      <w:bookmarkStart w:id="333" w:name="_Toc216878172"/>
      <w:bookmarkStart w:id="334" w:name="_Toc221290585"/>
      <w:bookmarkStart w:id="335" w:name="_Toc231819307"/>
      <w:bookmarkStart w:id="336" w:name="_Toc219056020"/>
      <w:bookmarkStart w:id="337" w:name="_Toc215063863"/>
      <w:bookmarkStart w:id="338" w:name="_Toc220399194"/>
      <w:bookmarkStart w:id="339" w:name="_Toc224543807"/>
      <w:bookmarkStart w:id="340" w:name="_Toc202364175"/>
      <w:bookmarkStart w:id="341" w:name="_Toc231556990"/>
      <w:r>
        <w:rPr>
          <w:rFonts w:hint="eastAsia"/>
          <w:highlight w:val="none"/>
          <w:u w:val="none"/>
        </w:rPr>
        <w:t>（一）完善综合监管体系</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C3B4CF3">
      <w:pPr>
        <w:pageBreakBefore w:val="0"/>
        <w:kinsoku/>
        <w:wordWrap/>
        <w:overflowPunct/>
        <w:topLinePunct w:val="0"/>
        <w:autoSpaceDE/>
        <w:autoSpaceDN/>
        <w:bidi w:val="0"/>
        <w:adjustRightInd/>
        <w:snapToGrid/>
        <w:spacing w:line="560" w:lineRule="exact"/>
        <w:ind w:firstLine="640"/>
        <w:textAlignment w:val="auto"/>
        <w:rPr>
          <w:rFonts w:ascii="仿宋_GB2312" w:hAnsi="仿宋_GB2312" w:cs="仿宋_GB2312"/>
          <w:highlight w:val="none"/>
          <w:u w:val="none"/>
        </w:rPr>
      </w:pPr>
      <w:r>
        <w:rPr>
          <w:rFonts w:hint="eastAsia" w:ascii="仿宋_GB2312" w:hAnsi="仿宋_GB2312" w:cs="仿宋_GB2312"/>
          <w:highlight w:val="none"/>
          <w:u w:val="none"/>
        </w:rPr>
        <w:t>明确部门职责，经营者主体责任，不断提高旅游市场综合监管水平。加强文化市场监管，进一步完善审批、管理、执法全流程监管机制。严厉打击非法经营旅行社业务、虚假宣传旅游产品、欺客宰客等违法行为，通过定期巡查、不定期抽查等方式，维护市场秩序。健全投诉处理机制，畅通投诉渠道，落实接诉即办机制，确保游客投诉能够及时受理；加强投诉处理人员培训，提高处理效率与质量，保障游客合法权益。</w:t>
      </w:r>
    </w:p>
    <w:p w14:paraId="4AE3BDBA">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342" w:name="_Toc224543808"/>
      <w:bookmarkStart w:id="343" w:name="_Toc1966125835"/>
      <w:bookmarkStart w:id="344" w:name="_Toc232165592"/>
      <w:bookmarkStart w:id="345" w:name="_Toc221290586"/>
      <w:bookmarkStart w:id="346" w:name="_Toc216878173"/>
      <w:bookmarkStart w:id="347" w:name="_Toc221229351"/>
      <w:bookmarkStart w:id="348" w:name="_Toc232410083"/>
      <w:bookmarkStart w:id="349" w:name="_Toc231556991"/>
      <w:bookmarkStart w:id="350" w:name="_Toc219056021"/>
      <w:bookmarkStart w:id="351" w:name="_Toc202364176"/>
      <w:bookmarkStart w:id="352" w:name="_Toc211350908"/>
      <w:bookmarkStart w:id="353" w:name="_Toc220399195"/>
      <w:bookmarkStart w:id="354" w:name="_Toc215063864"/>
      <w:bookmarkStart w:id="355" w:name="_Toc231819308"/>
      <w:r>
        <w:rPr>
          <w:rFonts w:hint="eastAsia"/>
          <w:highlight w:val="none"/>
          <w:u w:val="none"/>
        </w:rPr>
        <w:t>（二）提升行业服务质量</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3F7AE105">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围绕微笑服务塑形象、特色产业强根基、文化赋能增内涵、开拓视野促创新、高质量发展树标杆等核心主题，聚焦密云文旅行业发展需求，举办系列专项培训班。重点开展管理能力提升、企业规范经营、民宿体验优化、服务技能创新等专题培训，覆盖景区、饭店、旅行社、民宿等文旅业态从业人员，通过理论授课、实操演练、现场教学、交流研讨等多种形式，推动从业人员补齐能力短板、更新服务理念。优化游客服务，提升从业人员专业服务水平与经营管理能力，通过以品牌为引领、以培训为抓手，培养一批综合素质高、业务能力强、服务意识优的文旅人才和专业队伍，全面规范密云文旅行业服务流程、优化服务体验，推动密云区文旅行业服务质量提质增效。</w:t>
      </w:r>
    </w:p>
    <w:p w14:paraId="7EAFD64A">
      <w:pPr>
        <w:pStyle w:val="5"/>
        <w:pageBreakBefore w:val="0"/>
        <w:kinsoku/>
        <w:wordWrap/>
        <w:overflowPunct/>
        <w:topLinePunct w:val="0"/>
        <w:autoSpaceDE/>
        <w:autoSpaceDN/>
        <w:bidi w:val="0"/>
        <w:adjustRightInd/>
        <w:snapToGrid/>
        <w:spacing w:before="204" w:after="204" w:line="560" w:lineRule="exact"/>
        <w:ind w:firstLine="640"/>
        <w:textAlignment w:val="auto"/>
        <w:rPr>
          <w:highlight w:val="none"/>
          <w:u w:val="none"/>
        </w:rPr>
      </w:pPr>
      <w:bookmarkStart w:id="356" w:name="_Toc232410084"/>
      <w:bookmarkStart w:id="357" w:name="_Toc232165593"/>
      <w:bookmarkStart w:id="358" w:name="_Toc221229352"/>
      <w:bookmarkStart w:id="359" w:name="_Toc216878174"/>
      <w:bookmarkStart w:id="360" w:name="_Toc231556992"/>
      <w:bookmarkStart w:id="361" w:name="_Toc219056022"/>
      <w:bookmarkStart w:id="362" w:name="_Toc211350909"/>
      <w:bookmarkStart w:id="363" w:name="_Toc220399196"/>
      <w:bookmarkStart w:id="364" w:name="_Toc221290587"/>
      <w:bookmarkStart w:id="365" w:name="_Toc202364177"/>
      <w:bookmarkStart w:id="366" w:name="_Toc215063865"/>
      <w:bookmarkStart w:id="367" w:name="_Toc1346032456"/>
      <w:bookmarkStart w:id="368" w:name="_Toc231819309"/>
      <w:bookmarkStart w:id="369" w:name="_Toc224543809"/>
      <w:r>
        <w:rPr>
          <w:rFonts w:hint="eastAsia"/>
          <w:highlight w:val="none"/>
          <w:u w:val="none"/>
        </w:rPr>
        <w:t>（三）强化安全保障能力</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4D02326B">
      <w:pPr>
        <w:pStyle w:val="8"/>
        <w:pageBreakBefore w:val="0"/>
        <w:kinsoku/>
        <w:wordWrap/>
        <w:overflowPunct/>
        <w:topLinePunct w:val="0"/>
        <w:autoSpaceDE/>
        <w:autoSpaceDN/>
        <w:bidi w:val="0"/>
        <w:adjustRightInd/>
        <w:snapToGrid/>
        <w:spacing w:line="560" w:lineRule="exact"/>
        <w:ind w:firstLine="640"/>
        <w:jc w:val="both"/>
        <w:textAlignment w:val="auto"/>
        <w:rPr>
          <w:rFonts w:ascii="仿宋_GB2312" w:hAnsi="仿宋_GB2312" w:cs="仿宋_GB2312"/>
          <w:szCs w:val="30"/>
          <w:highlight w:val="none"/>
          <w:u w:val="none"/>
        </w:rPr>
      </w:pPr>
      <w:r>
        <w:rPr>
          <w:rFonts w:hint="eastAsia" w:ascii="仿宋_GB2312" w:hAnsi="仿宋_GB2312" w:cs="仿宋_GB2312"/>
          <w:szCs w:val="30"/>
          <w:highlight w:val="none"/>
          <w:u w:val="none"/>
        </w:rPr>
        <w:t>构建全方位的安全防控网络，加强文旅场所的安全管理，不断压实属地政府全面监管责任、文旅部门行业管理责任、职能部门综合或专项监管责任、文旅单位上级主管责任、文旅单位主体责任五方责任。及时传达部署相关要求，定期调度行业安全工作。对文旅单位开展抽查检查，督导问题整改。做好文旅行业防火、防汛等重点工作，服务保障大型文旅活动。加强宣传教育，不断提高文旅从业人员安全意识和工作水平。广泛宣传引导，提升市民参加文旅活动的安全意识。制定完善的应急预案，针对可能出现的自然灾害、突发公共事件等，明确应急处置流程；加强应急演练，提高应对突发事件的能力，确保游客生命财产安全。</w:t>
      </w:r>
    </w:p>
    <w:p w14:paraId="12A36182">
      <w:pPr>
        <w:pStyle w:val="2"/>
        <w:pageBreakBefore w:val="0"/>
        <w:kinsoku/>
        <w:wordWrap/>
        <w:overflowPunct/>
        <w:topLinePunct w:val="0"/>
        <w:autoSpaceDE/>
        <w:autoSpaceDN/>
        <w:bidi w:val="0"/>
        <w:adjustRightInd/>
        <w:snapToGrid/>
        <w:spacing w:line="560" w:lineRule="exact"/>
        <w:textAlignment w:val="auto"/>
        <w:rPr>
          <w:rFonts w:hint="eastAsia"/>
          <w:u w:val="none"/>
        </w:rPr>
      </w:pPr>
      <w:bookmarkStart w:id="370" w:name="_Toc232410086"/>
      <w:bookmarkStart w:id="371" w:name="_Toc231819311"/>
      <w:bookmarkStart w:id="372" w:name="_Toc66902140"/>
      <w:bookmarkStart w:id="373" w:name="_Toc231556994"/>
      <w:bookmarkStart w:id="374" w:name="_Toc232165595"/>
    </w:p>
    <w:p w14:paraId="277178DD">
      <w:pPr>
        <w:rPr>
          <w:rFonts w:hint="eastAsia"/>
          <w:u w:val="none"/>
        </w:rPr>
      </w:pPr>
    </w:p>
    <w:p w14:paraId="01C7C7EA">
      <w:pPr>
        <w:pStyle w:val="2"/>
        <w:rPr>
          <w:rFonts w:hint="eastAsia"/>
          <w:u w:val="none"/>
        </w:rPr>
      </w:pPr>
    </w:p>
    <w:p w14:paraId="1809C428">
      <w:pPr>
        <w:rPr>
          <w:rFonts w:hint="eastAsia"/>
          <w:u w:val="none"/>
        </w:rPr>
      </w:pPr>
    </w:p>
    <w:bookmarkEnd w:id="370"/>
    <w:bookmarkEnd w:id="371"/>
    <w:bookmarkEnd w:id="372"/>
    <w:bookmarkEnd w:id="373"/>
    <w:bookmarkEnd w:id="374"/>
    <w:p w14:paraId="44A983D5">
      <w:pPr>
        <w:pStyle w:val="3"/>
        <w:spacing w:line="560" w:lineRule="exact"/>
        <w:ind w:firstLine="198" w:firstLineChars="62"/>
        <w:rPr>
          <w:highlight w:val="none"/>
          <w:u w:val="none"/>
        </w:rPr>
      </w:pPr>
      <w:bookmarkStart w:id="375" w:name="_Toc107883609"/>
      <w:bookmarkStart w:id="376" w:name="_Toc200619322"/>
      <w:bookmarkStart w:id="377" w:name="_Toc202364190"/>
      <w:bookmarkStart w:id="378" w:name="_Toc200552672"/>
      <w:bookmarkStart w:id="379" w:name="_Toc224543810"/>
      <w:r>
        <w:rPr>
          <w:rFonts w:hint="eastAsia"/>
          <w:highlight w:val="none"/>
          <w:u w:val="none"/>
        </w:rPr>
        <w:t>第五章 密云区“十五五”文化和旅游发展保障措施</w:t>
      </w:r>
      <w:bookmarkEnd w:id="375"/>
      <w:bookmarkEnd w:id="376"/>
      <w:bookmarkEnd w:id="377"/>
      <w:bookmarkEnd w:id="378"/>
      <w:bookmarkEnd w:id="379"/>
    </w:p>
    <w:p w14:paraId="2AD3F4F8">
      <w:pPr>
        <w:pStyle w:val="4"/>
        <w:ind w:firstLine="640"/>
        <w:rPr>
          <w:highlight w:val="none"/>
          <w:u w:val="none"/>
        </w:rPr>
      </w:pPr>
      <w:bookmarkStart w:id="380" w:name="_Toc200619323"/>
      <w:bookmarkStart w:id="381" w:name="_Toc224543811"/>
      <w:bookmarkStart w:id="382" w:name="_Toc202364191"/>
      <w:bookmarkStart w:id="383" w:name="_Toc200552673"/>
      <w:bookmarkStart w:id="384" w:name="_Toc723618395"/>
      <w:r>
        <w:rPr>
          <w:rFonts w:hint="eastAsia"/>
          <w:highlight w:val="none"/>
          <w:u w:val="none"/>
        </w:rPr>
        <w:t>一、强化组织领导，统筹协调推进​</w:t>
      </w:r>
      <w:bookmarkEnd w:id="380"/>
      <w:bookmarkEnd w:id="381"/>
      <w:bookmarkEnd w:id="382"/>
      <w:bookmarkEnd w:id="383"/>
      <w:bookmarkEnd w:id="384"/>
    </w:p>
    <w:p w14:paraId="45CADEB1">
      <w:pPr>
        <w:ind w:firstLine="640"/>
        <w:rPr>
          <w:rFonts w:ascii="仿宋_GB2312" w:hAnsi="仿宋_GB2312" w:cs="仿宋_GB2312"/>
          <w:highlight w:val="none"/>
          <w:u w:val="none"/>
        </w:rPr>
      </w:pPr>
      <w:bookmarkStart w:id="385" w:name="OLE_LINK51"/>
      <w:r>
        <w:rPr>
          <w:rFonts w:hint="eastAsia" w:ascii="仿宋_GB2312" w:hAnsi="仿宋_GB2312" w:cs="仿宋_GB2312"/>
          <w:highlight w:val="none"/>
          <w:u w:val="none"/>
        </w:rPr>
        <w:t>充分发挥统筹协调作用，加强专题研讨与实地调研，研究发展思路、重点任务、重要政策等，积极推动解决“十五五”规划建设和项目实施过程中遇到的重点、难点问题。统筹相关乡镇、区直单位协同联动，推动形成目标同向、资源同聚、行动同步的强大工作合力，推进任务落实</w:t>
      </w:r>
      <w:bookmarkEnd w:id="385"/>
      <w:r>
        <w:rPr>
          <w:rFonts w:hint="eastAsia" w:ascii="仿宋_GB2312" w:hAnsi="仿宋_GB2312" w:cs="仿宋_GB2312"/>
          <w:highlight w:val="none"/>
          <w:u w:val="none"/>
        </w:rPr>
        <w:t>。​</w:t>
      </w:r>
    </w:p>
    <w:p w14:paraId="58D02C39">
      <w:pPr>
        <w:pStyle w:val="4"/>
        <w:ind w:firstLine="640"/>
        <w:rPr>
          <w:highlight w:val="none"/>
          <w:u w:val="none"/>
        </w:rPr>
      </w:pPr>
      <w:bookmarkStart w:id="386" w:name="_Toc224543812"/>
      <w:bookmarkStart w:id="387" w:name="_Toc200552674"/>
      <w:bookmarkStart w:id="388" w:name="_Toc202364192"/>
      <w:bookmarkStart w:id="389" w:name="_Toc200619324"/>
      <w:bookmarkStart w:id="390" w:name="_Toc654471804"/>
      <w:r>
        <w:rPr>
          <w:rFonts w:hint="eastAsia"/>
          <w:highlight w:val="none"/>
          <w:u w:val="none"/>
        </w:rPr>
        <w:t>二、完善政策体系，优化发展环境​</w:t>
      </w:r>
      <w:bookmarkEnd w:id="386"/>
      <w:bookmarkEnd w:id="387"/>
      <w:bookmarkEnd w:id="388"/>
      <w:bookmarkEnd w:id="389"/>
      <w:bookmarkEnd w:id="390"/>
    </w:p>
    <w:p w14:paraId="175E07A2">
      <w:pPr>
        <w:ind w:firstLine="640"/>
        <w:rPr>
          <w:rFonts w:ascii="仿宋_GB2312" w:hAnsi="仿宋_GB2312" w:cs="仿宋_GB2312"/>
          <w:highlight w:val="none"/>
          <w:u w:val="none"/>
        </w:rPr>
      </w:pPr>
      <w:bookmarkStart w:id="391" w:name="OLE_LINK52"/>
      <w:r>
        <w:rPr>
          <w:rFonts w:hint="eastAsia" w:ascii="仿宋_GB2312" w:hAnsi="仿宋_GB2312" w:cs="仿宋_GB2312"/>
          <w:highlight w:val="none"/>
          <w:u w:val="none"/>
        </w:rPr>
        <w:t>对景区、民宿、市级及以上乡村旅游重点村灾后改造给予资金扶持</w:t>
      </w:r>
      <w:bookmarkEnd w:id="391"/>
      <w:r>
        <w:rPr>
          <w:rFonts w:hint="eastAsia" w:ascii="仿宋_GB2312" w:hAnsi="仿宋_GB2312" w:cs="仿宋_GB2312"/>
          <w:highlight w:val="none"/>
          <w:u w:val="none"/>
        </w:rPr>
        <w:t>，加快旅游基础设施恢复。结合“十五五”发展目标，依托《密云区支持文旅产业高质量发展若干措施（试行）》等政策，助力企业经营，</w:t>
      </w:r>
      <w:bookmarkStart w:id="392" w:name="OLE_LINK53"/>
      <w:r>
        <w:rPr>
          <w:rFonts w:hint="eastAsia" w:ascii="仿宋_GB2312" w:hAnsi="仿宋_GB2312" w:cs="仿宋_GB2312"/>
          <w:highlight w:val="none"/>
          <w:u w:val="none"/>
        </w:rPr>
        <w:t>引导企业打造新业态新场景。加强政策宣传解读，确保企业知晓政策、用好政策</w:t>
      </w:r>
      <w:bookmarkEnd w:id="392"/>
      <w:r>
        <w:rPr>
          <w:rFonts w:hint="eastAsia" w:ascii="仿宋_GB2312" w:hAnsi="仿宋_GB2312" w:cs="仿宋_GB2312"/>
          <w:highlight w:val="none"/>
          <w:u w:val="none"/>
        </w:rPr>
        <w:t>。</w:t>
      </w:r>
    </w:p>
    <w:p w14:paraId="59192A2D">
      <w:pPr>
        <w:pStyle w:val="4"/>
        <w:ind w:firstLine="640"/>
        <w:rPr>
          <w:highlight w:val="none"/>
          <w:u w:val="none"/>
        </w:rPr>
      </w:pPr>
      <w:bookmarkStart w:id="393" w:name="_Toc200552675"/>
      <w:bookmarkStart w:id="394" w:name="_Toc296369894"/>
      <w:bookmarkStart w:id="395" w:name="_Toc202364193"/>
      <w:bookmarkStart w:id="396" w:name="_Toc200619325"/>
      <w:bookmarkStart w:id="397" w:name="_Toc224543813"/>
      <w:bookmarkStart w:id="398" w:name="_Hlk220419598"/>
      <w:r>
        <w:rPr>
          <w:rFonts w:hint="eastAsia"/>
          <w:highlight w:val="none"/>
          <w:u w:val="none"/>
        </w:rPr>
        <w:t>三、拓宽融资渠道，保障资金投入​</w:t>
      </w:r>
      <w:bookmarkEnd w:id="393"/>
      <w:bookmarkEnd w:id="394"/>
      <w:bookmarkEnd w:id="395"/>
      <w:bookmarkEnd w:id="396"/>
      <w:bookmarkEnd w:id="397"/>
    </w:p>
    <w:p w14:paraId="6B824351">
      <w:pPr>
        <w:ind w:firstLine="640"/>
        <w:rPr>
          <w:rFonts w:ascii="仿宋_GB2312" w:hAnsi="仿宋_GB2312" w:cs="仿宋_GB2312"/>
          <w:highlight w:val="none"/>
          <w:u w:val="none"/>
        </w:rPr>
      </w:pPr>
      <w:bookmarkStart w:id="399" w:name="OLE_LINK54"/>
      <w:r>
        <w:rPr>
          <w:rFonts w:hint="eastAsia" w:ascii="仿宋_GB2312" w:hAnsi="仿宋_GB2312" w:cs="仿宋_GB2312"/>
          <w:highlight w:val="none"/>
          <w:u w:val="none"/>
        </w:rPr>
        <w:t>积极争取政策资金支持，统筹利用好国家和市级专项资金、旅游发展基金。加强与银行等金融机构合作，加大旅游招商政策优惠力度，积极引导私募股权、创业投资基金等社会资本投资</w:t>
      </w:r>
      <w:bookmarkEnd w:id="399"/>
      <w:r>
        <w:rPr>
          <w:rFonts w:hint="eastAsia" w:ascii="仿宋_GB2312" w:hAnsi="仿宋_GB2312" w:cs="仿宋_GB2312"/>
          <w:highlight w:val="none"/>
          <w:u w:val="none"/>
        </w:rPr>
        <w:t>。对纳入规划的重大项目，简化审批核准程序，优先保障规划项目顺利实施。</w:t>
      </w:r>
    </w:p>
    <w:p w14:paraId="6447F49C">
      <w:pPr>
        <w:pStyle w:val="4"/>
        <w:ind w:firstLine="640"/>
        <w:rPr>
          <w:highlight w:val="none"/>
          <w:u w:val="none"/>
        </w:rPr>
      </w:pPr>
      <w:bookmarkStart w:id="400" w:name="_Toc200552676"/>
      <w:bookmarkStart w:id="401" w:name="_Toc1074231065"/>
      <w:bookmarkStart w:id="402" w:name="_Toc202364194"/>
      <w:bookmarkStart w:id="403" w:name="_Toc200619326"/>
      <w:bookmarkStart w:id="404" w:name="_Toc224543814"/>
      <w:r>
        <w:rPr>
          <w:rFonts w:hint="eastAsia"/>
          <w:highlight w:val="none"/>
          <w:u w:val="none"/>
        </w:rPr>
        <w:t>四、加强人才培养，提升服务水平​</w:t>
      </w:r>
      <w:bookmarkEnd w:id="400"/>
      <w:bookmarkEnd w:id="401"/>
      <w:bookmarkEnd w:id="402"/>
      <w:bookmarkEnd w:id="403"/>
      <w:bookmarkEnd w:id="404"/>
    </w:p>
    <w:p w14:paraId="1B1E20B7">
      <w:pPr>
        <w:ind w:firstLine="640"/>
        <w:rPr>
          <w:rFonts w:ascii="仿宋_GB2312" w:hAnsi="仿宋_GB2312" w:cs="仿宋_GB2312"/>
          <w:highlight w:val="none"/>
          <w:u w:val="none"/>
        </w:rPr>
      </w:pPr>
      <w:bookmarkStart w:id="405" w:name="OLE_LINK55"/>
      <w:r>
        <w:rPr>
          <w:rFonts w:hint="eastAsia" w:ascii="仿宋_GB2312" w:hAnsi="仿宋_GB2312" w:cs="仿宋_GB2312"/>
          <w:highlight w:val="none"/>
          <w:u w:val="none"/>
        </w:rPr>
        <w:t>与高校、职业院校定向合作，建立文旅人才培养基地，定向培养旅游管理、文化创意、导游服务等专业人才</w:t>
      </w:r>
      <w:bookmarkEnd w:id="405"/>
      <w:r>
        <w:rPr>
          <w:rFonts w:hint="eastAsia" w:ascii="仿宋_GB2312" w:hAnsi="仿宋_GB2312" w:cs="仿宋_GB2312"/>
          <w:highlight w:val="none"/>
          <w:u w:val="none"/>
        </w:rPr>
        <w:t>。每年选派文旅企业管理人员、业务骨干参加国内外培训交流活动，提升其管理水平和业务能力。开展文旅行业技能大赛，对优秀选手给予奖励，激发从业人员提升技能的积极性。</w:t>
      </w:r>
      <w:bookmarkStart w:id="406" w:name="OLE_LINK56"/>
      <w:r>
        <w:rPr>
          <w:rFonts w:hint="eastAsia" w:ascii="仿宋_GB2312" w:hAnsi="仿宋_GB2312" w:cs="仿宋_GB2312"/>
          <w:highlight w:val="none"/>
          <w:u w:val="none"/>
        </w:rPr>
        <w:t>培育密云文旅主理人，面向营地运营、乡村文创、精品民宿、赛事策划等领域，对外引进优质文旅主理人团队，对内联合镇村培育运营人才。建立文旅人才信息库，加强人才资源管理和服务</w:t>
      </w:r>
      <w:bookmarkEnd w:id="406"/>
      <w:r>
        <w:rPr>
          <w:rFonts w:hint="eastAsia" w:ascii="仿宋_GB2312" w:hAnsi="仿宋_GB2312" w:cs="仿宋_GB2312"/>
          <w:highlight w:val="none"/>
          <w:u w:val="none"/>
        </w:rPr>
        <w:t>。</w:t>
      </w:r>
    </w:p>
    <w:p w14:paraId="136688A5">
      <w:pPr>
        <w:pStyle w:val="4"/>
        <w:ind w:firstLine="640"/>
        <w:rPr>
          <w:highlight w:val="none"/>
          <w:u w:val="none"/>
        </w:rPr>
      </w:pPr>
      <w:bookmarkStart w:id="407" w:name="_Toc200619327"/>
      <w:bookmarkStart w:id="408" w:name="_Toc224543815"/>
      <w:bookmarkStart w:id="409" w:name="_Toc200552677"/>
      <w:bookmarkStart w:id="410" w:name="_Toc706489126"/>
      <w:bookmarkStart w:id="411" w:name="_Toc202364195"/>
      <w:r>
        <w:rPr>
          <w:rFonts w:hint="eastAsia"/>
          <w:highlight w:val="none"/>
          <w:u w:val="none"/>
        </w:rPr>
        <w:t>五、加强安全监管，保障文旅安全​</w:t>
      </w:r>
      <w:bookmarkEnd w:id="407"/>
      <w:bookmarkEnd w:id="408"/>
      <w:bookmarkEnd w:id="409"/>
      <w:bookmarkEnd w:id="410"/>
      <w:bookmarkEnd w:id="411"/>
    </w:p>
    <w:p w14:paraId="0A392541">
      <w:pPr>
        <w:ind w:firstLine="640"/>
        <w:rPr>
          <w:rFonts w:ascii="仿宋_GB2312" w:hAnsi="仿宋_GB2312" w:cs="仿宋_GB2312"/>
          <w:highlight w:val="none"/>
          <w:u w:val="none"/>
        </w:rPr>
      </w:pPr>
      <w:r>
        <w:rPr>
          <w:rFonts w:hint="eastAsia" w:ascii="仿宋_GB2312" w:hAnsi="仿宋_GB2312" w:cs="仿宋_GB2312"/>
          <w:highlight w:val="none"/>
          <w:u w:val="none"/>
        </w:rPr>
        <w:t>建立健全文旅安全责任体系，明确政府、部门、企业的安全责任。加强文旅场所安全检查，定期对景区、酒店、民宿等场所进行安全隐患排查整治，确保游客人身财产安全。完善应急预案，制定应对自然灾害、突发事件的应急预案，并定期组织演练。</w:t>
      </w:r>
      <w:bookmarkStart w:id="412" w:name="_Hlk220419745"/>
      <w:r>
        <w:rPr>
          <w:rFonts w:hint="eastAsia" w:ascii="仿宋_GB2312" w:hAnsi="仿宋_GB2312" w:cs="仿宋_GB2312"/>
          <w:highlight w:val="none"/>
          <w:u w:val="none"/>
        </w:rPr>
        <w:t>加强文旅市场秩序整治，打击非法经营、欺客宰客等行为，维护游客合法权益</w:t>
      </w:r>
      <w:bookmarkEnd w:id="412"/>
      <w:r>
        <w:rPr>
          <w:rFonts w:hint="eastAsia" w:ascii="仿宋_GB2312" w:hAnsi="仿宋_GB2312" w:cs="仿宋_GB2312"/>
          <w:highlight w:val="none"/>
          <w:u w:val="none"/>
        </w:rPr>
        <w:t>。​</w:t>
      </w:r>
    </w:p>
    <w:p w14:paraId="761B9898">
      <w:pPr>
        <w:pStyle w:val="4"/>
        <w:ind w:firstLine="640"/>
        <w:rPr>
          <w:highlight w:val="none"/>
          <w:u w:val="none"/>
        </w:rPr>
      </w:pPr>
      <w:bookmarkStart w:id="413" w:name="_Toc202364196"/>
      <w:bookmarkStart w:id="414" w:name="_Toc200552678"/>
      <w:bookmarkStart w:id="415" w:name="_Toc200619328"/>
      <w:bookmarkStart w:id="416" w:name="_Toc525656419"/>
      <w:bookmarkStart w:id="417" w:name="_Toc224543816"/>
      <w:r>
        <w:rPr>
          <w:rFonts w:hint="eastAsia"/>
          <w:highlight w:val="none"/>
          <w:u w:val="none"/>
        </w:rPr>
        <w:t>六、强化监测评估，确保规划落实​</w:t>
      </w:r>
      <w:bookmarkEnd w:id="413"/>
      <w:bookmarkEnd w:id="414"/>
      <w:bookmarkEnd w:id="415"/>
      <w:bookmarkEnd w:id="416"/>
      <w:bookmarkEnd w:id="417"/>
    </w:p>
    <w:p w14:paraId="587C3A7A">
      <w:pPr>
        <w:ind w:firstLine="640"/>
        <w:rPr>
          <w:highlight w:val="none"/>
          <w:u w:val="none"/>
        </w:rPr>
      </w:pPr>
      <w:bookmarkStart w:id="418" w:name="OLE_LINK57"/>
      <w:r>
        <w:rPr>
          <w:rFonts w:hint="eastAsia" w:ascii="仿宋_GB2312" w:hAnsi="仿宋_GB2312" w:cs="仿宋_GB2312"/>
          <w:highlight w:val="none"/>
          <w:u w:val="none"/>
        </w:rPr>
        <w:t>加强规划实施监测评估，定期评估规划目标、任务完成情况，全面总结规划实施进展成效与问题。组织开展规划实施终期评估，对规划实施效果进行全面评价</w:t>
      </w:r>
      <w:bookmarkEnd w:id="418"/>
      <w:r>
        <w:rPr>
          <w:rFonts w:hint="eastAsia" w:ascii="仿宋_GB2312" w:hAnsi="仿宋_GB2312" w:cs="仿宋_GB2312"/>
          <w:highlight w:val="none"/>
          <w:u w:val="none"/>
        </w:rPr>
        <w:t>。根据监测评估结果，及时调整规划实施策略和措施，确保规划目标顺利实现。</w:t>
      </w:r>
      <w:bookmarkEnd w:id="398"/>
    </w:p>
    <w:p w14:paraId="7B9F0571">
      <w:pPr>
        <w:ind w:firstLine="640"/>
        <w:rPr>
          <w:color w:val="FF0000"/>
          <w:highlight w:val="none"/>
          <w:u w:val="none"/>
        </w:rPr>
        <w:sectPr>
          <w:footerReference r:id="rId14" w:type="first"/>
          <w:footerReference r:id="rId13" w:type="default"/>
          <w:pgSz w:w="11906" w:h="16838"/>
          <w:pgMar w:top="2098" w:right="1474" w:bottom="1985" w:left="1588" w:header="851" w:footer="992" w:gutter="0"/>
          <w:pgNumType w:fmt="numberInDash"/>
          <w:cols w:space="425" w:num="1"/>
          <w:docGrid w:type="lines" w:linePitch="408" w:charSpace="0"/>
        </w:sectPr>
      </w:pPr>
    </w:p>
    <w:p w14:paraId="54DE8C1E">
      <w:pPr>
        <w:pStyle w:val="3"/>
        <w:ind w:firstLine="0" w:firstLineChars="0"/>
        <w:jc w:val="both"/>
        <w:rPr>
          <w:rFonts w:ascii="仿宋_GB2312" w:eastAsia="仿宋_GB2312"/>
          <w:b/>
          <w:bCs w:val="0"/>
          <w:sz w:val="30"/>
          <w:szCs w:val="30"/>
          <w:highlight w:val="none"/>
          <w:u w:val="none"/>
        </w:rPr>
      </w:pPr>
      <w:bookmarkStart w:id="419" w:name="_Toc220399209"/>
      <w:bookmarkStart w:id="420" w:name="_Toc2107194022"/>
      <w:bookmarkStart w:id="421" w:name="_Toc221290595"/>
      <w:r>
        <w:rPr>
          <w:rFonts w:hint="eastAsia" w:ascii="仿宋_GB2312" w:eastAsia="仿宋_GB2312"/>
          <w:b/>
          <w:bCs w:val="0"/>
          <w:sz w:val="30"/>
          <w:szCs w:val="30"/>
          <w:highlight w:val="none"/>
          <w:u w:val="none"/>
        </w:rPr>
        <w:t>附件：密云区“十五五”时期文化和旅游项目储备</w:t>
      </w:r>
      <w:bookmarkEnd w:id="419"/>
      <w:r>
        <w:rPr>
          <w:rFonts w:hint="eastAsia" w:ascii="仿宋_GB2312" w:eastAsia="仿宋_GB2312"/>
          <w:b/>
          <w:bCs w:val="0"/>
          <w:sz w:val="30"/>
          <w:szCs w:val="30"/>
          <w:highlight w:val="none"/>
          <w:u w:val="none"/>
        </w:rPr>
        <w:t>库</w:t>
      </w:r>
      <w:bookmarkEnd w:id="420"/>
      <w:bookmarkEnd w:id="421"/>
    </w:p>
    <w:tbl>
      <w:tblPr>
        <w:tblStyle w:val="22"/>
        <w:tblW w:w="1296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0"/>
        <w:gridCol w:w="1828"/>
        <w:gridCol w:w="6998"/>
        <w:gridCol w:w="1884"/>
      </w:tblGrid>
      <w:tr w14:paraId="10C0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2250" w:type="dxa"/>
            <w:vAlign w:val="center"/>
          </w:tcPr>
          <w:p w14:paraId="486369DF">
            <w:pPr>
              <w:pStyle w:val="2"/>
              <w:jc w:val="center"/>
              <w:rPr>
                <w:b/>
                <w:bCs/>
                <w:sz w:val="21"/>
                <w:szCs w:val="21"/>
                <w:highlight w:val="none"/>
                <w:u w:val="none"/>
              </w:rPr>
            </w:pPr>
            <w:r>
              <w:rPr>
                <w:rFonts w:hint="eastAsia"/>
                <w:b/>
                <w:bCs/>
                <w:sz w:val="21"/>
                <w:szCs w:val="21"/>
                <w:highlight w:val="none"/>
                <w:u w:val="none"/>
              </w:rPr>
              <w:t>项目名称</w:t>
            </w:r>
          </w:p>
        </w:tc>
        <w:tc>
          <w:tcPr>
            <w:tcW w:w="1828" w:type="dxa"/>
            <w:vAlign w:val="center"/>
          </w:tcPr>
          <w:p w14:paraId="19DA53E5">
            <w:pPr>
              <w:pStyle w:val="2"/>
              <w:jc w:val="center"/>
              <w:rPr>
                <w:b/>
                <w:bCs/>
                <w:sz w:val="21"/>
                <w:szCs w:val="21"/>
                <w:highlight w:val="none"/>
                <w:u w:val="none"/>
              </w:rPr>
            </w:pPr>
            <w:r>
              <w:rPr>
                <w:rFonts w:hint="eastAsia"/>
                <w:b/>
                <w:bCs/>
                <w:sz w:val="21"/>
                <w:szCs w:val="21"/>
                <w:highlight w:val="none"/>
                <w:u w:val="none"/>
              </w:rPr>
              <w:t>建设地点</w:t>
            </w:r>
          </w:p>
        </w:tc>
        <w:tc>
          <w:tcPr>
            <w:tcW w:w="6998" w:type="dxa"/>
            <w:vAlign w:val="center"/>
          </w:tcPr>
          <w:p w14:paraId="30AB34D2">
            <w:pPr>
              <w:pStyle w:val="2"/>
              <w:jc w:val="center"/>
              <w:rPr>
                <w:b/>
                <w:bCs/>
                <w:sz w:val="21"/>
                <w:szCs w:val="21"/>
                <w:highlight w:val="none"/>
                <w:u w:val="none"/>
              </w:rPr>
            </w:pPr>
            <w:r>
              <w:rPr>
                <w:rFonts w:hint="eastAsia"/>
                <w:b/>
                <w:bCs/>
                <w:sz w:val="21"/>
                <w:szCs w:val="21"/>
                <w:highlight w:val="none"/>
                <w:u w:val="none"/>
              </w:rPr>
              <w:t>建设内容及规模</w:t>
            </w:r>
          </w:p>
        </w:tc>
        <w:tc>
          <w:tcPr>
            <w:tcW w:w="1884" w:type="dxa"/>
            <w:vAlign w:val="center"/>
          </w:tcPr>
          <w:p w14:paraId="7E1B1B61">
            <w:pPr>
              <w:pStyle w:val="2"/>
              <w:jc w:val="center"/>
              <w:rPr>
                <w:b/>
                <w:bCs/>
                <w:sz w:val="21"/>
                <w:szCs w:val="21"/>
                <w:highlight w:val="none"/>
                <w:u w:val="none"/>
              </w:rPr>
            </w:pPr>
            <w:r>
              <w:rPr>
                <w:rFonts w:hint="eastAsia"/>
                <w:b/>
                <w:bCs/>
                <w:sz w:val="21"/>
                <w:szCs w:val="21"/>
                <w:highlight w:val="none"/>
                <w:u w:val="none"/>
              </w:rPr>
              <w:t>计划开竣工时间</w:t>
            </w:r>
          </w:p>
        </w:tc>
      </w:tr>
      <w:tr w14:paraId="188E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250" w:type="dxa"/>
            <w:vAlign w:val="center"/>
          </w:tcPr>
          <w:p w14:paraId="7FCB8D64">
            <w:pPr>
              <w:pStyle w:val="2"/>
              <w:jc w:val="center"/>
              <w:rPr>
                <w:sz w:val="21"/>
                <w:szCs w:val="21"/>
                <w:highlight w:val="none"/>
                <w:u w:val="none"/>
              </w:rPr>
            </w:pPr>
          </w:p>
          <w:p w14:paraId="7EDA000A">
            <w:pPr>
              <w:pStyle w:val="2"/>
              <w:jc w:val="center"/>
              <w:rPr>
                <w:sz w:val="21"/>
                <w:szCs w:val="21"/>
                <w:highlight w:val="none"/>
                <w:u w:val="none"/>
              </w:rPr>
            </w:pPr>
            <w:r>
              <w:rPr>
                <w:rFonts w:hint="eastAsia"/>
                <w:sz w:val="21"/>
                <w:szCs w:val="21"/>
                <w:highlight w:val="none"/>
                <w:u w:val="none"/>
              </w:rPr>
              <w:t>北京中旅云谷森泊乐园</w:t>
            </w:r>
          </w:p>
        </w:tc>
        <w:tc>
          <w:tcPr>
            <w:tcW w:w="1828" w:type="dxa"/>
            <w:vAlign w:val="center"/>
          </w:tcPr>
          <w:p w14:paraId="2F7257E0">
            <w:pPr>
              <w:pStyle w:val="2"/>
              <w:jc w:val="center"/>
              <w:rPr>
                <w:sz w:val="21"/>
                <w:szCs w:val="21"/>
                <w:highlight w:val="none"/>
                <w:u w:val="none"/>
              </w:rPr>
            </w:pPr>
          </w:p>
          <w:p w14:paraId="7DE4E594">
            <w:pPr>
              <w:pStyle w:val="2"/>
              <w:jc w:val="center"/>
              <w:rPr>
                <w:sz w:val="21"/>
                <w:szCs w:val="21"/>
                <w:highlight w:val="none"/>
                <w:u w:val="none"/>
              </w:rPr>
            </w:pPr>
            <w:r>
              <w:rPr>
                <w:rFonts w:hint="eastAsia"/>
                <w:sz w:val="21"/>
                <w:szCs w:val="21"/>
                <w:highlight w:val="none"/>
                <w:u w:val="none"/>
              </w:rPr>
              <w:t>河南寨镇</w:t>
            </w:r>
          </w:p>
        </w:tc>
        <w:tc>
          <w:tcPr>
            <w:tcW w:w="6998" w:type="dxa"/>
          </w:tcPr>
          <w:p w14:paraId="1F2994A4">
            <w:pPr>
              <w:pStyle w:val="2"/>
              <w:rPr>
                <w:sz w:val="21"/>
                <w:szCs w:val="21"/>
                <w:highlight w:val="none"/>
                <w:u w:val="none"/>
              </w:rPr>
            </w:pPr>
            <w:r>
              <w:rPr>
                <w:rFonts w:hint="eastAsia"/>
                <w:sz w:val="21"/>
                <w:szCs w:val="21"/>
                <w:highlight w:val="none"/>
                <w:u w:val="none"/>
              </w:rPr>
              <w:t>总建筑面积约14万平方米，项目将聚焦亲子家庭与时尚青年，同时覆盖全年龄段，打造集多元住宿、奇趣游乐、潮酷运动的精致度假产品。打造成为带动密云区域经济发展的新引擎和文旅产业的新标杆，华北地区一站式休闲度假新典范，密云乡村旅游客源引流、业态创新、品牌升级的重要支撑。</w:t>
            </w:r>
          </w:p>
        </w:tc>
        <w:tc>
          <w:tcPr>
            <w:tcW w:w="1884" w:type="dxa"/>
            <w:vAlign w:val="center"/>
          </w:tcPr>
          <w:p w14:paraId="431BC748">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4E68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2250" w:type="dxa"/>
            <w:vAlign w:val="center"/>
          </w:tcPr>
          <w:p w14:paraId="76FB0924">
            <w:pPr>
              <w:pStyle w:val="2"/>
              <w:jc w:val="center"/>
              <w:rPr>
                <w:sz w:val="21"/>
                <w:szCs w:val="21"/>
                <w:highlight w:val="none"/>
                <w:u w:val="none"/>
              </w:rPr>
            </w:pPr>
            <w:r>
              <w:rPr>
                <w:rFonts w:hint="eastAsia"/>
                <w:sz w:val="21"/>
                <w:szCs w:val="21"/>
                <w:highlight w:val="none"/>
                <w:u w:val="none"/>
              </w:rPr>
              <w:t>“京畿长城”国家风景道（密云段）旅游基础设施提升工程</w:t>
            </w:r>
          </w:p>
        </w:tc>
        <w:tc>
          <w:tcPr>
            <w:tcW w:w="1828" w:type="dxa"/>
            <w:vAlign w:val="center"/>
          </w:tcPr>
          <w:p w14:paraId="215886B5">
            <w:pPr>
              <w:pStyle w:val="2"/>
              <w:jc w:val="center"/>
              <w:rPr>
                <w:sz w:val="21"/>
                <w:szCs w:val="21"/>
                <w:highlight w:val="none"/>
                <w:u w:val="none"/>
              </w:rPr>
            </w:pPr>
          </w:p>
          <w:p w14:paraId="35FE0948">
            <w:pPr>
              <w:pStyle w:val="2"/>
              <w:jc w:val="center"/>
              <w:rPr>
                <w:sz w:val="21"/>
                <w:szCs w:val="21"/>
                <w:highlight w:val="none"/>
                <w:u w:val="none"/>
              </w:rPr>
            </w:pPr>
            <w:r>
              <w:rPr>
                <w:rFonts w:hint="eastAsia"/>
                <w:sz w:val="21"/>
                <w:szCs w:val="21"/>
                <w:highlight w:val="none"/>
                <w:u w:val="none"/>
              </w:rPr>
              <w:t>长城沿线1</w:t>
            </w:r>
            <w:r>
              <w:rPr>
                <w:sz w:val="21"/>
                <w:szCs w:val="21"/>
                <w:highlight w:val="none"/>
                <w:u w:val="none"/>
              </w:rPr>
              <w:t>1</w:t>
            </w:r>
            <w:r>
              <w:rPr>
                <w:rFonts w:hint="eastAsia"/>
                <w:sz w:val="21"/>
                <w:szCs w:val="21"/>
                <w:highlight w:val="none"/>
                <w:u w:val="none"/>
              </w:rPr>
              <w:t>个镇</w:t>
            </w:r>
          </w:p>
        </w:tc>
        <w:tc>
          <w:tcPr>
            <w:tcW w:w="6998" w:type="dxa"/>
          </w:tcPr>
          <w:p w14:paraId="671E324E">
            <w:pPr>
              <w:pStyle w:val="2"/>
              <w:rPr>
                <w:sz w:val="21"/>
                <w:szCs w:val="21"/>
                <w:highlight w:val="none"/>
                <w:u w:val="none"/>
              </w:rPr>
            </w:pPr>
            <w:r>
              <w:rPr>
                <w:rFonts w:hint="eastAsia"/>
                <w:sz w:val="21"/>
                <w:szCs w:val="21"/>
                <w:highlight w:val="none"/>
                <w:u w:val="none"/>
              </w:rPr>
              <w:t>项目建设内容包括：京畿长城风景道主线7处服务驿站、15处休闲游憩平台、11处停车场、1处旅游公厕、1套旅游标识系统及2处景区基础设施提升；胜利之路长城抗战研学游线、古北口长城古镇文化探访游线、“新城拾光”长城古树古堡游线等八条特色主题线路沿线的3处服务驿站、2处停车场、3处公厕、5套标识系统、7段慢行道路及4个景区基础设施、6处群众活动设施提升改造。</w:t>
            </w:r>
          </w:p>
        </w:tc>
        <w:tc>
          <w:tcPr>
            <w:tcW w:w="1884" w:type="dxa"/>
            <w:vAlign w:val="center"/>
          </w:tcPr>
          <w:p w14:paraId="2E8BA85F">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5FAA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2250" w:type="dxa"/>
            <w:vAlign w:val="center"/>
          </w:tcPr>
          <w:p w14:paraId="67F7D4E2">
            <w:pPr>
              <w:pStyle w:val="2"/>
              <w:jc w:val="center"/>
              <w:rPr>
                <w:sz w:val="21"/>
                <w:szCs w:val="21"/>
                <w:highlight w:val="none"/>
                <w:u w:val="none"/>
              </w:rPr>
            </w:pPr>
            <w:r>
              <w:rPr>
                <w:rFonts w:hint="eastAsia"/>
                <w:sz w:val="21"/>
                <w:szCs w:val="21"/>
                <w:highlight w:val="none"/>
                <w:u w:val="none"/>
              </w:rPr>
              <w:t>山楂谷“生态康养综合体”</w:t>
            </w:r>
          </w:p>
        </w:tc>
        <w:tc>
          <w:tcPr>
            <w:tcW w:w="1828" w:type="dxa"/>
            <w:vAlign w:val="center"/>
          </w:tcPr>
          <w:p w14:paraId="671339BD">
            <w:pPr>
              <w:pStyle w:val="2"/>
              <w:jc w:val="center"/>
              <w:rPr>
                <w:sz w:val="21"/>
                <w:szCs w:val="21"/>
                <w:highlight w:val="none"/>
                <w:u w:val="none"/>
              </w:rPr>
            </w:pPr>
            <w:r>
              <w:rPr>
                <w:rFonts w:hint="eastAsia"/>
                <w:sz w:val="21"/>
                <w:szCs w:val="21"/>
                <w:highlight w:val="none"/>
                <w:u w:val="none"/>
              </w:rPr>
              <w:t>东邵渠镇</w:t>
            </w:r>
          </w:p>
        </w:tc>
        <w:tc>
          <w:tcPr>
            <w:tcW w:w="6998" w:type="dxa"/>
          </w:tcPr>
          <w:p w14:paraId="6CEA0225">
            <w:pPr>
              <w:pStyle w:val="2"/>
              <w:rPr>
                <w:rFonts w:ascii="MS Gothic" w:hAnsi="MS Gothic" w:eastAsia="MS Gothic" w:cs="MS Gothic"/>
                <w:sz w:val="21"/>
                <w:szCs w:val="21"/>
                <w:highlight w:val="none"/>
                <w:u w:val="none"/>
              </w:rPr>
            </w:pPr>
            <w:r>
              <w:rPr>
                <w:rFonts w:hint="eastAsia"/>
                <w:sz w:val="21"/>
                <w:szCs w:val="21"/>
                <w:highlight w:val="none"/>
                <w:u w:val="none"/>
              </w:rPr>
              <w:t>山楂谷高端康养综合体项目建筑面积2.44万平米，将建设慢塘接待中心，当湖文化交流中心，积微草堂食疗药膳餐厅，水疗颐养酒店，山楂康养体验工坊，云端书阅等一系列康养建筑。</w:t>
            </w:r>
          </w:p>
        </w:tc>
        <w:tc>
          <w:tcPr>
            <w:tcW w:w="1884" w:type="dxa"/>
            <w:vAlign w:val="center"/>
          </w:tcPr>
          <w:p w14:paraId="5EB70B0A">
            <w:pPr>
              <w:pStyle w:val="2"/>
              <w:jc w:val="center"/>
              <w:rPr>
                <w:rFonts w:ascii="MS Gothic" w:hAnsi="MS Gothic" w:eastAsia="MS Gothic" w:cs="MS Gothic"/>
                <w:sz w:val="21"/>
                <w:szCs w:val="21"/>
                <w:highlight w:val="none"/>
                <w:u w:val="none"/>
              </w:rPr>
            </w:pPr>
            <w:r>
              <w:rPr>
                <w:rFonts w:hint="eastAsia"/>
                <w:sz w:val="21"/>
                <w:szCs w:val="21"/>
                <w:highlight w:val="none"/>
                <w:u w:val="none"/>
              </w:rPr>
              <w:t>2</w:t>
            </w:r>
            <w:r>
              <w:rPr>
                <w:sz w:val="21"/>
                <w:szCs w:val="21"/>
                <w:highlight w:val="none"/>
                <w:u w:val="none"/>
              </w:rPr>
              <w:t>026.12-2029.12</w:t>
            </w:r>
          </w:p>
        </w:tc>
      </w:tr>
      <w:tr w14:paraId="22EF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4" w:hRule="atLeast"/>
        </w:trPr>
        <w:tc>
          <w:tcPr>
            <w:tcW w:w="2250" w:type="dxa"/>
            <w:vAlign w:val="center"/>
          </w:tcPr>
          <w:p w14:paraId="0A4EF6DF">
            <w:pPr>
              <w:pStyle w:val="2"/>
              <w:jc w:val="center"/>
              <w:rPr>
                <w:sz w:val="21"/>
                <w:szCs w:val="21"/>
                <w:highlight w:val="none"/>
                <w:u w:val="none"/>
              </w:rPr>
            </w:pPr>
            <w:r>
              <w:rPr>
                <w:rFonts w:hint="eastAsia"/>
                <w:sz w:val="21"/>
                <w:szCs w:val="21"/>
                <w:highlight w:val="none"/>
                <w:u w:val="none"/>
              </w:rPr>
              <w:t>古北口历史文化街区提升项目</w:t>
            </w:r>
          </w:p>
        </w:tc>
        <w:tc>
          <w:tcPr>
            <w:tcW w:w="1828" w:type="dxa"/>
            <w:vAlign w:val="center"/>
          </w:tcPr>
          <w:p w14:paraId="09C323B6">
            <w:pPr>
              <w:pStyle w:val="2"/>
              <w:jc w:val="center"/>
              <w:rPr>
                <w:sz w:val="21"/>
                <w:szCs w:val="21"/>
                <w:highlight w:val="none"/>
                <w:u w:val="none"/>
              </w:rPr>
            </w:pPr>
            <w:r>
              <w:rPr>
                <w:rFonts w:hint="eastAsia"/>
                <w:sz w:val="21"/>
                <w:szCs w:val="21"/>
                <w:highlight w:val="none"/>
                <w:u w:val="none"/>
              </w:rPr>
              <w:t>古北口镇</w:t>
            </w:r>
          </w:p>
        </w:tc>
        <w:tc>
          <w:tcPr>
            <w:tcW w:w="6998" w:type="dxa"/>
          </w:tcPr>
          <w:p w14:paraId="688DFCC2">
            <w:pPr>
              <w:pStyle w:val="2"/>
              <w:rPr>
                <w:sz w:val="21"/>
                <w:szCs w:val="21"/>
                <w:highlight w:val="none"/>
                <w:u w:val="none"/>
              </w:rPr>
            </w:pPr>
            <w:r>
              <w:rPr>
                <w:rFonts w:hint="eastAsia"/>
                <w:sz w:val="21"/>
                <w:szCs w:val="21"/>
                <w:highlight w:val="none"/>
                <w:u w:val="none"/>
              </w:rPr>
              <w:t>支持古北口镇引入城市创客，发展多元时尚业态，建设活力历史文化街区，形成新的旅游目的地。围绕优质长城古镇资源，通过整合资源、优化业态、塑造品牌，打造沉浸式体验场景，开发文创市集、非遗工坊等业态，提升历史文化街区氛围，重现百年老街繁华盛景，率先推动长城文化带赋能乡村振兴的古北口新实践和京郊乡村旅游转型发展的新样板，全面推动乡村振兴。</w:t>
            </w:r>
          </w:p>
        </w:tc>
        <w:tc>
          <w:tcPr>
            <w:tcW w:w="1884" w:type="dxa"/>
            <w:vAlign w:val="center"/>
          </w:tcPr>
          <w:p w14:paraId="5CDDAC06">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707D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rPr>
        <w:tc>
          <w:tcPr>
            <w:tcW w:w="2250" w:type="dxa"/>
            <w:vAlign w:val="center"/>
          </w:tcPr>
          <w:p w14:paraId="65ED635C">
            <w:pPr>
              <w:pStyle w:val="2"/>
              <w:jc w:val="center"/>
              <w:rPr>
                <w:sz w:val="21"/>
                <w:szCs w:val="21"/>
                <w:highlight w:val="none"/>
                <w:u w:val="none"/>
              </w:rPr>
            </w:pPr>
            <w:r>
              <w:rPr>
                <w:rFonts w:hint="eastAsia"/>
                <w:sz w:val="21"/>
                <w:szCs w:val="21"/>
                <w:highlight w:val="none"/>
                <w:u w:val="none"/>
              </w:rPr>
              <w:t>古御道历史文化街区旅游基础设施提升项目</w:t>
            </w:r>
          </w:p>
        </w:tc>
        <w:tc>
          <w:tcPr>
            <w:tcW w:w="1828" w:type="dxa"/>
            <w:vAlign w:val="center"/>
          </w:tcPr>
          <w:p w14:paraId="3B4DFFD8">
            <w:pPr>
              <w:pStyle w:val="2"/>
              <w:jc w:val="center"/>
              <w:rPr>
                <w:sz w:val="21"/>
                <w:szCs w:val="21"/>
                <w:highlight w:val="none"/>
                <w:u w:val="none"/>
              </w:rPr>
            </w:pPr>
            <w:r>
              <w:rPr>
                <w:rFonts w:hint="eastAsia"/>
                <w:sz w:val="21"/>
                <w:szCs w:val="21"/>
                <w:highlight w:val="none"/>
                <w:u w:val="none"/>
              </w:rPr>
              <w:t>古北口镇</w:t>
            </w:r>
          </w:p>
        </w:tc>
        <w:tc>
          <w:tcPr>
            <w:tcW w:w="6998" w:type="dxa"/>
          </w:tcPr>
          <w:p w14:paraId="2CF911E6">
            <w:pPr>
              <w:pStyle w:val="2"/>
              <w:rPr>
                <w:sz w:val="21"/>
                <w:szCs w:val="21"/>
                <w:highlight w:val="none"/>
                <w:u w:val="none"/>
              </w:rPr>
            </w:pPr>
            <w:r>
              <w:rPr>
                <w:rFonts w:hint="eastAsia"/>
                <w:sz w:val="21"/>
                <w:szCs w:val="21"/>
                <w:highlight w:val="none"/>
                <w:u w:val="none"/>
              </w:rPr>
              <w:t>该项目建设内容包括旅游道路提升，新建休闲慢行步道、沿路休憩空间提升、游客驿站提升；古御道沿街河道生态提升，河道清淤、河道修复、河道防渗、补植水生植物；基础设施及配套设施提升，包括亮化照明系统、标识系统、服务配套设施等。</w:t>
            </w:r>
          </w:p>
        </w:tc>
        <w:tc>
          <w:tcPr>
            <w:tcW w:w="1884" w:type="dxa"/>
            <w:vAlign w:val="center"/>
          </w:tcPr>
          <w:p w14:paraId="0B34B9A8">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5F77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2250" w:type="dxa"/>
            <w:vAlign w:val="center"/>
          </w:tcPr>
          <w:p w14:paraId="7F390C95">
            <w:pPr>
              <w:pStyle w:val="2"/>
              <w:jc w:val="center"/>
              <w:rPr>
                <w:sz w:val="21"/>
                <w:szCs w:val="21"/>
                <w:highlight w:val="none"/>
                <w:u w:val="none"/>
              </w:rPr>
            </w:pPr>
            <w:r>
              <w:rPr>
                <w:rFonts w:hint="eastAsia"/>
                <w:sz w:val="21"/>
                <w:szCs w:val="21"/>
                <w:highlight w:val="none"/>
                <w:u w:val="none"/>
              </w:rPr>
              <w:t>朱家峪度假酒店</w:t>
            </w:r>
          </w:p>
        </w:tc>
        <w:tc>
          <w:tcPr>
            <w:tcW w:w="1828" w:type="dxa"/>
            <w:vAlign w:val="center"/>
          </w:tcPr>
          <w:p w14:paraId="0E335214">
            <w:pPr>
              <w:pStyle w:val="2"/>
              <w:jc w:val="center"/>
              <w:rPr>
                <w:sz w:val="21"/>
                <w:szCs w:val="21"/>
                <w:highlight w:val="none"/>
                <w:u w:val="none"/>
              </w:rPr>
            </w:pPr>
            <w:r>
              <w:rPr>
                <w:rFonts w:hint="eastAsia"/>
                <w:sz w:val="21"/>
                <w:szCs w:val="21"/>
                <w:highlight w:val="none"/>
                <w:u w:val="none"/>
              </w:rPr>
              <w:t>冯家峪镇</w:t>
            </w:r>
          </w:p>
        </w:tc>
        <w:tc>
          <w:tcPr>
            <w:tcW w:w="6998" w:type="dxa"/>
          </w:tcPr>
          <w:p w14:paraId="7F452C4E">
            <w:pPr>
              <w:pStyle w:val="2"/>
              <w:rPr>
                <w:rFonts w:hint="eastAsia"/>
                <w:sz w:val="21"/>
                <w:szCs w:val="21"/>
                <w:highlight w:val="none"/>
                <w:u w:val="none"/>
              </w:rPr>
            </w:pPr>
          </w:p>
          <w:p w14:paraId="74F4D7BC">
            <w:pPr>
              <w:pStyle w:val="2"/>
              <w:rPr>
                <w:sz w:val="21"/>
                <w:szCs w:val="21"/>
                <w:highlight w:val="none"/>
                <w:u w:val="none"/>
              </w:rPr>
            </w:pPr>
            <w:r>
              <w:rPr>
                <w:rFonts w:hint="eastAsia"/>
                <w:sz w:val="21"/>
                <w:szCs w:val="21"/>
                <w:highlight w:val="none"/>
                <w:u w:val="none"/>
              </w:rPr>
              <w:t>酒店建筑主体灰色，属质感温和的现代度假酒店风格。酒店内设置客房约43套，多功能厅1处，供培训、节日庆典及婚宴等多种活动，另外还配套了茶室、咖啡厅、室外花园、停车场等功能，为游客提供多元的入住体验。</w:t>
            </w:r>
          </w:p>
        </w:tc>
        <w:tc>
          <w:tcPr>
            <w:tcW w:w="1884" w:type="dxa"/>
            <w:vAlign w:val="center"/>
          </w:tcPr>
          <w:p w14:paraId="3B0611BB">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0935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vAlign w:val="center"/>
          </w:tcPr>
          <w:p w14:paraId="6E111C69">
            <w:pPr>
              <w:pStyle w:val="2"/>
              <w:jc w:val="center"/>
              <w:rPr>
                <w:sz w:val="21"/>
                <w:szCs w:val="21"/>
                <w:highlight w:val="none"/>
                <w:u w:val="none"/>
              </w:rPr>
            </w:pPr>
            <w:r>
              <w:rPr>
                <w:rFonts w:hint="eastAsia"/>
                <w:sz w:val="21"/>
                <w:szCs w:val="21"/>
                <w:highlight w:val="none"/>
                <w:u w:val="none"/>
              </w:rPr>
              <w:t>北京密果山丘自然疗愈农场</w:t>
            </w:r>
          </w:p>
        </w:tc>
        <w:tc>
          <w:tcPr>
            <w:tcW w:w="1828" w:type="dxa"/>
            <w:vAlign w:val="center"/>
          </w:tcPr>
          <w:p w14:paraId="59FA4745">
            <w:pPr>
              <w:pStyle w:val="2"/>
              <w:jc w:val="center"/>
              <w:rPr>
                <w:sz w:val="21"/>
                <w:szCs w:val="21"/>
                <w:highlight w:val="none"/>
                <w:u w:val="none"/>
              </w:rPr>
            </w:pPr>
            <w:r>
              <w:rPr>
                <w:rFonts w:hint="eastAsia"/>
                <w:sz w:val="21"/>
                <w:szCs w:val="21"/>
                <w:highlight w:val="none"/>
                <w:u w:val="none"/>
              </w:rPr>
              <w:t>穆家峪镇</w:t>
            </w:r>
          </w:p>
        </w:tc>
        <w:tc>
          <w:tcPr>
            <w:tcW w:w="6998" w:type="dxa"/>
          </w:tcPr>
          <w:p w14:paraId="142D647D">
            <w:pPr>
              <w:pStyle w:val="2"/>
              <w:rPr>
                <w:sz w:val="21"/>
                <w:szCs w:val="21"/>
                <w:highlight w:val="none"/>
                <w:u w:val="none"/>
              </w:rPr>
            </w:pPr>
            <w:r>
              <w:rPr>
                <w:rFonts w:hint="eastAsia"/>
                <w:sz w:val="21"/>
                <w:szCs w:val="21"/>
                <w:highlight w:val="none"/>
                <w:u w:val="none"/>
              </w:rPr>
              <w:t>项目建设内容包括：精品酒店、民宿、餐厅、咖啡馆、美术馆、瑜伽馆、香氛馆、健康管理馆、农创产品馆、帐篷营地等。</w:t>
            </w:r>
          </w:p>
          <w:p w14:paraId="428797C0">
            <w:pPr>
              <w:ind w:firstLine="640"/>
              <w:rPr>
                <w:highlight w:val="none"/>
                <w:u w:val="none"/>
              </w:rPr>
            </w:pPr>
          </w:p>
        </w:tc>
        <w:tc>
          <w:tcPr>
            <w:tcW w:w="1884" w:type="dxa"/>
            <w:vAlign w:val="top"/>
          </w:tcPr>
          <w:p w14:paraId="460B480F">
            <w:pPr>
              <w:pStyle w:val="2"/>
              <w:jc w:val="center"/>
              <w:rPr>
                <w:sz w:val="21"/>
                <w:szCs w:val="21"/>
                <w:highlight w:val="none"/>
                <w:u w:val="none"/>
              </w:rPr>
            </w:pPr>
            <w:r>
              <w:rPr>
                <w:rFonts w:hint="eastAsia"/>
                <w:sz w:val="21"/>
                <w:szCs w:val="21"/>
                <w:highlight w:val="none"/>
                <w:u w:val="none"/>
              </w:rPr>
              <w:t>2</w:t>
            </w:r>
            <w:r>
              <w:rPr>
                <w:sz w:val="21"/>
                <w:szCs w:val="21"/>
                <w:highlight w:val="none"/>
                <w:u w:val="none"/>
              </w:rPr>
              <w:t>025.5-2027.12</w:t>
            </w:r>
          </w:p>
        </w:tc>
      </w:tr>
      <w:tr w14:paraId="40FB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vAlign w:val="center"/>
          </w:tcPr>
          <w:p w14:paraId="5B7BA401">
            <w:pPr>
              <w:pStyle w:val="2"/>
              <w:jc w:val="center"/>
              <w:rPr>
                <w:sz w:val="21"/>
                <w:szCs w:val="21"/>
                <w:highlight w:val="none"/>
                <w:u w:val="none"/>
              </w:rPr>
            </w:pPr>
            <w:r>
              <w:rPr>
                <w:rFonts w:hint="eastAsia"/>
                <w:sz w:val="21"/>
                <w:szCs w:val="21"/>
                <w:highlight w:val="none"/>
                <w:u w:val="none"/>
              </w:rPr>
              <w:t>日光山谷二期</w:t>
            </w:r>
          </w:p>
        </w:tc>
        <w:tc>
          <w:tcPr>
            <w:tcW w:w="1828" w:type="dxa"/>
            <w:vAlign w:val="center"/>
          </w:tcPr>
          <w:p w14:paraId="7043D101">
            <w:pPr>
              <w:pStyle w:val="2"/>
              <w:jc w:val="center"/>
              <w:rPr>
                <w:sz w:val="21"/>
                <w:szCs w:val="21"/>
                <w:highlight w:val="none"/>
                <w:u w:val="none"/>
              </w:rPr>
            </w:pPr>
            <w:r>
              <w:rPr>
                <w:rFonts w:hint="eastAsia"/>
                <w:sz w:val="21"/>
                <w:szCs w:val="21"/>
                <w:highlight w:val="none"/>
                <w:u w:val="none"/>
              </w:rPr>
              <w:t>穆家峪镇</w:t>
            </w:r>
          </w:p>
        </w:tc>
        <w:tc>
          <w:tcPr>
            <w:tcW w:w="6998" w:type="dxa"/>
          </w:tcPr>
          <w:p w14:paraId="6DF98DA7">
            <w:pPr>
              <w:pStyle w:val="2"/>
              <w:rPr>
                <w:sz w:val="21"/>
                <w:szCs w:val="21"/>
                <w:highlight w:val="none"/>
                <w:u w:val="none"/>
              </w:rPr>
            </w:pPr>
            <w:r>
              <w:rPr>
                <w:rFonts w:hint="eastAsia"/>
                <w:sz w:val="21"/>
                <w:szCs w:val="21"/>
                <w:highlight w:val="none"/>
                <w:u w:val="none"/>
              </w:rPr>
              <w:t>主要建设如下内容：</w:t>
            </w:r>
          </w:p>
          <w:p w14:paraId="49B03B12">
            <w:pPr>
              <w:pStyle w:val="2"/>
              <w:rPr>
                <w:rFonts w:hAnsi="仿宋_GB2312"/>
                <w:sz w:val="21"/>
                <w:szCs w:val="21"/>
                <w:highlight w:val="none"/>
                <w:u w:val="none"/>
              </w:rPr>
            </w:pPr>
            <w:r>
              <w:rPr>
                <w:rFonts w:hint="eastAsia"/>
                <w:sz w:val="21"/>
                <w:szCs w:val="21"/>
                <w:highlight w:val="none"/>
                <w:u w:val="none"/>
              </w:rPr>
              <w:t>1．北京之眼：“北京之眼”观光塔以及配套的空中步道、轨道滑车、无动力滑道，占地3000</w:t>
            </w:r>
            <w:r>
              <w:rPr>
                <w:rFonts w:hint="eastAsia" w:ascii="微软雅黑" w:hAnsi="微软雅黑" w:eastAsia="微软雅黑" w:cs="微软雅黑"/>
                <w:sz w:val="21"/>
                <w:szCs w:val="21"/>
                <w:highlight w:val="none"/>
                <w:u w:val="none"/>
              </w:rPr>
              <w:t>㎡</w:t>
            </w:r>
            <w:r>
              <w:rPr>
                <w:rFonts w:hint="eastAsia" w:hAnsi="仿宋_GB2312"/>
                <w:sz w:val="21"/>
                <w:szCs w:val="21"/>
                <w:highlight w:val="none"/>
                <w:u w:val="none"/>
              </w:rPr>
              <w:t>；</w:t>
            </w:r>
          </w:p>
          <w:p w14:paraId="57567759">
            <w:pPr>
              <w:pStyle w:val="2"/>
              <w:rPr>
                <w:rFonts w:hAnsi="仿宋_GB2312"/>
                <w:sz w:val="21"/>
                <w:szCs w:val="21"/>
                <w:highlight w:val="none"/>
                <w:u w:val="none"/>
              </w:rPr>
            </w:pPr>
            <w:r>
              <w:rPr>
                <w:rFonts w:hint="eastAsia" w:hAnsi="仿宋_GB2312"/>
                <w:sz w:val="21"/>
                <w:szCs w:val="21"/>
                <w:highlight w:val="none"/>
                <w:u w:val="none"/>
              </w:rPr>
              <w:t>2．180观景平台提档升级：增加打卡点与休息平台，进行全面提档升级，占地规模约2000</w:t>
            </w:r>
            <w:r>
              <w:rPr>
                <w:rFonts w:hint="eastAsia" w:ascii="微软雅黑" w:hAnsi="微软雅黑" w:eastAsia="微软雅黑" w:cs="微软雅黑"/>
                <w:sz w:val="21"/>
                <w:szCs w:val="21"/>
                <w:highlight w:val="none"/>
                <w:u w:val="none"/>
              </w:rPr>
              <w:t>㎡</w:t>
            </w:r>
            <w:r>
              <w:rPr>
                <w:rFonts w:hint="eastAsia" w:hAnsi="仿宋_GB2312"/>
                <w:sz w:val="21"/>
                <w:szCs w:val="21"/>
                <w:highlight w:val="none"/>
                <w:u w:val="none"/>
              </w:rPr>
              <w:t>；</w:t>
            </w:r>
          </w:p>
          <w:p w14:paraId="2F86677D">
            <w:pPr>
              <w:pStyle w:val="2"/>
              <w:rPr>
                <w:rFonts w:hAnsi="仿宋_GB2312"/>
                <w:sz w:val="21"/>
                <w:szCs w:val="21"/>
                <w:highlight w:val="none"/>
                <w:u w:val="none"/>
              </w:rPr>
            </w:pPr>
            <w:r>
              <w:rPr>
                <w:rFonts w:hint="eastAsia" w:hAnsi="仿宋_GB2312"/>
                <w:sz w:val="21"/>
                <w:szCs w:val="21"/>
                <w:highlight w:val="none"/>
                <w:u w:val="none"/>
              </w:rPr>
              <w:t>3．餐饮商业街：在入口通道的周边增加商业和餐饮内容，形成餐饮商业街；</w:t>
            </w:r>
          </w:p>
          <w:p w14:paraId="03603888">
            <w:pPr>
              <w:pStyle w:val="2"/>
              <w:rPr>
                <w:rFonts w:hAnsi="仿宋_GB2312"/>
                <w:sz w:val="21"/>
                <w:szCs w:val="21"/>
                <w:highlight w:val="none"/>
                <w:u w:val="none"/>
              </w:rPr>
            </w:pPr>
            <w:r>
              <w:rPr>
                <w:rFonts w:hint="eastAsia" w:hAnsi="仿宋_GB2312"/>
                <w:sz w:val="21"/>
                <w:szCs w:val="21"/>
                <w:highlight w:val="none"/>
                <w:u w:val="none"/>
              </w:rPr>
              <w:t>4．旅游集散中心：配套密云生态展览馆，占地规模为500</w:t>
            </w:r>
            <w:r>
              <w:rPr>
                <w:rFonts w:hint="eastAsia" w:ascii="微软雅黑" w:hAnsi="微软雅黑" w:eastAsia="微软雅黑" w:cs="微软雅黑"/>
                <w:sz w:val="21"/>
                <w:szCs w:val="21"/>
                <w:highlight w:val="none"/>
                <w:u w:val="none"/>
              </w:rPr>
              <w:t>㎡</w:t>
            </w:r>
            <w:r>
              <w:rPr>
                <w:rFonts w:hint="eastAsia" w:hAnsi="仿宋_GB2312"/>
                <w:sz w:val="21"/>
                <w:szCs w:val="21"/>
                <w:highlight w:val="none"/>
                <w:u w:val="none"/>
              </w:rPr>
              <w:t>；</w:t>
            </w:r>
          </w:p>
          <w:p w14:paraId="05344C90">
            <w:pPr>
              <w:pStyle w:val="2"/>
              <w:rPr>
                <w:rFonts w:hAnsi="仿宋_GB2312"/>
                <w:sz w:val="21"/>
                <w:szCs w:val="21"/>
                <w:highlight w:val="none"/>
                <w:u w:val="none"/>
              </w:rPr>
            </w:pPr>
            <w:r>
              <w:rPr>
                <w:rFonts w:hint="eastAsia" w:hAnsi="仿宋_GB2312"/>
                <w:sz w:val="21"/>
                <w:szCs w:val="21"/>
                <w:highlight w:val="none"/>
                <w:u w:val="none"/>
              </w:rPr>
              <w:t>5．空中商业街：在原停机坪处打造小吃街、市集、摊位为主要形式的精致商业街区，占地约500</w:t>
            </w:r>
            <w:r>
              <w:rPr>
                <w:rFonts w:hint="eastAsia" w:ascii="微软雅黑" w:hAnsi="微软雅黑" w:eastAsia="微软雅黑" w:cs="微软雅黑"/>
                <w:sz w:val="21"/>
                <w:szCs w:val="21"/>
                <w:highlight w:val="none"/>
                <w:u w:val="none"/>
              </w:rPr>
              <w:t>㎡</w:t>
            </w:r>
            <w:r>
              <w:rPr>
                <w:rFonts w:hint="eastAsia" w:hAnsi="仿宋_GB2312"/>
                <w:sz w:val="21"/>
                <w:szCs w:val="21"/>
                <w:highlight w:val="none"/>
                <w:u w:val="none"/>
              </w:rPr>
              <w:t>；</w:t>
            </w:r>
          </w:p>
          <w:p w14:paraId="0C1857C3">
            <w:pPr>
              <w:pStyle w:val="2"/>
              <w:rPr>
                <w:rFonts w:hAnsi="仿宋_GB2312"/>
                <w:sz w:val="21"/>
                <w:szCs w:val="21"/>
                <w:highlight w:val="none"/>
                <w:u w:val="none"/>
              </w:rPr>
            </w:pPr>
            <w:r>
              <w:rPr>
                <w:rFonts w:hint="eastAsia" w:hAnsi="仿宋_GB2312"/>
                <w:sz w:val="21"/>
                <w:szCs w:val="21"/>
                <w:highlight w:val="none"/>
                <w:u w:val="none"/>
              </w:rPr>
              <w:t>6．乡村度假酒店：建设100套乡村度假酒店，作为日光山谷的配套，酒店面积30000</w:t>
            </w:r>
            <w:r>
              <w:rPr>
                <w:rFonts w:hint="eastAsia" w:ascii="微软雅黑" w:hAnsi="微软雅黑" w:eastAsia="微软雅黑" w:cs="微软雅黑"/>
                <w:sz w:val="21"/>
                <w:szCs w:val="21"/>
                <w:highlight w:val="none"/>
                <w:u w:val="none"/>
              </w:rPr>
              <w:t>㎡</w:t>
            </w:r>
            <w:r>
              <w:rPr>
                <w:rFonts w:hint="eastAsia" w:hAnsi="仿宋_GB2312"/>
                <w:sz w:val="21"/>
                <w:szCs w:val="21"/>
                <w:highlight w:val="none"/>
                <w:u w:val="none"/>
              </w:rPr>
              <w:t>；</w:t>
            </w:r>
          </w:p>
          <w:p w14:paraId="3613A5FB">
            <w:pPr>
              <w:pStyle w:val="2"/>
              <w:rPr>
                <w:sz w:val="21"/>
                <w:szCs w:val="21"/>
                <w:highlight w:val="none"/>
                <w:u w:val="none"/>
              </w:rPr>
            </w:pPr>
            <w:r>
              <w:rPr>
                <w:rFonts w:hint="eastAsia"/>
                <w:sz w:val="21"/>
                <w:szCs w:val="21"/>
                <w:highlight w:val="none"/>
                <w:u w:val="none"/>
              </w:rPr>
              <w:t>7．其他娱乐项目：马术俱乐部、UTV越野基地、儿童乐园等。</w:t>
            </w:r>
          </w:p>
        </w:tc>
        <w:tc>
          <w:tcPr>
            <w:tcW w:w="1884" w:type="dxa"/>
            <w:vAlign w:val="center"/>
          </w:tcPr>
          <w:p w14:paraId="495C7ACD">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6373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dxa"/>
            <w:vAlign w:val="center"/>
          </w:tcPr>
          <w:p w14:paraId="0FDBE618">
            <w:pPr>
              <w:pStyle w:val="2"/>
              <w:jc w:val="center"/>
              <w:rPr>
                <w:sz w:val="21"/>
                <w:szCs w:val="21"/>
                <w:highlight w:val="none"/>
                <w:u w:val="none"/>
              </w:rPr>
            </w:pPr>
            <w:r>
              <w:rPr>
                <w:rFonts w:hint="eastAsia"/>
                <w:sz w:val="21"/>
                <w:szCs w:val="21"/>
                <w:highlight w:val="none"/>
                <w:u w:val="none"/>
              </w:rPr>
              <w:t>石城镇景区改造提升项目</w:t>
            </w:r>
          </w:p>
        </w:tc>
        <w:tc>
          <w:tcPr>
            <w:tcW w:w="1828" w:type="dxa"/>
            <w:vAlign w:val="center"/>
          </w:tcPr>
          <w:p w14:paraId="6AA3A61F">
            <w:pPr>
              <w:pStyle w:val="2"/>
              <w:jc w:val="center"/>
              <w:rPr>
                <w:sz w:val="21"/>
                <w:szCs w:val="21"/>
                <w:highlight w:val="none"/>
                <w:u w:val="none"/>
              </w:rPr>
            </w:pPr>
            <w:r>
              <w:rPr>
                <w:rFonts w:hint="eastAsia"/>
                <w:sz w:val="21"/>
                <w:szCs w:val="21"/>
                <w:highlight w:val="none"/>
                <w:u w:val="none"/>
              </w:rPr>
              <w:t>石城镇</w:t>
            </w:r>
          </w:p>
        </w:tc>
        <w:tc>
          <w:tcPr>
            <w:tcW w:w="6998" w:type="dxa"/>
          </w:tcPr>
          <w:p w14:paraId="0B836C37">
            <w:pPr>
              <w:pStyle w:val="2"/>
              <w:rPr>
                <w:sz w:val="21"/>
                <w:szCs w:val="21"/>
                <w:highlight w:val="none"/>
                <w:u w:val="none"/>
              </w:rPr>
            </w:pPr>
            <w:r>
              <w:rPr>
                <w:sz w:val="21"/>
                <w:szCs w:val="21"/>
                <w:highlight w:val="none"/>
                <w:u w:val="none"/>
              </w:rPr>
              <w:t>1.</w:t>
            </w:r>
            <w:r>
              <w:rPr>
                <w:rFonts w:hint="eastAsia"/>
                <w:sz w:val="21"/>
                <w:szCs w:val="21"/>
                <w:highlight w:val="none"/>
                <w:u w:val="none"/>
              </w:rPr>
              <w:t>天仙瀑景区进行恢复重建及改造提升，拟计划投资5000万元，拟根据空间结构确定为一线三区式结构，一线为6公里旅游道路，三区为激情漂流体验区、峡谷风光体验区、峡谷秘境体验区，设立户外漂流、山地滑车、上山飞马、上山魔毯项目等项目；</w:t>
            </w:r>
          </w:p>
          <w:p w14:paraId="4B3DD227">
            <w:pPr>
              <w:pStyle w:val="2"/>
              <w:rPr>
                <w:sz w:val="21"/>
                <w:szCs w:val="21"/>
                <w:highlight w:val="none"/>
                <w:u w:val="none"/>
              </w:rPr>
            </w:pPr>
            <w:r>
              <w:rPr>
                <w:rFonts w:hint="eastAsia"/>
                <w:sz w:val="21"/>
                <w:szCs w:val="21"/>
                <w:highlight w:val="none"/>
                <w:u w:val="none"/>
              </w:rPr>
              <w:t>2.黑龙潭景区根据水毁情况进行恢复重建，拟计划投资300</w:t>
            </w:r>
            <w:r>
              <w:rPr>
                <w:sz w:val="21"/>
                <w:szCs w:val="21"/>
                <w:highlight w:val="none"/>
                <w:u w:val="none"/>
              </w:rPr>
              <w:t>0</w:t>
            </w:r>
            <w:r>
              <w:rPr>
                <w:rFonts w:hint="eastAsia"/>
                <w:sz w:val="21"/>
                <w:szCs w:val="21"/>
                <w:highlight w:val="none"/>
                <w:u w:val="none"/>
              </w:rPr>
              <w:t>万元，结合“25.7”洪水后景区损坏情况，对景区3公里的道路及基础设施进行恢复重建；</w:t>
            </w:r>
          </w:p>
          <w:p w14:paraId="5B6CAEF1">
            <w:pPr>
              <w:pStyle w:val="2"/>
              <w:rPr>
                <w:sz w:val="21"/>
                <w:szCs w:val="21"/>
                <w:highlight w:val="none"/>
                <w:u w:val="none"/>
              </w:rPr>
            </w:pPr>
            <w:r>
              <w:rPr>
                <w:rFonts w:hint="eastAsia"/>
                <w:sz w:val="21"/>
                <w:szCs w:val="21"/>
                <w:highlight w:val="none"/>
                <w:u w:val="none"/>
              </w:rPr>
              <w:t>3.云蒙山长城遗址公园改造提升项目，拟计划投资200万元，对景区内基础设施进行改造提升，以“来密云看海”为主题打造多处观景台，融合多种特色业态，打造登山看海观长城为一体的景区。</w:t>
            </w:r>
          </w:p>
        </w:tc>
        <w:tc>
          <w:tcPr>
            <w:tcW w:w="1884" w:type="dxa"/>
            <w:vAlign w:val="center"/>
          </w:tcPr>
          <w:p w14:paraId="3A960C3F">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6E35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250" w:type="dxa"/>
            <w:vAlign w:val="center"/>
          </w:tcPr>
          <w:p w14:paraId="0AC6D0F1">
            <w:pPr>
              <w:pStyle w:val="2"/>
              <w:jc w:val="center"/>
              <w:rPr>
                <w:sz w:val="21"/>
                <w:szCs w:val="21"/>
                <w:highlight w:val="none"/>
                <w:u w:val="none"/>
              </w:rPr>
            </w:pPr>
            <w:r>
              <w:rPr>
                <w:rFonts w:hint="eastAsia"/>
                <w:sz w:val="21"/>
                <w:szCs w:val="21"/>
                <w:highlight w:val="none"/>
                <w:u w:val="none"/>
              </w:rPr>
              <w:t>新城子“古树名镇”旅游设施提升项目</w:t>
            </w:r>
          </w:p>
        </w:tc>
        <w:tc>
          <w:tcPr>
            <w:tcW w:w="1828" w:type="dxa"/>
            <w:vAlign w:val="center"/>
          </w:tcPr>
          <w:p w14:paraId="1A98DDA0">
            <w:pPr>
              <w:pStyle w:val="2"/>
              <w:jc w:val="center"/>
              <w:rPr>
                <w:sz w:val="21"/>
                <w:szCs w:val="21"/>
                <w:highlight w:val="none"/>
                <w:u w:val="none"/>
              </w:rPr>
            </w:pPr>
            <w:r>
              <w:rPr>
                <w:rFonts w:hint="eastAsia"/>
                <w:sz w:val="21"/>
                <w:szCs w:val="21"/>
                <w:highlight w:val="none"/>
                <w:u w:val="none"/>
              </w:rPr>
              <w:t>新城子镇</w:t>
            </w:r>
          </w:p>
        </w:tc>
        <w:tc>
          <w:tcPr>
            <w:tcW w:w="6998" w:type="dxa"/>
          </w:tcPr>
          <w:p w14:paraId="6B40AC59">
            <w:pPr>
              <w:pStyle w:val="2"/>
              <w:rPr>
                <w:sz w:val="21"/>
                <w:szCs w:val="21"/>
                <w:highlight w:val="none"/>
                <w:u w:val="none"/>
              </w:rPr>
            </w:pPr>
            <w:r>
              <w:rPr>
                <w:rFonts w:hint="eastAsia"/>
                <w:sz w:val="21"/>
                <w:szCs w:val="21"/>
                <w:highlight w:val="none"/>
                <w:u w:val="none"/>
              </w:rPr>
              <w:t>以“古树名镇”建设为核心，围绕“一带两核三组团”的空问布局，统筹推进区域乡村全面振兴。一是围绕一带:安达木河农文旅绿色产业带，对村庄沿线景观绿化及风貌进行提升改造；二是围绕两核:遥桥峪“古堡拾光”和苏家峪“流苏谧境”产业核心打造遥桥峪古堡公共服务空间、苏家峪豆腐坊、苏家峪村流苏驿站改造等；三是围绕三组团:长城古堡体验组团、千年古树文化组团、特色林果种植组团，进行产业配套基础设施提升。</w:t>
            </w:r>
          </w:p>
        </w:tc>
        <w:tc>
          <w:tcPr>
            <w:tcW w:w="1884" w:type="dxa"/>
            <w:vAlign w:val="center"/>
          </w:tcPr>
          <w:p w14:paraId="2B1D6EE6">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6841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50" w:type="dxa"/>
            <w:vAlign w:val="center"/>
          </w:tcPr>
          <w:p w14:paraId="5AA1CA18">
            <w:pPr>
              <w:pStyle w:val="2"/>
              <w:jc w:val="center"/>
              <w:rPr>
                <w:sz w:val="21"/>
                <w:szCs w:val="21"/>
                <w:highlight w:val="none"/>
                <w:u w:val="none"/>
              </w:rPr>
            </w:pPr>
            <w:r>
              <w:rPr>
                <w:rFonts w:hint="eastAsia"/>
                <w:sz w:val="21"/>
                <w:szCs w:val="21"/>
                <w:highlight w:val="none"/>
                <w:u w:val="none"/>
              </w:rPr>
              <w:t>北京张裕爱斐堡提升项目</w:t>
            </w:r>
          </w:p>
        </w:tc>
        <w:tc>
          <w:tcPr>
            <w:tcW w:w="1828" w:type="dxa"/>
            <w:vAlign w:val="center"/>
          </w:tcPr>
          <w:p w14:paraId="4268FB10">
            <w:pPr>
              <w:pStyle w:val="2"/>
              <w:jc w:val="center"/>
              <w:rPr>
                <w:sz w:val="21"/>
                <w:szCs w:val="21"/>
                <w:highlight w:val="none"/>
                <w:u w:val="none"/>
              </w:rPr>
            </w:pPr>
            <w:r>
              <w:rPr>
                <w:rFonts w:hint="eastAsia"/>
                <w:sz w:val="21"/>
                <w:szCs w:val="21"/>
                <w:highlight w:val="none"/>
                <w:u w:val="none"/>
              </w:rPr>
              <w:t>巨各庄镇</w:t>
            </w:r>
          </w:p>
        </w:tc>
        <w:tc>
          <w:tcPr>
            <w:tcW w:w="6998" w:type="dxa"/>
          </w:tcPr>
          <w:p w14:paraId="177ECAFB">
            <w:pPr>
              <w:pStyle w:val="2"/>
              <w:rPr>
                <w:sz w:val="21"/>
                <w:szCs w:val="21"/>
                <w:highlight w:val="none"/>
                <w:u w:val="none"/>
              </w:rPr>
            </w:pPr>
            <w:r>
              <w:rPr>
                <w:rFonts w:hint="eastAsia"/>
                <w:sz w:val="21"/>
                <w:szCs w:val="21"/>
                <w:highlight w:val="none"/>
                <w:u w:val="none"/>
              </w:rPr>
              <w:t>1</w:t>
            </w:r>
            <w:r>
              <w:rPr>
                <w:sz w:val="21"/>
                <w:szCs w:val="21"/>
                <w:highlight w:val="none"/>
                <w:u w:val="none"/>
              </w:rPr>
              <w:t>.</w:t>
            </w:r>
            <w:r>
              <w:rPr>
                <w:rFonts w:hint="eastAsia"/>
                <w:sz w:val="21"/>
                <w:szCs w:val="21"/>
                <w:highlight w:val="none"/>
                <w:u w:val="none"/>
              </w:rPr>
              <w:t>深化旅游产品打造“葡萄酒+”跨界融合:“葡萄酒+康养”打造葡萄酒养生工坊；“葡萄酒+亲子”开设亲子课堂，建设四季大棚、规划种植、采摘、酿造全流程体验课程;“葡萄酒+夜景”以“酒庄夜宴”为主题，完成城堡及园区亮化工程、增加演出、夜间观星、星空露营等内容；“葡萄酒+文化”引进大型演艺项目。“葡萄酒+新体验”打造爱斐堡葡萄酒交易港，升级沉浸式体验。升级“沉浸式剧本杀”剧本开发、场景建设、服化道升级、NPC增加。“葡萄酒+文创”开发多种文创衍生产品；</w:t>
            </w:r>
          </w:p>
          <w:p w14:paraId="6F04D166">
            <w:pPr>
              <w:pStyle w:val="2"/>
              <w:rPr>
                <w:sz w:val="21"/>
                <w:szCs w:val="21"/>
                <w:highlight w:val="none"/>
                <w:u w:val="none"/>
              </w:rPr>
            </w:pPr>
            <w:r>
              <w:rPr>
                <w:rFonts w:hint="eastAsia"/>
                <w:sz w:val="21"/>
                <w:szCs w:val="21"/>
                <w:highlight w:val="none"/>
                <w:u w:val="none"/>
              </w:rPr>
              <w:t>2.基础设施迭代完善:借力政府政策支持与专项投入，升级园区基础公共服务设施；增加葡萄、葡萄酒打卡主题小品，增设树下餐吧、休憩凉亨，建设爱斐堡看“紫色的海”观景平台，打造特色IP引流；智慧化升级，开发酒庄线上销售平台，云体验项目。配备多语种智能咨询导览设备、自助购票终端、全园区覆盖5G网络；分批次升级酒庄客房、餐厅，会议室；</w:t>
            </w:r>
          </w:p>
          <w:p w14:paraId="474995AB">
            <w:pPr>
              <w:pStyle w:val="2"/>
              <w:rPr>
                <w:sz w:val="21"/>
                <w:szCs w:val="21"/>
                <w:highlight w:val="none"/>
                <w:u w:val="none"/>
              </w:rPr>
            </w:pPr>
            <w:r>
              <w:rPr>
                <w:rFonts w:hint="eastAsia"/>
                <w:sz w:val="21"/>
                <w:szCs w:val="21"/>
                <w:highlight w:val="none"/>
                <w:u w:val="none"/>
              </w:rPr>
              <w:t>3.提升景区品牌公信力；通过提升梳理酒庄各项资源，争取工业旅游基地、北京市备案博物馆、爱国主义教育基地。</w:t>
            </w:r>
          </w:p>
        </w:tc>
        <w:tc>
          <w:tcPr>
            <w:tcW w:w="1884" w:type="dxa"/>
            <w:vAlign w:val="center"/>
          </w:tcPr>
          <w:p w14:paraId="04B44342">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11BC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250" w:type="dxa"/>
            <w:vAlign w:val="center"/>
          </w:tcPr>
          <w:p w14:paraId="61041A64">
            <w:pPr>
              <w:pStyle w:val="2"/>
              <w:jc w:val="center"/>
              <w:rPr>
                <w:sz w:val="21"/>
                <w:szCs w:val="21"/>
                <w:highlight w:val="none"/>
                <w:u w:val="none"/>
              </w:rPr>
            </w:pPr>
            <w:r>
              <w:rPr>
                <w:rFonts w:hint="eastAsia"/>
                <w:sz w:val="21"/>
                <w:szCs w:val="21"/>
                <w:highlight w:val="none"/>
                <w:u w:val="none"/>
              </w:rPr>
              <w:t>密云不老屯转山子亲子康养生态项目</w:t>
            </w:r>
          </w:p>
        </w:tc>
        <w:tc>
          <w:tcPr>
            <w:tcW w:w="1828" w:type="dxa"/>
            <w:vAlign w:val="center"/>
          </w:tcPr>
          <w:p w14:paraId="3FF6E849">
            <w:pPr>
              <w:pStyle w:val="2"/>
              <w:jc w:val="center"/>
              <w:rPr>
                <w:sz w:val="21"/>
                <w:szCs w:val="21"/>
                <w:highlight w:val="none"/>
                <w:u w:val="none"/>
              </w:rPr>
            </w:pPr>
            <w:r>
              <w:rPr>
                <w:rFonts w:hint="eastAsia"/>
                <w:sz w:val="21"/>
                <w:szCs w:val="21"/>
                <w:highlight w:val="none"/>
                <w:u w:val="none"/>
              </w:rPr>
              <w:t>不老屯镇转山子村</w:t>
            </w:r>
          </w:p>
        </w:tc>
        <w:tc>
          <w:tcPr>
            <w:tcW w:w="6998" w:type="dxa"/>
          </w:tcPr>
          <w:p w14:paraId="5BFA30DF">
            <w:pPr>
              <w:pStyle w:val="2"/>
              <w:rPr>
                <w:sz w:val="21"/>
                <w:szCs w:val="21"/>
                <w:highlight w:val="none"/>
                <w:u w:val="none"/>
              </w:rPr>
            </w:pPr>
            <w:r>
              <w:rPr>
                <w:rFonts w:hint="eastAsia"/>
                <w:sz w:val="21"/>
                <w:szCs w:val="21"/>
                <w:highlight w:val="none"/>
                <w:u w:val="none"/>
              </w:rPr>
              <w:t>本项目占地430亩，现有建筑15栋（已取得产权证），建筑面积12327.35平米，计划新增建筑面积3400平米；建设内容包括现有建筑装修改造以及新建建筑，打造亲子、康养休闲乐园。</w:t>
            </w:r>
          </w:p>
        </w:tc>
        <w:tc>
          <w:tcPr>
            <w:tcW w:w="1884" w:type="dxa"/>
            <w:vAlign w:val="center"/>
          </w:tcPr>
          <w:p w14:paraId="2FEBB9DD">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r w14:paraId="2EAD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trPr>
        <w:tc>
          <w:tcPr>
            <w:tcW w:w="2250" w:type="dxa"/>
            <w:vAlign w:val="center"/>
          </w:tcPr>
          <w:p w14:paraId="634A6E61">
            <w:pPr>
              <w:pStyle w:val="2"/>
              <w:ind w:left="210" w:hanging="210" w:hangingChars="100"/>
              <w:jc w:val="center"/>
              <w:rPr>
                <w:sz w:val="21"/>
                <w:szCs w:val="21"/>
                <w:highlight w:val="none"/>
                <w:u w:val="none"/>
              </w:rPr>
            </w:pPr>
            <w:r>
              <w:rPr>
                <w:rFonts w:hint="eastAsia"/>
                <w:sz w:val="21"/>
                <w:szCs w:val="21"/>
                <w:highlight w:val="none"/>
                <w:u w:val="none"/>
              </w:rPr>
              <w:t>北庄观鸟特色小镇建设项目</w:t>
            </w:r>
          </w:p>
        </w:tc>
        <w:tc>
          <w:tcPr>
            <w:tcW w:w="1828" w:type="dxa"/>
            <w:vAlign w:val="center"/>
          </w:tcPr>
          <w:p w14:paraId="7F8C4008">
            <w:pPr>
              <w:pStyle w:val="2"/>
              <w:jc w:val="center"/>
              <w:rPr>
                <w:sz w:val="21"/>
                <w:szCs w:val="21"/>
                <w:highlight w:val="none"/>
                <w:u w:val="none"/>
              </w:rPr>
            </w:pPr>
            <w:r>
              <w:rPr>
                <w:rFonts w:hint="eastAsia"/>
                <w:sz w:val="21"/>
                <w:szCs w:val="21"/>
                <w:highlight w:val="none"/>
                <w:u w:val="none"/>
              </w:rPr>
              <w:t>北庄镇</w:t>
            </w:r>
          </w:p>
        </w:tc>
        <w:tc>
          <w:tcPr>
            <w:tcW w:w="6998" w:type="dxa"/>
          </w:tcPr>
          <w:p w14:paraId="62834EFC">
            <w:pPr>
              <w:pStyle w:val="2"/>
              <w:rPr>
                <w:sz w:val="21"/>
                <w:szCs w:val="21"/>
                <w:highlight w:val="none"/>
                <w:u w:val="none"/>
              </w:rPr>
            </w:pPr>
            <w:r>
              <w:rPr>
                <w:rFonts w:hint="eastAsia"/>
                <w:sz w:val="21"/>
                <w:szCs w:val="21"/>
                <w:highlight w:val="none"/>
                <w:u w:val="none"/>
              </w:rPr>
              <w:t>以“清水北庄观鸟小镇”为核心，推进三大板块建设：一是规划建设乡村振兴研究院，聚焦观鸟产业与乡村发展深度融合研究，提供理论支撑与实践指导；二是升级完善旅游基础设施，优化观鸟步道、休憩驿站、科普解说系统等配套，提升游览体验；三是打造周边特色旅游节点，联动生态湿地、特色民宿等资源，构建“观鸟+科普+研学+休闲”的多元业态体系，激活乡村生态价值与经济活力。</w:t>
            </w:r>
          </w:p>
        </w:tc>
        <w:tc>
          <w:tcPr>
            <w:tcW w:w="1884" w:type="dxa"/>
            <w:vAlign w:val="center"/>
          </w:tcPr>
          <w:p w14:paraId="130FB23C">
            <w:pPr>
              <w:pStyle w:val="2"/>
              <w:jc w:val="center"/>
              <w:rPr>
                <w:sz w:val="21"/>
                <w:szCs w:val="21"/>
                <w:highlight w:val="none"/>
                <w:u w:val="none"/>
              </w:rPr>
            </w:pPr>
            <w:r>
              <w:rPr>
                <w:rFonts w:hint="eastAsia"/>
                <w:sz w:val="21"/>
                <w:szCs w:val="21"/>
                <w:highlight w:val="none"/>
                <w:u w:val="none"/>
              </w:rPr>
              <w:t>2</w:t>
            </w:r>
            <w:r>
              <w:rPr>
                <w:sz w:val="21"/>
                <w:szCs w:val="21"/>
                <w:highlight w:val="none"/>
                <w:u w:val="none"/>
              </w:rPr>
              <w:t>026.12-2029.12</w:t>
            </w:r>
          </w:p>
        </w:tc>
      </w:tr>
    </w:tbl>
    <w:p w14:paraId="3F6C9538">
      <w:pPr>
        <w:ind w:firstLine="0" w:firstLineChars="0"/>
        <w:rPr>
          <w:highlight w:val="none"/>
          <w:u w:val="none"/>
        </w:rPr>
      </w:pPr>
      <w:bookmarkStart w:id="422" w:name="_GoBack"/>
      <w:bookmarkEnd w:id="422"/>
    </w:p>
    <w:sectPr>
      <w:footerReference r:id="rId17" w:type="first"/>
      <w:headerReference r:id="rId15" w:type="default"/>
      <w:footerReference r:id="rId16" w:type="default"/>
      <w:pgSz w:w="16838" w:h="11906" w:orient="landscape"/>
      <w:pgMar w:top="1588" w:right="2098" w:bottom="1474" w:left="1985" w:header="851" w:footer="992" w:gutter="0"/>
      <w:pgNumType w:fmt="numberInDash"/>
      <w:cols w:space="425"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6C51">
    <w:pPr>
      <w:pStyle w:val="12"/>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331470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9FF78">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26.1pt;height:144pt;width:144pt;mso-position-horizontal-relative:margin;mso-wrap-style:none;z-index:251660288;mso-width-relative:page;mso-height-relative:page;" filled="f" stroked="f" coordsize="21600,21600" o:gfxdata="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wXJmV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6CD9FF78">
                    <w:pPr>
                      <w:pStyle w:val="12"/>
                    </w:pPr>
                  </w:p>
                </w:txbxContent>
              </v:textbox>
            </v:shape>
          </w:pict>
        </mc:Fallback>
      </mc:AlternateContent>
    </w:r>
  </w:p>
  <w:p w14:paraId="010B4D46">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8BEA5">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30C61">
    <w:pPr>
      <w:pStyle w:val="12"/>
      <w:ind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30431">
                          <w:pPr>
                            <w:pStyle w:val="12"/>
                            <w:ind w:left="0" w:leftChars="0" w:firstLine="0" w:firstLine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430431">
                    <w:pPr>
                      <w:pStyle w:val="12"/>
                      <w:ind w:left="0" w:leftChars="0" w:firstLine="0" w:firstLineChars="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9F2AF">
    <w:pPr>
      <w:pStyle w:val="12"/>
      <w:ind w:firstLine="360"/>
      <w:jc w:val="both"/>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ED802">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97ED802">
                    <w:pPr>
                      <w:pStyle w:val="12"/>
                    </w:pPr>
                    <w:r>
                      <w:fldChar w:fldCharType="begin"/>
                    </w:r>
                    <w:r>
                      <w:instrText xml:space="preserve"> PAGE  \* MERGEFORMAT </w:instrText>
                    </w:r>
                    <w:r>
                      <w:fldChar w:fldCharType="separate"/>
                    </w:r>
                    <w:r>
                      <w:t>- 1 -</w:t>
                    </w:r>
                    <w:r>
                      <w:fldChar w:fldCharType="end"/>
                    </w:r>
                  </w:p>
                </w:txbxContent>
              </v:textbox>
            </v:shape>
          </w:pict>
        </mc:Fallback>
      </mc:AlternateContent>
    </w:r>
  </w:p>
  <w:p w14:paraId="7518935D">
    <w:pPr>
      <w:pStyle w:val="1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D825C">
    <w:pPr>
      <w:pStyle w:val="12"/>
      <w:ind w:firstLine="0" w:firstLineChars="0"/>
      <w:jc w:val="both"/>
    </w:pPr>
    <w:r>
      <w:rPr>
        <w:sz w:val="18"/>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8EB96">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- 1 -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98EB96">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- 1 -</w:t>
                    </w:r>
                    <w:r>
                      <w:rPr>
                        <w:rFonts w:hint="eastAsia" w:ascii="宋体" w:hAnsi="宋体" w:eastAsia="宋体" w:cs="宋体"/>
                        <w:sz w:val="32"/>
                        <w:szCs w:val="3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45D59">
    <w:pPr>
      <w:pStyle w:val="12"/>
      <w:ind w:firstLine="360"/>
      <w:jc w:val="both"/>
    </w:pPr>
    <w:r>
      <w:rPr>
        <w:sz w:val="18"/>
      </w:rP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ABBE3">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52ABBE3">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- 3 -</w:t>
                    </w:r>
                    <w:r>
                      <w:rPr>
                        <w:rFonts w:hint="eastAsia" w:ascii="宋体" w:hAnsi="宋体" w:eastAsia="宋体" w:cs="宋体"/>
                        <w:sz w:val="32"/>
                        <w:szCs w:val="32"/>
                      </w:rPr>
                      <w:fldChar w:fldCharType="end"/>
                    </w:r>
                  </w:p>
                </w:txbxContent>
              </v:textbox>
            </v:shape>
          </w:pict>
        </mc:Fallback>
      </mc:AlternateContent>
    </w:r>
  </w:p>
  <w:p w14:paraId="27EA1062">
    <w:pPr>
      <w:pStyle w:val="1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B7BDD">
    <w:pPr>
      <w:pStyle w:val="12"/>
      <w:ind w:firstLine="0" w:firstLineChars="0"/>
      <w:jc w:val="both"/>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53C5C">
                          <w:pPr>
                            <w:pStyle w:val="12"/>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I</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5453C5C">
                    <w:pPr>
                      <w:pStyle w:val="12"/>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I</w:t>
                    </w:r>
                    <w:r>
                      <w:rPr>
                        <w:rFonts w:hint="eastAsia" w:asciiTheme="minorEastAsia" w:hAnsiTheme="minorEastAsia" w:eastAsiaTheme="minorEastAsia" w:cstheme="minorEastAsia"/>
                        <w:sz w:val="32"/>
                        <w:szCs w:val="32"/>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5E83">
    <w:pPr>
      <w:pStyle w:val="12"/>
      <w:ind w:firstLine="360"/>
      <w:jc w:val="both"/>
    </w:pPr>
    <w:r>
      <w:rPr>
        <w:sz w:val="18"/>
      </w:rP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C4138">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- 40 -</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2CC4138">
                    <w:pPr>
                      <w:pStyle w:val="12"/>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- 40 -</w:t>
                    </w:r>
                    <w:r>
                      <w:rPr>
                        <w:rFonts w:hint="eastAsia" w:ascii="宋体" w:hAnsi="宋体" w:eastAsia="宋体" w:cs="宋体"/>
                        <w:sz w:val="32"/>
                        <w:szCs w:val="32"/>
                      </w:rPr>
                      <w:fldChar w:fldCharType="end"/>
                    </w:r>
                  </w:p>
                </w:txbxContent>
              </v:textbox>
            </v:shape>
          </w:pict>
        </mc:Fallback>
      </mc:AlternateContent>
    </w:r>
  </w:p>
  <w:p w14:paraId="30818ED3">
    <w:pPr>
      <w:pStyle w:val="12"/>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D0BC7">
    <w:pPr>
      <w:pStyle w:val="12"/>
      <w:ind w:firstLine="0" w:firstLineChars="0"/>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A9027">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3C41">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132CA">
    <w:pPr>
      <w:pStyle w:val="1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BE648">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BEF2DC3F"/>
    <w:rsid w:val="000009D0"/>
    <w:rsid w:val="00000D0A"/>
    <w:rsid w:val="00000F6A"/>
    <w:rsid w:val="00001926"/>
    <w:rsid w:val="00002999"/>
    <w:rsid w:val="00002D0F"/>
    <w:rsid w:val="00002D20"/>
    <w:rsid w:val="00005127"/>
    <w:rsid w:val="000054FA"/>
    <w:rsid w:val="000055C3"/>
    <w:rsid w:val="00005690"/>
    <w:rsid w:val="00005E89"/>
    <w:rsid w:val="00005FC8"/>
    <w:rsid w:val="000060BD"/>
    <w:rsid w:val="00006FA9"/>
    <w:rsid w:val="0001080A"/>
    <w:rsid w:val="0001230C"/>
    <w:rsid w:val="0001236C"/>
    <w:rsid w:val="0001241B"/>
    <w:rsid w:val="00012ADF"/>
    <w:rsid w:val="00013986"/>
    <w:rsid w:val="00013C66"/>
    <w:rsid w:val="00014476"/>
    <w:rsid w:val="00016B95"/>
    <w:rsid w:val="00016C10"/>
    <w:rsid w:val="000172E5"/>
    <w:rsid w:val="0001735C"/>
    <w:rsid w:val="000174CA"/>
    <w:rsid w:val="0001787A"/>
    <w:rsid w:val="00017EF7"/>
    <w:rsid w:val="00020C42"/>
    <w:rsid w:val="00023434"/>
    <w:rsid w:val="00023E53"/>
    <w:rsid w:val="00025336"/>
    <w:rsid w:val="00025817"/>
    <w:rsid w:val="000258EC"/>
    <w:rsid w:val="0002707C"/>
    <w:rsid w:val="00027CD5"/>
    <w:rsid w:val="00030EFA"/>
    <w:rsid w:val="00031057"/>
    <w:rsid w:val="00031771"/>
    <w:rsid w:val="00033174"/>
    <w:rsid w:val="00034F55"/>
    <w:rsid w:val="000353D5"/>
    <w:rsid w:val="000421D0"/>
    <w:rsid w:val="000428B6"/>
    <w:rsid w:val="0004365D"/>
    <w:rsid w:val="000445BD"/>
    <w:rsid w:val="00044EFE"/>
    <w:rsid w:val="0004581F"/>
    <w:rsid w:val="00045CE1"/>
    <w:rsid w:val="000463CF"/>
    <w:rsid w:val="00047BB2"/>
    <w:rsid w:val="000521E8"/>
    <w:rsid w:val="00054DC5"/>
    <w:rsid w:val="000556F5"/>
    <w:rsid w:val="00055D3B"/>
    <w:rsid w:val="00056E80"/>
    <w:rsid w:val="00057B9D"/>
    <w:rsid w:val="000627C6"/>
    <w:rsid w:val="00063A55"/>
    <w:rsid w:val="000640E0"/>
    <w:rsid w:val="0006625D"/>
    <w:rsid w:val="000677CF"/>
    <w:rsid w:val="00071355"/>
    <w:rsid w:val="00073863"/>
    <w:rsid w:val="00074714"/>
    <w:rsid w:val="000760F8"/>
    <w:rsid w:val="00076105"/>
    <w:rsid w:val="00077359"/>
    <w:rsid w:val="00077376"/>
    <w:rsid w:val="00077DD1"/>
    <w:rsid w:val="00077F9B"/>
    <w:rsid w:val="0008140F"/>
    <w:rsid w:val="00081CB7"/>
    <w:rsid w:val="00081EDE"/>
    <w:rsid w:val="00082117"/>
    <w:rsid w:val="00082AB3"/>
    <w:rsid w:val="0008452D"/>
    <w:rsid w:val="000868CD"/>
    <w:rsid w:val="000878FD"/>
    <w:rsid w:val="00087AD6"/>
    <w:rsid w:val="00087B42"/>
    <w:rsid w:val="00087BEB"/>
    <w:rsid w:val="00091A57"/>
    <w:rsid w:val="00091DA1"/>
    <w:rsid w:val="000933D4"/>
    <w:rsid w:val="000958B6"/>
    <w:rsid w:val="000964D0"/>
    <w:rsid w:val="00096917"/>
    <w:rsid w:val="00096A1F"/>
    <w:rsid w:val="00096DC5"/>
    <w:rsid w:val="000978D4"/>
    <w:rsid w:val="00097B84"/>
    <w:rsid w:val="000A034E"/>
    <w:rsid w:val="000A313E"/>
    <w:rsid w:val="000A6C60"/>
    <w:rsid w:val="000B096B"/>
    <w:rsid w:val="000B12A2"/>
    <w:rsid w:val="000B2891"/>
    <w:rsid w:val="000B32EF"/>
    <w:rsid w:val="000B4A83"/>
    <w:rsid w:val="000B5B9E"/>
    <w:rsid w:val="000B5F32"/>
    <w:rsid w:val="000B6913"/>
    <w:rsid w:val="000C2CED"/>
    <w:rsid w:val="000C3365"/>
    <w:rsid w:val="000C4617"/>
    <w:rsid w:val="000C486A"/>
    <w:rsid w:val="000C6455"/>
    <w:rsid w:val="000C6F1D"/>
    <w:rsid w:val="000D0D4E"/>
    <w:rsid w:val="000D166E"/>
    <w:rsid w:val="000D45EC"/>
    <w:rsid w:val="000D5DCD"/>
    <w:rsid w:val="000D6BBC"/>
    <w:rsid w:val="000D6CC3"/>
    <w:rsid w:val="000E0D6C"/>
    <w:rsid w:val="000E14E3"/>
    <w:rsid w:val="000E225F"/>
    <w:rsid w:val="000E2747"/>
    <w:rsid w:val="000E4E99"/>
    <w:rsid w:val="000F1355"/>
    <w:rsid w:val="000F14C8"/>
    <w:rsid w:val="000F18FA"/>
    <w:rsid w:val="000F341B"/>
    <w:rsid w:val="000F3949"/>
    <w:rsid w:val="000F499A"/>
    <w:rsid w:val="000F4D2F"/>
    <w:rsid w:val="000F5964"/>
    <w:rsid w:val="000F5BD4"/>
    <w:rsid w:val="000F6914"/>
    <w:rsid w:val="00102095"/>
    <w:rsid w:val="00102252"/>
    <w:rsid w:val="001024F5"/>
    <w:rsid w:val="00102530"/>
    <w:rsid w:val="00103077"/>
    <w:rsid w:val="001036AA"/>
    <w:rsid w:val="001037A9"/>
    <w:rsid w:val="00104BC9"/>
    <w:rsid w:val="0010541A"/>
    <w:rsid w:val="00105D77"/>
    <w:rsid w:val="00106622"/>
    <w:rsid w:val="00110686"/>
    <w:rsid w:val="00110B09"/>
    <w:rsid w:val="001112AB"/>
    <w:rsid w:val="00114898"/>
    <w:rsid w:val="00115979"/>
    <w:rsid w:val="001164D5"/>
    <w:rsid w:val="001170A3"/>
    <w:rsid w:val="00120157"/>
    <w:rsid w:val="0012097B"/>
    <w:rsid w:val="0012293A"/>
    <w:rsid w:val="00124FD5"/>
    <w:rsid w:val="00127B99"/>
    <w:rsid w:val="00130294"/>
    <w:rsid w:val="001307DD"/>
    <w:rsid w:val="00132BB7"/>
    <w:rsid w:val="001362B2"/>
    <w:rsid w:val="0014109F"/>
    <w:rsid w:val="00142155"/>
    <w:rsid w:val="001425D5"/>
    <w:rsid w:val="00143B09"/>
    <w:rsid w:val="00144BFA"/>
    <w:rsid w:val="00144DA6"/>
    <w:rsid w:val="00145114"/>
    <w:rsid w:val="001462D5"/>
    <w:rsid w:val="001478DB"/>
    <w:rsid w:val="00147A22"/>
    <w:rsid w:val="001500FD"/>
    <w:rsid w:val="001513BF"/>
    <w:rsid w:val="00151CFC"/>
    <w:rsid w:val="001525CF"/>
    <w:rsid w:val="00153756"/>
    <w:rsid w:val="00156EA9"/>
    <w:rsid w:val="0015763A"/>
    <w:rsid w:val="0016074E"/>
    <w:rsid w:val="00162049"/>
    <w:rsid w:val="00163BF8"/>
    <w:rsid w:val="00163D4F"/>
    <w:rsid w:val="0016435B"/>
    <w:rsid w:val="001657A9"/>
    <w:rsid w:val="001663EF"/>
    <w:rsid w:val="001666BC"/>
    <w:rsid w:val="001678E6"/>
    <w:rsid w:val="00170099"/>
    <w:rsid w:val="001708A6"/>
    <w:rsid w:val="001712C1"/>
    <w:rsid w:val="0017133D"/>
    <w:rsid w:val="00171357"/>
    <w:rsid w:val="00171875"/>
    <w:rsid w:val="001747C4"/>
    <w:rsid w:val="00174D93"/>
    <w:rsid w:val="00176823"/>
    <w:rsid w:val="00176B67"/>
    <w:rsid w:val="0018041E"/>
    <w:rsid w:val="00182BAB"/>
    <w:rsid w:val="00182BBC"/>
    <w:rsid w:val="001833BF"/>
    <w:rsid w:val="0018343F"/>
    <w:rsid w:val="00183BB2"/>
    <w:rsid w:val="00184770"/>
    <w:rsid w:val="001907B5"/>
    <w:rsid w:val="00190FEA"/>
    <w:rsid w:val="001912CA"/>
    <w:rsid w:val="001917D5"/>
    <w:rsid w:val="00194D54"/>
    <w:rsid w:val="00197DD1"/>
    <w:rsid w:val="001A1482"/>
    <w:rsid w:val="001A19D2"/>
    <w:rsid w:val="001A2595"/>
    <w:rsid w:val="001A2D58"/>
    <w:rsid w:val="001A433A"/>
    <w:rsid w:val="001A48F2"/>
    <w:rsid w:val="001A4D3C"/>
    <w:rsid w:val="001A6C95"/>
    <w:rsid w:val="001B1472"/>
    <w:rsid w:val="001B175D"/>
    <w:rsid w:val="001B189D"/>
    <w:rsid w:val="001B18B2"/>
    <w:rsid w:val="001B191B"/>
    <w:rsid w:val="001B3231"/>
    <w:rsid w:val="001B3978"/>
    <w:rsid w:val="001B3B2A"/>
    <w:rsid w:val="001B51DD"/>
    <w:rsid w:val="001B59F6"/>
    <w:rsid w:val="001B5A87"/>
    <w:rsid w:val="001B5BA6"/>
    <w:rsid w:val="001B6026"/>
    <w:rsid w:val="001B6C7D"/>
    <w:rsid w:val="001B7268"/>
    <w:rsid w:val="001C0644"/>
    <w:rsid w:val="001C1723"/>
    <w:rsid w:val="001C2877"/>
    <w:rsid w:val="001C3092"/>
    <w:rsid w:val="001C54A0"/>
    <w:rsid w:val="001C62FC"/>
    <w:rsid w:val="001C63A1"/>
    <w:rsid w:val="001C71D8"/>
    <w:rsid w:val="001C7920"/>
    <w:rsid w:val="001D18CD"/>
    <w:rsid w:val="001D1FB4"/>
    <w:rsid w:val="001D30ED"/>
    <w:rsid w:val="001D36AC"/>
    <w:rsid w:val="001D4B65"/>
    <w:rsid w:val="001D5002"/>
    <w:rsid w:val="001E0C0B"/>
    <w:rsid w:val="001E3780"/>
    <w:rsid w:val="001E41D8"/>
    <w:rsid w:val="001E57D0"/>
    <w:rsid w:val="001E6815"/>
    <w:rsid w:val="001E7D59"/>
    <w:rsid w:val="001F3994"/>
    <w:rsid w:val="001F3C8C"/>
    <w:rsid w:val="001F4DBB"/>
    <w:rsid w:val="001F749C"/>
    <w:rsid w:val="002005F9"/>
    <w:rsid w:val="00201D67"/>
    <w:rsid w:val="00201F16"/>
    <w:rsid w:val="002038E0"/>
    <w:rsid w:val="00203E0C"/>
    <w:rsid w:val="00204F73"/>
    <w:rsid w:val="00204FEB"/>
    <w:rsid w:val="002053AC"/>
    <w:rsid w:val="00207823"/>
    <w:rsid w:val="002125CD"/>
    <w:rsid w:val="002128FE"/>
    <w:rsid w:val="002225AD"/>
    <w:rsid w:val="002228EB"/>
    <w:rsid w:val="00223602"/>
    <w:rsid w:val="00223CA8"/>
    <w:rsid w:val="00224808"/>
    <w:rsid w:val="00225913"/>
    <w:rsid w:val="00226F25"/>
    <w:rsid w:val="00227E5F"/>
    <w:rsid w:val="00230A71"/>
    <w:rsid w:val="00230CB8"/>
    <w:rsid w:val="00230F1E"/>
    <w:rsid w:val="00230F53"/>
    <w:rsid w:val="002350C6"/>
    <w:rsid w:val="00237AFE"/>
    <w:rsid w:val="00241033"/>
    <w:rsid w:val="002412D9"/>
    <w:rsid w:val="00241BA9"/>
    <w:rsid w:val="00243CFC"/>
    <w:rsid w:val="00244696"/>
    <w:rsid w:val="0024489E"/>
    <w:rsid w:val="00245867"/>
    <w:rsid w:val="002466DB"/>
    <w:rsid w:val="00246F96"/>
    <w:rsid w:val="00247270"/>
    <w:rsid w:val="002533CE"/>
    <w:rsid w:val="00254FAE"/>
    <w:rsid w:val="00256CF1"/>
    <w:rsid w:val="00257587"/>
    <w:rsid w:val="0025764B"/>
    <w:rsid w:val="00257BA2"/>
    <w:rsid w:val="002616A3"/>
    <w:rsid w:val="00265065"/>
    <w:rsid w:val="00265EA8"/>
    <w:rsid w:val="00267034"/>
    <w:rsid w:val="00267BEE"/>
    <w:rsid w:val="0027351A"/>
    <w:rsid w:val="00274266"/>
    <w:rsid w:val="00274C5E"/>
    <w:rsid w:val="00275058"/>
    <w:rsid w:val="002750F0"/>
    <w:rsid w:val="002756DC"/>
    <w:rsid w:val="002760AB"/>
    <w:rsid w:val="00277045"/>
    <w:rsid w:val="00282459"/>
    <w:rsid w:val="00282546"/>
    <w:rsid w:val="00282C48"/>
    <w:rsid w:val="002851F5"/>
    <w:rsid w:val="0028660B"/>
    <w:rsid w:val="00287D7F"/>
    <w:rsid w:val="00287F5D"/>
    <w:rsid w:val="002906DC"/>
    <w:rsid w:val="00290936"/>
    <w:rsid w:val="00290FFB"/>
    <w:rsid w:val="0029238F"/>
    <w:rsid w:val="00292C14"/>
    <w:rsid w:val="0029604F"/>
    <w:rsid w:val="0029623F"/>
    <w:rsid w:val="00296397"/>
    <w:rsid w:val="00296470"/>
    <w:rsid w:val="0029649B"/>
    <w:rsid w:val="00296D45"/>
    <w:rsid w:val="002978A1"/>
    <w:rsid w:val="00297E3C"/>
    <w:rsid w:val="002A1E16"/>
    <w:rsid w:val="002A317B"/>
    <w:rsid w:val="002A3D63"/>
    <w:rsid w:val="002A3FCE"/>
    <w:rsid w:val="002A5175"/>
    <w:rsid w:val="002A5DA5"/>
    <w:rsid w:val="002A66BE"/>
    <w:rsid w:val="002A674A"/>
    <w:rsid w:val="002A7F44"/>
    <w:rsid w:val="002B2AF0"/>
    <w:rsid w:val="002B4078"/>
    <w:rsid w:val="002B5BA2"/>
    <w:rsid w:val="002B68FB"/>
    <w:rsid w:val="002C0925"/>
    <w:rsid w:val="002C2177"/>
    <w:rsid w:val="002C2A29"/>
    <w:rsid w:val="002C38DD"/>
    <w:rsid w:val="002C3D80"/>
    <w:rsid w:val="002C4C1D"/>
    <w:rsid w:val="002C4CC4"/>
    <w:rsid w:val="002C4CEA"/>
    <w:rsid w:val="002C5017"/>
    <w:rsid w:val="002C5F7C"/>
    <w:rsid w:val="002C6229"/>
    <w:rsid w:val="002C6F0D"/>
    <w:rsid w:val="002C7C69"/>
    <w:rsid w:val="002C7FD6"/>
    <w:rsid w:val="002D129E"/>
    <w:rsid w:val="002D2628"/>
    <w:rsid w:val="002D4847"/>
    <w:rsid w:val="002D5B87"/>
    <w:rsid w:val="002E024C"/>
    <w:rsid w:val="002E2E1E"/>
    <w:rsid w:val="002E364A"/>
    <w:rsid w:val="002E3C12"/>
    <w:rsid w:val="002E3F3E"/>
    <w:rsid w:val="002E5C79"/>
    <w:rsid w:val="002E69A7"/>
    <w:rsid w:val="002F02AB"/>
    <w:rsid w:val="002F02B7"/>
    <w:rsid w:val="002F0409"/>
    <w:rsid w:val="002F05E8"/>
    <w:rsid w:val="002F1F1D"/>
    <w:rsid w:val="002F298B"/>
    <w:rsid w:val="002F406A"/>
    <w:rsid w:val="002F41DF"/>
    <w:rsid w:val="002F44A4"/>
    <w:rsid w:val="002F58EF"/>
    <w:rsid w:val="002F6583"/>
    <w:rsid w:val="002F7450"/>
    <w:rsid w:val="00300DAB"/>
    <w:rsid w:val="00300E4F"/>
    <w:rsid w:val="00301A20"/>
    <w:rsid w:val="00301C58"/>
    <w:rsid w:val="0030323D"/>
    <w:rsid w:val="003034A0"/>
    <w:rsid w:val="00303992"/>
    <w:rsid w:val="0030495C"/>
    <w:rsid w:val="003055F9"/>
    <w:rsid w:val="00305912"/>
    <w:rsid w:val="00307245"/>
    <w:rsid w:val="003117EB"/>
    <w:rsid w:val="00311B7F"/>
    <w:rsid w:val="00313177"/>
    <w:rsid w:val="003132B0"/>
    <w:rsid w:val="00315FA9"/>
    <w:rsid w:val="003163C7"/>
    <w:rsid w:val="00322293"/>
    <w:rsid w:val="00323437"/>
    <w:rsid w:val="0032526A"/>
    <w:rsid w:val="00325310"/>
    <w:rsid w:val="00327927"/>
    <w:rsid w:val="0032794D"/>
    <w:rsid w:val="003339BA"/>
    <w:rsid w:val="00333F9D"/>
    <w:rsid w:val="00336397"/>
    <w:rsid w:val="00336AF3"/>
    <w:rsid w:val="00337C9C"/>
    <w:rsid w:val="00340FD1"/>
    <w:rsid w:val="003412EE"/>
    <w:rsid w:val="00341BC4"/>
    <w:rsid w:val="00341C32"/>
    <w:rsid w:val="00342DB5"/>
    <w:rsid w:val="003439C5"/>
    <w:rsid w:val="00346487"/>
    <w:rsid w:val="00351AA6"/>
    <w:rsid w:val="00351CE0"/>
    <w:rsid w:val="00351F88"/>
    <w:rsid w:val="00352BE2"/>
    <w:rsid w:val="00353446"/>
    <w:rsid w:val="003567AE"/>
    <w:rsid w:val="00357530"/>
    <w:rsid w:val="00357E03"/>
    <w:rsid w:val="00360240"/>
    <w:rsid w:val="0036044A"/>
    <w:rsid w:val="003610EB"/>
    <w:rsid w:val="00365495"/>
    <w:rsid w:val="00365913"/>
    <w:rsid w:val="003662B2"/>
    <w:rsid w:val="00367C34"/>
    <w:rsid w:val="00371C88"/>
    <w:rsid w:val="00372D4D"/>
    <w:rsid w:val="0037374D"/>
    <w:rsid w:val="0037445E"/>
    <w:rsid w:val="003745E6"/>
    <w:rsid w:val="00374A51"/>
    <w:rsid w:val="00380BC7"/>
    <w:rsid w:val="0038355B"/>
    <w:rsid w:val="00385167"/>
    <w:rsid w:val="00386EB7"/>
    <w:rsid w:val="00390644"/>
    <w:rsid w:val="003909E2"/>
    <w:rsid w:val="00390B62"/>
    <w:rsid w:val="00391E38"/>
    <w:rsid w:val="0039292A"/>
    <w:rsid w:val="0039437B"/>
    <w:rsid w:val="00394DD8"/>
    <w:rsid w:val="00397738"/>
    <w:rsid w:val="003A03B3"/>
    <w:rsid w:val="003A10F9"/>
    <w:rsid w:val="003A2277"/>
    <w:rsid w:val="003A264F"/>
    <w:rsid w:val="003A3A53"/>
    <w:rsid w:val="003A3D5E"/>
    <w:rsid w:val="003A5B66"/>
    <w:rsid w:val="003A62CA"/>
    <w:rsid w:val="003A773D"/>
    <w:rsid w:val="003B05FE"/>
    <w:rsid w:val="003B252B"/>
    <w:rsid w:val="003B3301"/>
    <w:rsid w:val="003B3E50"/>
    <w:rsid w:val="003B73C1"/>
    <w:rsid w:val="003B7FE7"/>
    <w:rsid w:val="003C0A44"/>
    <w:rsid w:val="003C10AD"/>
    <w:rsid w:val="003C1518"/>
    <w:rsid w:val="003C34CE"/>
    <w:rsid w:val="003C4353"/>
    <w:rsid w:val="003C51C3"/>
    <w:rsid w:val="003C548E"/>
    <w:rsid w:val="003C6538"/>
    <w:rsid w:val="003D1250"/>
    <w:rsid w:val="003D2EEA"/>
    <w:rsid w:val="003D5800"/>
    <w:rsid w:val="003D5844"/>
    <w:rsid w:val="003E0070"/>
    <w:rsid w:val="003E3A91"/>
    <w:rsid w:val="003E5EAA"/>
    <w:rsid w:val="003E5F44"/>
    <w:rsid w:val="003E6352"/>
    <w:rsid w:val="003E7838"/>
    <w:rsid w:val="003F0260"/>
    <w:rsid w:val="003F059C"/>
    <w:rsid w:val="003F37C4"/>
    <w:rsid w:val="003F3E92"/>
    <w:rsid w:val="003F4A9F"/>
    <w:rsid w:val="003F5925"/>
    <w:rsid w:val="003F60EB"/>
    <w:rsid w:val="003F74A9"/>
    <w:rsid w:val="003F7870"/>
    <w:rsid w:val="0040017A"/>
    <w:rsid w:val="0040080A"/>
    <w:rsid w:val="00400B28"/>
    <w:rsid w:val="00401CD9"/>
    <w:rsid w:val="00402599"/>
    <w:rsid w:val="00402665"/>
    <w:rsid w:val="00402FCA"/>
    <w:rsid w:val="00404DAA"/>
    <w:rsid w:val="0040508A"/>
    <w:rsid w:val="004061A1"/>
    <w:rsid w:val="0040620F"/>
    <w:rsid w:val="00406A81"/>
    <w:rsid w:val="00407330"/>
    <w:rsid w:val="0040746B"/>
    <w:rsid w:val="00410418"/>
    <w:rsid w:val="004116E6"/>
    <w:rsid w:val="00411F19"/>
    <w:rsid w:val="004158F6"/>
    <w:rsid w:val="00420357"/>
    <w:rsid w:val="00420720"/>
    <w:rsid w:val="00421D0E"/>
    <w:rsid w:val="00422CD2"/>
    <w:rsid w:val="00422D9C"/>
    <w:rsid w:val="00422F7C"/>
    <w:rsid w:val="0042302F"/>
    <w:rsid w:val="004244F8"/>
    <w:rsid w:val="00426459"/>
    <w:rsid w:val="00426FF7"/>
    <w:rsid w:val="004271D5"/>
    <w:rsid w:val="004278EF"/>
    <w:rsid w:val="004311F1"/>
    <w:rsid w:val="004335B3"/>
    <w:rsid w:val="00434129"/>
    <w:rsid w:val="00434B8D"/>
    <w:rsid w:val="00434C55"/>
    <w:rsid w:val="00434C5E"/>
    <w:rsid w:val="0044181D"/>
    <w:rsid w:val="00441951"/>
    <w:rsid w:val="0044239F"/>
    <w:rsid w:val="004428CD"/>
    <w:rsid w:val="00442BA2"/>
    <w:rsid w:val="00442DF9"/>
    <w:rsid w:val="00443D24"/>
    <w:rsid w:val="004457FC"/>
    <w:rsid w:val="0044595D"/>
    <w:rsid w:val="00450485"/>
    <w:rsid w:val="00450FE7"/>
    <w:rsid w:val="00451E96"/>
    <w:rsid w:val="00451F0C"/>
    <w:rsid w:val="00453843"/>
    <w:rsid w:val="00454079"/>
    <w:rsid w:val="00454707"/>
    <w:rsid w:val="00457945"/>
    <w:rsid w:val="00460560"/>
    <w:rsid w:val="00462A07"/>
    <w:rsid w:val="00462B50"/>
    <w:rsid w:val="004630FC"/>
    <w:rsid w:val="0046366B"/>
    <w:rsid w:val="004672AC"/>
    <w:rsid w:val="0046738E"/>
    <w:rsid w:val="00472EEE"/>
    <w:rsid w:val="004745AF"/>
    <w:rsid w:val="0047488C"/>
    <w:rsid w:val="00475C6C"/>
    <w:rsid w:val="00476A0E"/>
    <w:rsid w:val="00477339"/>
    <w:rsid w:val="0048057A"/>
    <w:rsid w:val="00480901"/>
    <w:rsid w:val="004822B2"/>
    <w:rsid w:val="0048477E"/>
    <w:rsid w:val="004854CE"/>
    <w:rsid w:val="004856E5"/>
    <w:rsid w:val="00485778"/>
    <w:rsid w:val="0048586E"/>
    <w:rsid w:val="00485FF1"/>
    <w:rsid w:val="00487525"/>
    <w:rsid w:val="004878A8"/>
    <w:rsid w:val="00487DF2"/>
    <w:rsid w:val="00490701"/>
    <w:rsid w:val="00490F02"/>
    <w:rsid w:val="00491CB4"/>
    <w:rsid w:val="0049299E"/>
    <w:rsid w:val="00492FE3"/>
    <w:rsid w:val="00493A24"/>
    <w:rsid w:val="00494683"/>
    <w:rsid w:val="00494A1B"/>
    <w:rsid w:val="00494A2A"/>
    <w:rsid w:val="00494D27"/>
    <w:rsid w:val="00495811"/>
    <w:rsid w:val="00495B69"/>
    <w:rsid w:val="00496F6B"/>
    <w:rsid w:val="00497A14"/>
    <w:rsid w:val="004A020D"/>
    <w:rsid w:val="004A3C50"/>
    <w:rsid w:val="004A4571"/>
    <w:rsid w:val="004A76DF"/>
    <w:rsid w:val="004B0C9A"/>
    <w:rsid w:val="004B1EA1"/>
    <w:rsid w:val="004B2A3B"/>
    <w:rsid w:val="004B4208"/>
    <w:rsid w:val="004B4E29"/>
    <w:rsid w:val="004B6892"/>
    <w:rsid w:val="004B6ABA"/>
    <w:rsid w:val="004C1D7A"/>
    <w:rsid w:val="004C26E8"/>
    <w:rsid w:val="004C3F74"/>
    <w:rsid w:val="004C4A66"/>
    <w:rsid w:val="004C5E45"/>
    <w:rsid w:val="004D006F"/>
    <w:rsid w:val="004D1831"/>
    <w:rsid w:val="004D240E"/>
    <w:rsid w:val="004D38EC"/>
    <w:rsid w:val="004D5AA0"/>
    <w:rsid w:val="004D5DBB"/>
    <w:rsid w:val="004D6536"/>
    <w:rsid w:val="004D6ECA"/>
    <w:rsid w:val="004E25A1"/>
    <w:rsid w:val="004E39C1"/>
    <w:rsid w:val="004E3CF3"/>
    <w:rsid w:val="004E42A0"/>
    <w:rsid w:val="004E45A9"/>
    <w:rsid w:val="004E4EF9"/>
    <w:rsid w:val="004E61C5"/>
    <w:rsid w:val="004E648C"/>
    <w:rsid w:val="004E676E"/>
    <w:rsid w:val="004F10F9"/>
    <w:rsid w:val="004F29B3"/>
    <w:rsid w:val="004F2DF1"/>
    <w:rsid w:val="004F60DA"/>
    <w:rsid w:val="004F6F0C"/>
    <w:rsid w:val="00500972"/>
    <w:rsid w:val="00500D2A"/>
    <w:rsid w:val="00502568"/>
    <w:rsid w:val="005025CB"/>
    <w:rsid w:val="00502AEC"/>
    <w:rsid w:val="005048BA"/>
    <w:rsid w:val="005053DC"/>
    <w:rsid w:val="00507984"/>
    <w:rsid w:val="00507CFE"/>
    <w:rsid w:val="00507F05"/>
    <w:rsid w:val="00510BC9"/>
    <w:rsid w:val="00511803"/>
    <w:rsid w:val="005128D1"/>
    <w:rsid w:val="005143DE"/>
    <w:rsid w:val="005150E9"/>
    <w:rsid w:val="00515578"/>
    <w:rsid w:val="005175F7"/>
    <w:rsid w:val="00517CC7"/>
    <w:rsid w:val="005207CD"/>
    <w:rsid w:val="005210B5"/>
    <w:rsid w:val="00521367"/>
    <w:rsid w:val="00522D93"/>
    <w:rsid w:val="0052320A"/>
    <w:rsid w:val="00523A47"/>
    <w:rsid w:val="00524349"/>
    <w:rsid w:val="00524BED"/>
    <w:rsid w:val="005263ED"/>
    <w:rsid w:val="00526EFC"/>
    <w:rsid w:val="00526FA2"/>
    <w:rsid w:val="00527395"/>
    <w:rsid w:val="005329B7"/>
    <w:rsid w:val="00532F2A"/>
    <w:rsid w:val="00533CB7"/>
    <w:rsid w:val="005344C5"/>
    <w:rsid w:val="00534B1E"/>
    <w:rsid w:val="0053522E"/>
    <w:rsid w:val="00535C34"/>
    <w:rsid w:val="00536533"/>
    <w:rsid w:val="005373EA"/>
    <w:rsid w:val="00540425"/>
    <w:rsid w:val="00540B1A"/>
    <w:rsid w:val="00540D48"/>
    <w:rsid w:val="00541164"/>
    <w:rsid w:val="00541D71"/>
    <w:rsid w:val="0054209F"/>
    <w:rsid w:val="00544234"/>
    <w:rsid w:val="0054655C"/>
    <w:rsid w:val="0054779A"/>
    <w:rsid w:val="0054797C"/>
    <w:rsid w:val="00547B6B"/>
    <w:rsid w:val="00550B5E"/>
    <w:rsid w:val="00552A7D"/>
    <w:rsid w:val="00552C6D"/>
    <w:rsid w:val="00552CBD"/>
    <w:rsid w:val="00553D14"/>
    <w:rsid w:val="005543B6"/>
    <w:rsid w:val="00555D98"/>
    <w:rsid w:val="0055625D"/>
    <w:rsid w:val="00560FE9"/>
    <w:rsid w:val="00562366"/>
    <w:rsid w:val="0056239C"/>
    <w:rsid w:val="00563231"/>
    <w:rsid w:val="00565157"/>
    <w:rsid w:val="0056628D"/>
    <w:rsid w:val="00566295"/>
    <w:rsid w:val="00567E25"/>
    <w:rsid w:val="005703E0"/>
    <w:rsid w:val="00570E3B"/>
    <w:rsid w:val="00570ECA"/>
    <w:rsid w:val="00571C2B"/>
    <w:rsid w:val="00572AB5"/>
    <w:rsid w:val="005741B2"/>
    <w:rsid w:val="0057477E"/>
    <w:rsid w:val="00574D60"/>
    <w:rsid w:val="00576D05"/>
    <w:rsid w:val="005778CA"/>
    <w:rsid w:val="005778D6"/>
    <w:rsid w:val="005808AA"/>
    <w:rsid w:val="00583EB5"/>
    <w:rsid w:val="005841C2"/>
    <w:rsid w:val="00585047"/>
    <w:rsid w:val="00587508"/>
    <w:rsid w:val="00587A62"/>
    <w:rsid w:val="00587FB5"/>
    <w:rsid w:val="00590D26"/>
    <w:rsid w:val="005916CF"/>
    <w:rsid w:val="005919D6"/>
    <w:rsid w:val="005946D9"/>
    <w:rsid w:val="005949BF"/>
    <w:rsid w:val="00594DEE"/>
    <w:rsid w:val="005954B5"/>
    <w:rsid w:val="0059560B"/>
    <w:rsid w:val="005958DE"/>
    <w:rsid w:val="00595C2E"/>
    <w:rsid w:val="005A0005"/>
    <w:rsid w:val="005A0C14"/>
    <w:rsid w:val="005A0FFF"/>
    <w:rsid w:val="005A1BB0"/>
    <w:rsid w:val="005A2BA8"/>
    <w:rsid w:val="005A57BE"/>
    <w:rsid w:val="005A63D9"/>
    <w:rsid w:val="005B138D"/>
    <w:rsid w:val="005B1BFE"/>
    <w:rsid w:val="005B1CAC"/>
    <w:rsid w:val="005B1E95"/>
    <w:rsid w:val="005B2A68"/>
    <w:rsid w:val="005B3A7C"/>
    <w:rsid w:val="005B6A8C"/>
    <w:rsid w:val="005C194E"/>
    <w:rsid w:val="005C2EFC"/>
    <w:rsid w:val="005C5697"/>
    <w:rsid w:val="005C6FAF"/>
    <w:rsid w:val="005D0B69"/>
    <w:rsid w:val="005D1109"/>
    <w:rsid w:val="005D1F27"/>
    <w:rsid w:val="005D253F"/>
    <w:rsid w:val="005D280A"/>
    <w:rsid w:val="005D2BAD"/>
    <w:rsid w:val="005D3619"/>
    <w:rsid w:val="005D3C7A"/>
    <w:rsid w:val="005D3DC3"/>
    <w:rsid w:val="005D5BA0"/>
    <w:rsid w:val="005D6FDE"/>
    <w:rsid w:val="005D7386"/>
    <w:rsid w:val="005E102F"/>
    <w:rsid w:val="005E1266"/>
    <w:rsid w:val="005E2A4D"/>
    <w:rsid w:val="005E6214"/>
    <w:rsid w:val="005E6FAC"/>
    <w:rsid w:val="005E750C"/>
    <w:rsid w:val="005E7E69"/>
    <w:rsid w:val="005F078E"/>
    <w:rsid w:val="005F4C28"/>
    <w:rsid w:val="005F56CD"/>
    <w:rsid w:val="0060127D"/>
    <w:rsid w:val="006050ED"/>
    <w:rsid w:val="0061075F"/>
    <w:rsid w:val="0061183B"/>
    <w:rsid w:val="00612A0B"/>
    <w:rsid w:val="00612C2F"/>
    <w:rsid w:val="00612DDC"/>
    <w:rsid w:val="00613364"/>
    <w:rsid w:val="006136C3"/>
    <w:rsid w:val="00613C39"/>
    <w:rsid w:val="006140DC"/>
    <w:rsid w:val="0061449B"/>
    <w:rsid w:val="006144DC"/>
    <w:rsid w:val="00614C91"/>
    <w:rsid w:val="006166FB"/>
    <w:rsid w:val="00616AEB"/>
    <w:rsid w:val="00616D2C"/>
    <w:rsid w:val="0061743A"/>
    <w:rsid w:val="00617A87"/>
    <w:rsid w:val="00617B1B"/>
    <w:rsid w:val="0062014C"/>
    <w:rsid w:val="006205EE"/>
    <w:rsid w:val="00620D47"/>
    <w:rsid w:val="00622354"/>
    <w:rsid w:val="006230B2"/>
    <w:rsid w:val="006301AB"/>
    <w:rsid w:val="00632EF3"/>
    <w:rsid w:val="00633F39"/>
    <w:rsid w:val="00636CF6"/>
    <w:rsid w:val="00640C95"/>
    <w:rsid w:val="006418CA"/>
    <w:rsid w:val="00643254"/>
    <w:rsid w:val="00645F4D"/>
    <w:rsid w:val="00646A3C"/>
    <w:rsid w:val="00646D32"/>
    <w:rsid w:val="00647114"/>
    <w:rsid w:val="00651538"/>
    <w:rsid w:val="0065296B"/>
    <w:rsid w:val="00653B88"/>
    <w:rsid w:val="00655268"/>
    <w:rsid w:val="00662717"/>
    <w:rsid w:val="00662DC4"/>
    <w:rsid w:val="006643B4"/>
    <w:rsid w:val="0066734B"/>
    <w:rsid w:val="00667709"/>
    <w:rsid w:val="006702E0"/>
    <w:rsid w:val="006707EE"/>
    <w:rsid w:val="0067095B"/>
    <w:rsid w:val="00672755"/>
    <w:rsid w:val="00674DD9"/>
    <w:rsid w:val="00681E6F"/>
    <w:rsid w:val="00682A3B"/>
    <w:rsid w:val="00684A2F"/>
    <w:rsid w:val="00684A8B"/>
    <w:rsid w:val="00684EEB"/>
    <w:rsid w:val="00685C3F"/>
    <w:rsid w:val="00691FA0"/>
    <w:rsid w:val="0069290F"/>
    <w:rsid w:val="00692F3A"/>
    <w:rsid w:val="006942D5"/>
    <w:rsid w:val="00694D89"/>
    <w:rsid w:val="00695A89"/>
    <w:rsid w:val="006A5665"/>
    <w:rsid w:val="006B0431"/>
    <w:rsid w:val="006B1674"/>
    <w:rsid w:val="006B1ECD"/>
    <w:rsid w:val="006B4F40"/>
    <w:rsid w:val="006B557B"/>
    <w:rsid w:val="006B5B22"/>
    <w:rsid w:val="006B5E2D"/>
    <w:rsid w:val="006C06A6"/>
    <w:rsid w:val="006C1249"/>
    <w:rsid w:val="006C1FEA"/>
    <w:rsid w:val="006C2B41"/>
    <w:rsid w:val="006C514A"/>
    <w:rsid w:val="006C53E7"/>
    <w:rsid w:val="006C5A61"/>
    <w:rsid w:val="006C6B57"/>
    <w:rsid w:val="006C6B5F"/>
    <w:rsid w:val="006C7E88"/>
    <w:rsid w:val="006D2F8B"/>
    <w:rsid w:val="006D3487"/>
    <w:rsid w:val="006D5684"/>
    <w:rsid w:val="006D6B3D"/>
    <w:rsid w:val="006D74D9"/>
    <w:rsid w:val="006E0D1E"/>
    <w:rsid w:val="006E15FA"/>
    <w:rsid w:val="006E26D7"/>
    <w:rsid w:val="006E3421"/>
    <w:rsid w:val="006E3722"/>
    <w:rsid w:val="006E3A8A"/>
    <w:rsid w:val="006E43C8"/>
    <w:rsid w:val="006E4D60"/>
    <w:rsid w:val="006E5075"/>
    <w:rsid w:val="006E64A4"/>
    <w:rsid w:val="006E7153"/>
    <w:rsid w:val="006E7505"/>
    <w:rsid w:val="006E7955"/>
    <w:rsid w:val="006F358A"/>
    <w:rsid w:val="006F409C"/>
    <w:rsid w:val="006F4E44"/>
    <w:rsid w:val="006F5EDE"/>
    <w:rsid w:val="006F64D9"/>
    <w:rsid w:val="00702823"/>
    <w:rsid w:val="007038F9"/>
    <w:rsid w:val="007041EA"/>
    <w:rsid w:val="00705FDB"/>
    <w:rsid w:val="00706951"/>
    <w:rsid w:val="00706BAF"/>
    <w:rsid w:val="00710AF9"/>
    <w:rsid w:val="00711E47"/>
    <w:rsid w:val="00712163"/>
    <w:rsid w:val="00712B4F"/>
    <w:rsid w:val="007134D5"/>
    <w:rsid w:val="00715F2E"/>
    <w:rsid w:val="00720678"/>
    <w:rsid w:val="00721064"/>
    <w:rsid w:val="0072215A"/>
    <w:rsid w:val="007221E9"/>
    <w:rsid w:val="00722DE4"/>
    <w:rsid w:val="00722E0A"/>
    <w:rsid w:val="007244DF"/>
    <w:rsid w:val="00725E53"/>
    <w:rsid w:val="00726521"/>
    <w:rsid w:val="00727FC7"/>
    <w:rsid w:val="007303F2"/>
    <w:rsid w:val="00732290"/>
    <w:rsid w:val="00732B92"/>
    <w:rsid w:val="0073588D"/>
    <w:rsid w:val="00735F77"/>
    <w:rsid w:val="0073689D"/>
    <w:rsid w:val="007421A8"/>
    <w:rsid w:val="007428E2"/>
    <w:rsid w:val="00743255"/>
    <w:rsid w:val="0074475B"/>
    <w:rsid w:val="007461CC"/>
    <w:rsid w:val="00746F01"/>
    <w:rsid w:val="007501BA"/>
    <w:rsid w:val="007501E7"/>
    <w:rsid w:val="007503E6"/>
    <w:rsid w:val="00750571"/>
    <w:rsid w:val="00750C20"/>
    <w:rsid w:val="0075115D"/>
    <w:rsid w:val="007519D9"/>
    <w:rsid w:val="00753DB7"/>
    <w:rsid w:val="0075447F"/>
    <w:rsid w:val="007557A3"/>
    <w:rsid w:val="0075643B"/>
    <w:rsid w:val="00765BE4"/>
    <w:rsid w:val="00766700"/>
    <w:rsid w:val="007705B7"/>
    <w:rsid w:val="007719C0"/>
    <w:rsid w:val="0077212D"/>
    <w:rsid w:val="00772E9F"/>
    <w:rsid w:val="00772F6E"/>
    <w:rsid w:val="007738BB"/>
    <w:rsid w:val="00773D49"/>
    <w:rsid w:val="0077436E"/>
    <w:rsid w:val="00774C7F"/>
    <w:rsid w:val="00775B13"/>
    <w:rsid w:val="00775E68"/>
    <w:rsid w:val="0078097C"/>
    <w:rsid w:val="0078212F"/>
    <w:rsid w:val="007823F5"/>
    <w:rsid w:val="00783BA7"/>
    <w:rsid w:val="007860C3"/>
    <w:rsid w:val="0078613E"/>
    <w:rsid w:val="007876DC"/>
    <w:rsid w:val="007878E6"/>
    <w:rsid w:val="00787E8E"/>
    <w:rsid w:val="00790008"/>
    <w:rsid w:val="00790428"/>
    <w:rsid w:val="00790B28"/>
    <w:rsid w:val="007914B6"/>
    <w:rsid w:val="007918B9"/>
    <w:rsid w:val="00792CFC"/>
    <w:rsid w:val="007932DD"/>
    <w:rsid w:val="00793790"/>
    <w:rsid w:val="007941EE"/>
    <w:rsid w:val="0079562A"/>
    <w:rsid w:val="00795D24"/>
    <w:rsid w:val="00797C75"/>
    <w:rsid w:val="007A06F4"/>
    <w:rsid w:val="007A0B81"/>
    <w:rsid w:val="007A140C"/>
    <w:rsid w:val="007A2096"/>
    <w:rsid w:val="007A2BBB"/>
    <w:rsid w:val="007A4396"/>
    <w:rsid w:val="007A46F7"/>
    <w:rsid w:val="007A531D"/>
    <w:rsid w:val="007A552F"/>
    <w:rsid w:val="007A56F1"/>
    <w:rsid w:val="007A5D93"/>
    <w:rsid w:val="007A6892"/>
    <w:rsid w:val="007A7373"/>
    <w:rsid w:val="007B39EE"/>
    <w:rsid w:val="007B49E9"/>
    <w:rsid w:val="007B502D"/>
    <w:rsid w:val="007B5985"/>
    <w:rsid w:val="007B66E1"/>
    <w:rsid w:val="007B7DE5"/>
    <w:rsid w:val="007B7F0B"/>
    <w:rsid w:val="007C0A79"/>
    <w:rsid w:val="007C174C"/>
    <w:rsid w:val="007C2843"/>
    <w:rsid w:val="007C28F2"/>
    <w:rsid w:val="007C4289"/>
    <w:rsid w:val="007C57BE"/>
    <w:rsid w:val="007C5CFF"/>
    <w:rsid w:val="007C5D52"/>
    <w:rsid w:val="007D3A7C"/>
    <w:rsid w:val="007D5121"/>
    <w:rsid w:val="007D7846"/>
    <w:rsid w:val="007E159E"/>
    <w:rsid w:val="007E17C1"/>
    <w:rsid w:val="007E2CA4"/>
    <w:rsid w:val="007E3AF7"/>
    <w:rsid w:val="007E7C7D"/>
    <w:rsid w:val="007E7D83"/>
    <w:rsid w:val="007F09ED"/>
    <w:rsid w:val="007F21E9"/>
    <w:rsid w:val="007F3150"/>
    <w:rsid w:val="007F3AB6"/>
    <w:rsid w:val="007F3E89"/>
    <w:rsid w:val="007F3EE1"/>
    <w:rsid w:val="007F40F1"/>
    <w:rsid w:val="008001A1"/>
    <w:rsid w:val="00800609"/>
    <w:rsid w:val="00802055"/>
    <w:rsid w:val="00803077"/>
    <w:rsid w:val="00804232"/>
    <w:rsid w:val="0080452E"/>
    <w:rsid w:val="0080564F"/>
    <w:rsid w:val="00805A27"/>
    <w:rsid w:val="00807E85"/>
    <w:rsid w:val="00810A9B"/>
    <w:rsid w:val="008114B4"/>
    <w:rsid w:val="00812D9B"/>
    <w:rsid w:val="00815BC4"/>
    <w:rsid w:val="00817C8C"/>
    <w:rsid w:val="00820549"/>
    <w:rsid w:val="00820753"/>
    <w:rsid w:val="00820FF9"/>
    <w:rsid w:val="00822936"/>
    <w:rsid w:val="00822FA4"/>
    <w:rsid w:val="008232A9"/>
    <w:rsid w:val="0082352A"/>
    <w:rsid w:val="00824CC1"/>
    <w:rsid w:val="00825533"/>
    <w:rsid w:val="008274E1"/>
    <w:rsid w:val="00830072"/>
    <w:rsid w:val="008302FC"/>
    <w:rsid w:val="00830397"/>
    <w:rsid w:val="00830E60"/>
    <w:rsid w:val="00832496"/>
    <w:rsid w:val="008329D0"/>
    <w:rsid w:val="00832D79"/>
    <w:rsid w:val="00833517"/>
    <w:rsid w:val="008349DF"/>
    <w:rsid w:val="00835170"/>
    <w:rsid w:val="00835C7F"/>
    <w:rsid w:val="00835D14"/>
    <w:rsid w:val="00836A0D"/>
    <w:rsid w:val="00837A16"/>
    <w:rsid w:val="00840064"/>
    <w:rsid w:val="008419E1"/>
    <w:rsid w:val="008427E5"/>
    <w:rsid w:val="00842DBA"/>
    <w:rsid w:val="00843289"/>
    <w:rsid w:val="00845550"/>
    <w:rsid w:val="00850F10"/>
    <w:rsid w:val="008513AA"/>
    <w:rsid w:val="008532B3"/>
    <w:rsid w:val="0085643A"/>
    <w:rsid w:val="008569EC"/>
    <w:rsid w:val="00857F51"/>
    <w:rsid w:val="008606F5"/>
    <w:rsid w:val="0086082C"/>
    <w:rsid w:val="0086195B"/>
    <w:rsid w:val="00862D53"/>
    <w:rsid w:val="00864CB8"/>
    <w:rsid w:val="00865806"/>
    <w:rsid w:val="00865B08"/>
    <w:rsid w:val="0086750F"/>
    <w:rsid w:val="00867888"/>
    <w:rsid w:val="00870D73"/>
    <w:rsid w:val="008714C9"/>
    <w:rsid w:val="008724B4"/>
    <w:rsid w:val="008730DD"/>
    <w:rsid w:val="008736D1"/>
    <w:rsid w:val="00875AE5"/>
    <w:rsid w:val="00875E2A"/>
    <w:rsid w:val="00876038"/>
    <w:rsid w:val="00877155"/>
    <w:rsid w:val="00880753"/>
    <w:rsid w:val="0088098A"/>
    <w:rsid w:val="00881B91"/>
    <w:rsid w:val="00881C2F"/>
    <w:rsid w:val="008844FF"/>
    <w:rsid w:val="00884D4E"/>
    <w:rsid w:val="0088520B"/>
    <w:rsid w:val="008856DB"/>
    <w:rsid w:val="0088586D"/>
    <w:rsid w:val="00885CDB"/>
    <w:rsid w:val="00891EBC"/>
    <w:rsid w:val="00892719"/>
    <w:rsid w:val="00892C6F"/>
    <w:rsid w:val="00892D34"/>
    <w:rsid w:val="00893247"/>
    <w:rsid w:val="008933F5"/>
    <w:rsid w:val="00895212"/>
    <w:rsid w:val="00896C48"/>
    <w:rsid w:val="00897DFD"/>
    <w:rsid w:val="008A0422"/>
    <w:rsid w:val="008A153C"/>
    <w:rsid w:val="008A16BC"/>
    <w:rsid w:val="008A34CE"/>
    <w:rsid w:val="008A3710"/>
    <w:rsid w:val="008A4318"/>
    <w:rsid w:val="008A4FDB"/>
    <w:rsid w:val="008A63DA"/>
    <w:rsid w:val="008A682C"/>
    <w:rsid w:val="008A6964"/>
    <w:rsid w:val="008A6A34"/>
    <w:rsid w:val="008A71A9"/>
    <w:rsid w:val="008B00EA"/>
    <w:rsid w:val="008B02E6"/>
    <w:rsid w:val="008B0BB3"/>
    <w:rsid w:val="008B1296"/>
    <w:rsid w:val="008B3A41"/>
    <w:rsid w:val="008B3C99"/>
    <w:rsid w:val="008B7A99"/>
    <w:rsid w:val="008B7DA1"/>
    <w:rsid w:val="008C0354"/>
    <w:rsid w:val="008C18C0"/>
    <w:rsid w:val="008C1A30"/>
    <w:rsid w:val="008C22E5"/>
    <w:rsid w:val="008C2F37"/>
    <w:rsid w:val="008C3515"/>
    <w:rsid w:val="008C5FAF"/>
    <w:rsid w:val="008C6398"/>
    <w:rsid w:val="008D0BA5"/>
    <w:rsid w:val="008D485B"/>
    <w:rsid w:val="008D5951"/>
    <w:rsid w:val="008D6CC3"/>
    <w:rsid w:val="008D6F42"/>
    <w:rsid w:val="008D7660"/>
    <w:rsid w:val="008D7F24"/>
    <w:rsid w:val="008E0AC7"/>
    <w:rsid w:val="008E2863"/>
    <w:rsid w:val="008E2A69"/>
    <w:rsid w:val="008E3AAD"/>
    <w:rsid w:val="008E467B"/>
    <w:rsid w:val="008E60AB"/>
    <w:rsid w:val="008E670E"/>
    <w:rsid w:val="008E708C"/>
    <w:rsid w:val="008F161A"/>
    <w:rsid w:val="008F30D4"/>
    <w:rsid w:val="008F4762"/>
    <w:rsid w:val="008F4D9F"/>
    <w:rsid w:val="008F4F30"/>
    <w:rsid w:val="008F5AC7"/>
    <w:rsid w:val="008F5E40"/>
    <w:rsid w:val="008F7BB3"/>
    <w:rsid w:val="009001C8"/>
    <w:rsid w:val="00901E99"/>
    <w:rsid w:val="0090311B"/>
    <w:rsid w:val="00904307"/>
    <w:rsid w:val="00906A68"/>
    <w:rsid w:val="00913627"/>
    <w:rsid w:val="00913A8C"/>
    <w:rsid w:val="0091510C"/>
    <w:rsid w:val="00915985"/>
    <w:rsid w:val="0091606D"/>
    <w:rsid w:val="0091622E"/>
    <w:rsid w:val="00916EE7"/>
    <w:rsid w:val="00920578"/>
    <w:rsid w:val="00920D92"/>
    <w:rsid w:val="00921205"/>
    <w:rsid w:val="00922537"/>
    <w:rsid w:val="009272D0"/>
    <w:rsid w:val="00927395"/>
    <w:rsid w:val="00927549"/>
    <w:rsid w:val="00927AB0"/>
    <w:rsid w:val="00931E20"/>
    <w:rsid w:val="00931ED0"/>
    <w:rsid w:val="0093230F"/>
    <w:rsid w:val="00932C6C"/>
    <w:rsid w:val="009338D4"/>
    <w:rsid w:val="00934417"/>
    <w:rsid w:val="009421A2"/>
    <w:rsid w:val="0094373A"/>
    <w:rsid w:val="00943C1F"/>
    <w:rsid w:val="00945612"/>
    <w:rsid w:val="00945681"/>
    <w:rsid w:val="00947637"/>
    <w:rsid w:val="00947C10"/>
    <w:rsid w:val="0095368E"/>
    <w:rsid w:val="009542F8"/>
    <w:rsid w:val="009553C5"/>
    <w:rsid w:val="00955A82"/>
    <w:rsid w:val="009569D4"/>
    <w:rsid w:val="0095738B"/>
    <w:rsid w:val="0095750D"/>
    <w:rsid w:val="00957E3A"/>
    <w:rsid w:val="00960A8F"/>
    <w:rsid w:val="00960EC1"/>
    <w:rsid w:val="00961A54"/>
    <w:rsid w:val="00962C46"/>
    <w:rsid w:val="009635A1"/>
    <w:rsid w:val="009651A3"/>
    <w:rsid w:val="009658BD"/>
    <w:rsid w:val="009675F6"/>
    <w:rsid w:val="00972FCD"/>
    <w:rsid w:val="009730AA"/>
    <w:rsid w:val="00973A19"/>
    <w:rsid w:val="009741F9"/>
    <w:rsid w:val="00975366"/>
    <w:rsid w:val="00975875"/>
    <w:rsid w:val="00975E12"/>
    <w:rsid w:val="00975ED9"/>
    <w:rsid w:val="00976285"/>
    <w:rsid w:val="00976E93"/>
    <w:rsid w:val="00977191"/>
    <w:rsid w:val="009807B2"/>
    <w:rsid w:val="00982300"/>
    <w:rsid w:val="009849B2"/>
    <w:rsid w:val="00985F9F"/>
    <w:rsid w:val="00987753"/>
    <w:rsid w:val="0098787A"/>
    <w:rsid w:val="0099121F"/>
    <w:rsid w:val="00991BE9"/>
    <w:rsid w:val="00992C2A"/>
    <w:rsid w:val="009942E4"/>
    <w:rsid w:val="0099480A"/>
    <w:rsid w:val="00997D4F"/>
    <w:rsid w:val="009A27BB"/>
    <w:rsid w:val="009A3866"/>
    <w:rsid w:val="009A4961"/>
    <w:rsid w:val="009A5B71"/>
    <w:rsid w:val="009A635B"/>
    <w:rsid w:val="009A6C56"/>
    <w:rsid w:val="009A705F"/>
    <w:rsid w:val="009B1E9C"/>
    <w:rsid w:val="009B2400"/>
    <w:rsid w:val="009B577B"/>
    <w:rsid w:val="009B6227"/>
    <w:rsid w:val="009C12B0"/>
    <w:rsid w:val="009C3A15"/>
    <w:rsid w:val="009C6865"/>
    <w:rsid w:val="009C6B43"/>
    <w:rsid w:val="009D1515"/>
    <w:rsid w:val="009D2B26"/>
    <w:rsid w:val="009D397E"/>
    <w:rsid w:val="009D4737"/>
    <w:rsid w:val="009D5D54"/>
    <w:rsid w:val="009E0431"/>
    <w:rsid w:val="009E0C22"/>
    <w:rsid w:val="009E139A"/>
    <w:rsid w:val="009E26A1"/>
    <w:rsid w:val="009E421C"/>
    <w:rsid w:val="009E79CF"/>
    <w:rsid w:val="009E7CEF"/>
    <w:rsid w:val="009F14C1"/>
    <w:rsid w:val="009F337C"/>
    <w:rsid w:val="009F38BD"/>
    <w:rsid w:val="009F3F83"/>
    <w:rsid w:val="009F43B4"/>
    <w:rsid w:val="009F4BF6"/>
    <w:rsid w:val="009F596B"/>
    <w:rsid w:val="009F5CB8"/>
    <w:rsid w:val="009F5F1C"/>
    <w:rsid w:val="009F7A94"/>
    <w:rsid w:val="00A008A8"/>
    <w:rsid w:val="00A01560"/>
    <w:rsid w:val="00A01980"/>
    <w:rsid w:val="00A03081"/>
    <w:rsid w:val="00A03C72"/>
    <w:rsid w:val="00A0439E"/>
    <w:rsid w:val="00A06261"/>
    <w:rsid w:val="00A125E6"/>
    <w:rsid w:val="00A12AD8"/>
    <w:rsid w:val="00A13BC8"/>
    <w:rsid w:val="00A1423D"/>
    <w:rsid w:val="00A16010"/>
    <w:rsid w:val="00A17735"/>
    <w:rsid w:val="00A2076B"/>
    <w:rsid w:val="00A20D6C"/>
    <w:rsid w:val="00A220E4"/>
    <w:rsid w:val="00A2211F"/>
    <w:rsid w:val="00A22A38"/>
    <w:rsid w:val="00A22E6B"/>
    <w:rsid w:val="00A23E96"/>
    <w:rsid w:val="00A24A47"/>
    <w:rsid w:val="00A25B31"/>
    <w:rsid w:val="00A26CFE"/>
    <w:rsid w:val="00A273DF"/>
    <w:rsid w:val="00A30E31"/>
    <w:rsid w:val="00A329B8"/>
    <w:rsid w:val="00A34DF1"/>
    <w:rsid w:val="00A366B7"/>
    <w:rsid w:val="00A36CE4"/>
    <w:rsid w:val="00A36D20"/>
    <w:rsid w:val="00A40295"/>
    <w:rsid w:val="00A40F4A"/>
    <w:rsid w:val="00A410FF"/>
    <w:rsid w:val="00A420DD"/>
    <w:rsid w:val="00A4408C"/>
    <w:rsid w:val="00A44282"/>
    <w:rsid w:val="00A459A3"/>
    <w:rsid w:val="00A45FFA"/>
    <w:rsid w:val="00A472D9"/>
    <w:rsid w:val="00A47743"/>
    <w:rsid w:val="00A524EB"/>
    <w:rsid w:val="00A54065"/>
    <w:rsid w:val="00A55904"/>
    <w:rsid w:val="00A55C56"/>
    <w:rsid w:val="00A55D91"/>
    <w:rsid w:val="00A55DAF"/>
    <w:rsid w:val="00A56181"/>
    <w:rsid w:val="00A561FD"/>
    <w:rsid w:val="00A60D10"/>
    <w:rsid w:val="00A62012"/>
    <w:rsid w:val="00A629E9"/>
    <w:rsid w:val="00A62DFA"/>
    <w:rsid w:val="00A63AEE"/>
    <w:rsid w:val="00A641AF"/>
    <w:rsid w:val="00A656C3"/>
    <w:rsid w:val="00A65991"/>
    <w:rsid w:val="00A73595"/>
    <w:rsid w:val="00A741D3"/>
    <w:rsid w:val="00A762F8"/>
    <w:rsid w:val="00A76DBB"/>
    <w:rsid w:val="00A76E04"/>
    <w:rsid w:val="00A80472"/>
    <w:rsid w:val="00A818D5"/>
    <w:rsid w:val="00A81C78"/>
    <w:rsid w:val="00A820FB"/>
    <w:rsid w:val="00A82666"/>
    <w:rsid w:val="00A82EE0"/>
    <w:rsid w:val="00A869CF"/>
    <w:rsid w:val="00A87AC8"/>
    <w:rsid w:val="00A9048F"/>
    <w:rsid w:val="00A9265C"/>
    <w:rsid w:val="00A9511E"/>
    <w:rsid w:val="00A9748B"/>
    <w:rsid w:val="00A97737"/>
    <w:rsid w:val="00AA3125"/>
    <w:rsid w:val="00AA42F3"/>
    <w:rsid w:val="00AA54E0"/>
    <w:rsid w:val="00AA7E9B"/>
    <w:rsid w:val="00AB3D1B"/>
    <w:rsid w:val="00AB3F0C"/>
    <w:rsid w:val="00AB4538"/>
    <w:rsid w:val="00AB4C1C"/>
    <w:rsid w:val="00AB53D1"/>
    <w:rsid w:val="00AB5D3F"/>
    <w:rsid w:val="00AB60B6"/>
    <w:rsid w:val="00AC1807"/>
    <w:rsid w:val="00AC36C6"/>
    <w:rsid w:val="00AC485E"/>
    <w:rsid w:val="00AC5186"/>
    <w:rsid w:val="00AC7083"/>
    <w:rsid w:val="00AD0A14"/>
    <w:rsid w:val="00AD0FC8"/>
    <w:rsid w:val="00AD2DF6"/>
    <w:rsid w:val="00AD30F7"/>
    <w:rsid w:val="00AD33EE"/>
    <w:rsid w:val="00AD61A8"/>
    <w:rsid w:val="00AD62CE"/>
    <w:rsid w:val="00AD6533"/>
    <w:rsid w:val="00AD6683"/>
    <w:rsid w:val="00AD66C8"/>
    <w:rsid w:val="00AD788B"/>
    <w:rsid w:val="00AE0078"/>
    <w:rsid w:val="00AE3A0A"/>
    <w:rsid w:val="00AE46B3"/>
    <w:rsid w:val="00AE5078"/>
    <w:rsid w:val="00AE535C"/>
    <w:rsid w:val="00AE787D"/>
    <w:rsid w:val="00AF04FB"/>
    <w:rsid w:val="00AF23D5"/>
    <w:rsid w:val="00AF3ADA"/>
    <w:rsid w:val="00AF41A6"/>
    <w:rsid w:val="00AF50A0"/>
    <w:rsid w:val="00AF6F45"/>
    <w:rsid w:val="00AF7778"/>
    <w:rsid w:val="00B014B0"/>
    <w:rsid w:val="00B017A0"/>
    <w:rsid w:val="00B03FE9"/>
    <w:rsid w:val="00B044DC"/>
    <w:rsid w:val="00B05270"/>
    <w:rsid w:val="00B0575A"/>
    <w:rsid w:val="00B07101"/>
    <w:rsid w:val="00B0753F"/>
    <w:rsid w:val="00B1042C"/>
    <w:rsid w:val="00B10751"/>
    <w:rsid w:val="00B10CE4"/>
    <w:rsid w:val="00B13171"/>
    <w:rsid w:val="00B13229"/>
    <w:rsid w:val="00B160D5"/>
    <w:rsid w:val="00B16121"/>
    <w:rsid w:val="00B164C8"/>
    <w:rsid w:val="00B23AD6"/>
    <w:rsid w:val="00B24DEA"/>
    <w:rsid w:val="00B26D2B"/>
    <w:rsid w:val="00B26E1E"/>
    <w:rsid w:val="00B27A70"/>
    <w:rsid w:val="00B27C12"/>
    <w:rsid w:val="00B30E7F"/>
    <w:rsid w:val="00B33173"/>
    <w:rsid w:val="00B3357B"/>
    <w:rsid w:val="00B3380D"/>
    <w:rsid w:val="00B34EBE"/>
    <w:rsid w:val="00B3528C"/>
    <w:rsid w:val="00B365F8"/>
    <w:rsid w:val="00B3766B"/>
    <w:rsid w:val="00B37912"/>
    <w:rsid w:val="00B40996"/>
    <w:rsid w:val="00B41148"/>
    <w:rsid w:val="00B4372E"/>
    <w:rsid w:val="00B458FD"/>
    <w:rsid w:val="00B50D64"/>
    <w:rsid w:val="00B5226A"/>
    <w:rsid w:val="00B54CB5"/>
    <w:rsid w:val="00B54DD2"/>
    <w:rsid w:val="00B5573C"/>
    <w:rsid w:val="00B55ABF"/>
    <w:rsid w:val="00B5766F"/>
    <w:rsid w:val="00B57A71"/>
    <w:rsid w:val="00B57BA4"/>
    <w:rsid w:val="00B60A44"/>
    <w:rsid w:val="00B61F89"/>
    <w:rsid w:val="00B62813"/>
    <w:rsid w:val="00B62895"/>
    <w:rsid w:val="00B65412"/>
    <w:rsid w:val="00B65E8F"/>
    <w:rsid w:val="00B7279D"/>
    <w:rsid w:val="00B737C6"/>
    <w:rsid w:val="00B74DAF"/>
    <w:rsid w:val="00B752A8"/>
    <w:rsid w:val="00B760DA"/>
    <w:rsid w:val="00B765E4"/>
    <w:rsid w:val="00B76A22"/>
    <w:rsid w:val="00B774F0"/>
    <w:rsid w:val="00B8489A"/>
    <w:rsid w:val="00B86857"/>
    <w:rsid w:val="00B9054D"/>
    <w:rsid w:val="00B9072C"/>
    <w:rsid w:val="00B92DFE"/>
    <w:rsid w:val="00B92FDD"/>
    <w:rsid w:val="00B94A7E"/>
    <w:rsid w:val="00B96556"/>
    <w:rsid w:val="00B97EED"/>
    <w:rsid w:val="00BA016A"/>
    <w:rsid w:val="00BA2B96"/>
    <w:rsid w:val="00BA350F"/>
    <w:rsid w:val="00BA47B9"/>
    <w:rsid w:val="00BA61C6"/>
    <w:rsid w:val="00BA76D6"/>
    <w:rsid w:val="00BA7922"/>
    <w:rsid w:val="00BB1935"/>
    <w:rsid w:val="00BB1A8D"/>
    <w:rsid w:val="00BB210B"/>
    <w:rsid w:val="00BB2BB1"/>
    <w:rsid w:val="00BB39AD"/>
    <w:rsid w:val="00BB4F78"/>
    <w:rsid w:val="00BB5165"/>
    <w:rsid w:val="00BB6D96"/>
    <w:rsid w:val="00BB74F6"/>
    <w:rsid w:val="00BC1635"/>
    <w:rsid w:val="00BC6C49"/>
    <w:rsid w:val="00BC780F"/>
    <w:rsid w:val="00BD0057"/>
    <w:rsid w:val="00BD0A71"/>
    <w:rsid w:val="00BD1512"/>
    <w:rsid w:val="00BD3D3D"/>
    <w:rsid w:val="00BD44B3"/>
    <w:rsid w:val="00BD4A99"/>
    <w:rsid w:val="00BD4B37"/>
    <w:rsid w:val="00BD4FB0"/>
    <w:rsid w:val="00BD5397"/>
    <w:rsid w:val="00BD5DDC"/>
    <w:rsid w:val="00BD69C6"/>
    <w:rsid w:val="00BD6BC2"/>
    <w:rsid w:val="00BE021F"/>
    <w:rsid w:val="00BE0FED"/>
    <w:rsid w:val="00BE19F3"/>
    <w:rsid w:val="00BE1DF8"/>
    <w:rsid w:val="00BE4ABF"/>
    <w:rsid w:val="00BE5E28"/>
    <w:rsid w:val="00BE753E"/>
    <w:rsid w:val="00BF1500"/>
    <w:rsid w:val="00BF1AC8"/>
    <w:rsid w:val="00BF2572"/>
    <w:rsid w:val="00BF32B8"/>
    <w:rsid w:val="00BF4B82"/>
    <w:rsid w:val="00BF6A66"/>
    <w:rsid w:val="00BF7CF7"/>
    <w:rsid w:val="00C0091F"/>
    <w:rsid w:val="00C00AFF"/>
    <w:rsid w:val="00C017B7"/>
    <w:rsid w:val="00C03063"/>
    <w:rsid w:val="00C04C3C"/>
    <w:rsid w:val="00C078D9"/>
    <w:rsid w:val="00C07DD2"/>
    <w:rsid w:val="00C10AB0"/>
    <w:rsid w:val="00C128D3"/>
    <w:rsid w:val="00C13A96"/>
    <w:rsid w:val="00C13DC8"/>
    <w:rsid w:val="00C1441C"/>
    <w:rsid w:val="00C14C2B"/>
    <w:rsid w:val="00C160D2"/>
    <w:rsid w:val="00C176B7"/>
    <w:rsid w:val="00C202FD"/>
    <w:rsid w:val="00C2082E"/>
    <w:rsid w:val="00C22A76"/>
    <w:rsid w:val="00C26E94"/>
    <w:rsid w:val="00C31FFD"/>
    <w:rsid w:val="00C3303F"/>
    <w:rsid w:val="00C332A3"/>
    <w:rsid w:val="00C33587"/>
    <w:rsid w:val="00C340FB"/>
    <w:rsid w:val="00C358FA"/>
    <w:rsid w:val="00C35EC6"/>
    <w:rsid w:val="00C35EE2"/>
    <w:rsid w:val="00C373E8"/>
    <w:rsid w:val="00C42E45"/>
    <w:rsid w:val="00C43C84"/>
    <w:rsid w:val="00C45F6C"/>
    <w:rsid w:val="00C50CA5"/>
    <w:rsid w:val="00C51B4E"/>
    <w:rsid w:val="00C51B65"/>
    <w:rsid w:val="00C52815"/>
    <w:rsid w:val="00C5361F"/>
    <w:rsid w:val="00C564F3"/>
    <w:rsid w:val="00C56FC7"/>
    <w:rsid w:val="00C57FA4"/>
    <w:rsid w:val="00C604EB"/>
    <w:rsid w:val="00C60E07"/>
    <w:rsid w:val="00C61AE3"/>
    <w:rsid w:val="00C62051"/>
    <w:rsid w:val="00C62BE9"/>
    <w:rsid w:val="00C62E86"/>
    <w:rsid w:val="00C6341F"/>
    <w:rsid w:val="00C643D4"/>
    <w:rsid w:val="00C65871"/>
    <w:rsid w:val="00C66060"/>
    <w:rsid w:val="00C66293"/>
    <w:rsid w:val="00C7116C"/>
    <w:rsid w:val="00C71EBC"/>
    <w:rsid w:val="00C73AAB"/>
    <w:rsid w:val="00C74493"/>
    <w:rsid w:val="00C74F03"/>
    <w:rsid w:val="00C751AC"/>
    <w:rsid w:val="00C76E17"/>
    <w:rsid w:val="00C773D6"/>
    <w:rsid w:val="00C775D0"/>
    <w:rsid w:val="00C8257A"/>
    <w:rsid w:val="00C82708"/>
    <w:rsid w:val="00C8329B"/>
    <w:rsid w:val="00C839CB"/>
    <w:rsid w:val="00C85E91"/>
    <w:rsid w:val="00C86116"/>
    <w:rsid w:val="00C86223"/>
    <w:rsid w:val="00C866D7"/>
    <w:rsid w:val="00C87665"/>
    <w:rsid w:val="00C87F26"/>
    <w:rsid w:val="00C9126C"/>
    <w:rsid w:val="00C91B56"/>
    <w:rsid w:val="00C920EC"/>
    <w:rsid w:val="00C96C92"/>
    <w:rsid w:val="00CA0606"/>
    <w:rsid w:val="00CA1269"/>
    <w:rsid w:val="00CA13C1"/>
    <w:rsid w:val="00CA18BE"/>
    <w:rsid w:val="00CA2602"/>
    <w:rsid w:val="00CA6391"/>
    <w:rsid w:val="00CA71A7"/>
    <w:rsid w:val="00CA7F9A"/>
    <w:rsid w:val="00CB1766"/>
    <w:rsid w:val="00CB1C65"/>
    <w:rsid w:val="00CB23F2"/>
    <w:rsid w:val="00CB2BA2"/>
    <w:rsid w:val="00CB305C"/>
    <w:rsid w:val="00CB3BC3"/>
    <w:rsid w:val="00CB6CD0"/>
    <w:rsid w:val="00CC064D"/>
    <w:rsid w:val="00CC28E5"/>
    <w:rsid w:val="00CC3270"/>
    <w:rsid w:val="00CC3B0F"/>
    <w:rsid w:val="00CC4322"/>
    <w:rsid w:val="00CC4BC2"/>
    <w:rsid w:val="00CD14B3"/>
    <w:rsid w:val="00CE0CB3"/>
    <w:rsid w:val="00CE1556"/>
    <w:rsid w:val="00CE28FB"/>
    <w:rsid w:val="00CE4433"/>
    <w:rsid w:val="00CE50A0"/>
    <w:rsid w:val="00CE55B3"/>
    <w:rsid w:val="00CE6530"/>
    <w:rsid w:val="00CE6663"/>
    <w:rsid w:val="00CE68A8"/>
    <w:rsid w:val="00CE6F1C"/>
    <w:rsid w:val="00CE7A9C"/>
    <w:rsid w:val="00CF180D"/>
    <w:rsid w:val="00CF1E12"/>
    <w:rsid w:val="00CF2CAD"/>
    <w:rsid w:val="00CF37BC"/>
    <w:rsid w:val="00CF47A1"/>
    <w:rsid w:val="00D0055B"/>
    <w:rsid w:val="00D00E07"/>
    <w:rsid w:val="00D01A1A"/>
    <w:rsid w:val="00D037DB"/>
    <w:rsid w:val="00D04E36"/>
    <w:rsid w:val="00D07245"/>
    <w:rsid w:val="00D07A48"/>
    <w:rsid w:val="00D13099"/>
    <w:rsid w:val="00D138E9"/>
    <w:rsid w:val="00D1411D"/>
    <w:rsid w:val="00D14A79"/>
    <w:rsid w:val="00D14D04"/>
    <w:rsid w:val="00D15118"/>
    <w:rsid w:val="00D16E35"/>
    <w:rsid w:val="00D1709C"/>
    <w:rsid w:val="00D1724B"/>
    <w:rsid w:val="00D206E1"/>
    <w:rsid w:val="00D20B3E"/>
    <w:rsid w:val="00D238D4"/>
    <w:rsid w:val="00D25C69"/>
    <w:rsid w:val="00D26E68"/>
    <w:rsid w:val="00D2793A"/>
    <w:rsid w:val="00D3189E"/>
    <w:rsid w:val="00D31948"/>
    <w:rsid w:val="00D3263D"/>
    <w:rsid w:val="00D33B49"/>
    <w:rsid w:val="00D34C01"/>
    <w:rsid w:val="00D40163"/>
    <w:rsid w:val="00D402DB"/>
    <w:rsid w:val="00D406C9"/>
    <w:rsid w:val="00D41C67"/>
    <w:rsid w:val="00D41F64"/>
    <w:rsid w:val="00D42AFA"/>
    <w:rsid w:val="00D4349C"/>
    <w:rsid w:val="00D4381B"/>
    <w:rsid w:val="00D4477B"/>
    <w:rsid w:val="00D4484A"/>
    <w:rsid w:val="00D47516"/>
    <w:rsid w:val="00D513A0"/>
    <w:rsid w:val="00D52655"/>
    <w:rsid w:val="00D52C08"/>
    <w:rsid w:val="00D52DE1"/>
    <w:rsid w:val="00D53125"/>
    <w:rsid w:val="00D5372D"/>
    <w:rsid w:val="00D5769D"/>
    <w:rsid w:val="00D60D51"/>
    <w:rsid w:val="00D60DBB"/>
    <w:rsid w:val="00D628FE"/>
    <w:rsid w:val="00D63DB6"/>
    <w:rsid w:val="00D63EAC"/>
    <w:rsid w:val="00D64054"/>
    <w:rsid w:val="00D64858"/>
    <w:rsid w:val="00D6535D"/>
    <w:rsid w:val="00D65416"/>
    <w:rsid w:val="00D676C5"/>
    <w:rsid w:val="00D709F4"/>
    <w:rsid w:val="00D70F10"/>
    <w:rsid w:val="00D7116B"/>
    <w:rsid w:val="00D72098"/>
    <w:rsid w:val="00D73433"/>
    <w:rsid w:val="00D74727"/>
    <w:rsid w:val="00D7536D"/>
    <w:rsid w:val="00D758B1"/>
    <w:rsid w:val="00D758CB"/>
    <w:rsid w:val="00D75DEA"/>
    <w:rsid w:val="00D76CBA"/>
    <w:rsid w:val="00D775F2"/>
    <w:rsid w:val="00D8139C"/>
    <w:rsid w:val="00D81F70"/>
    <w:rsid w:val="00D8338D"/>
    <w:rsid w:val="00D83B37"/>
    <w:rsid w:val="00D83E86"/>
    <w:rsid w:val="00D8509F"/>
    <w:rsid w:val="00D87E45"/>
    <w:rsid w:val="00D9069B"/>
    <w:rsid w:val="00D90BD8"/>
    <w:rsid w:val="00D932BE"/>
    <w:rsid w:val="00D938B6"/>
    <w:rsid w:val="00D938BF"/>
    <w:rsid w:val="00D93A5E"/>
    <w:rsid w:val="00D95BBE"/>
    <w:rsid w:val="00D9765B"/>
    <w:rsid w:val="00DA197B"/>
    <w:rsid w:val="00DA214B"/>
    <w:rsid w:val="00DA3AB0"/>
    <w:rsid w:val="00DA3D7C"/>
    <w:rsid w:val="00DA3F84"/>
    <w:rsid w:val="00DA42FE"/>
    <w:rsid w:val="00DA476E"/>
    <w:rsid w:val="00DA48ED"/>
    <w:rsid w:val="00DA534D"/>
    <w:rsid w:val="00DA6509"/>
    <w:rsid w:val="00DA6AA6"/>
    <w:rsid w:val="00DA726C"/>
    <w:rsid w:val="00DA7F10"/>
    <w:rsid w:val="00DB0988"/>
    <w:rsid w:val="00DB13DD"/>
    <w:rsid w:val="00DB237E"/>
    <w:rsid w:val="00DB488B"/>
    <w:rsid w:val="00DB54DA"/>
    <w:rsid w:val="00DB589C"/>
    <w:rsid w:val="00DB5DCF"/>
    <w:rsid w:val="00DB5DD3"/>
    <w:rsid w:val="00DB5E9E"/>
    <w:rsid w:val="00DB7EE0"/>
    <w:rsid w:val="00DC1485"/>
    <w:rsid w:val="00DC1594"/>
    <w:rsid w:val="00DC2347"/>
    <w:rsid w:val="00DC362C"/>
    <w:rsid w:val="00DC4182"/>
    <w:rsid w:val="00DC4841"/>
    <w:rsid w:val="00DC7279"/>
    <w:rsid w:val="00DC7C67"/>
    <w:rsid w:val="00DD0E73"/>
    <w:rsid w:val="00DD1FCA"/>
    <w:rsid w:val="00DD396A"/>
    <w:rsid w:val="00DD3AB3"/>
    <w:rsid w:val="00DD46C3"/>
    <w:rsid w:val="00DD4BD9"/>
    <w:rsid w:val="00DD5377"/>
    <w:rsid w:val="00DD65DE"/>
    <w:rsid w:val="00DD7056"/>
    <w:rsid w:val="00DD7BF7"/>
    <w:rsid w:val="00DD7C2D"/>
    <w:rsid w:val="00DE4DCA"/>
    <w:rsid w:val="00DE59B1"/>
    <w:rsid w:val="00DE7FA5"/>
    <w:rsid w:val="00DF06B5"/>
    <w:rsid w:val="00DF18E5"/>
    <w:rsid w:val="00DF21A8"/>
    <w:rsid w:val="00DF591D"/>
    <w:rsid w:val="00DF64A5"/>
    <w:rsid w:val="00DF65BD"/>
    <w:rsid w:val="00DF6C8B"/>
    <w:rsid w:val="00E04C9E"/>
    <w:rsid w:val="00E05379"/>
    <w:rsid w:val="00E07627"/>
    <w:rsid w:val="00E07F68"/>
    <w:rsid w:val="00E165D3"/>
    <w:rsid w:val="00E17F27"/>
    <w:rsid w:val="00E213CD"/>
    <w:rsid w:val="00E24C63"/>
    <w:rsid w:val="00E26A43"/>
    <w:rsid w:val="00E302C0"/>
    <w:rsid w:val="00E307ED"/>
    <w:rsid w:val="00E33E87"/>
    <w:rsid w:val="00E33FB2"/>
    <w:rsid w:val="00E33FD2"/>
    <w:rsid w:val="00E400CB"/>
    <w:rsid w:val="00E4096A"/>
    <w:rsid w:val="00E423E9"/>
    <w:rsid w:val="00E43098"/>
    <w:rsid w:val="00E44023"/>
    <w:rsid w:val="00E4404E"/>
    <w:rsid w:val="00E4451B"/>
    <w:rsid w:val="00E45DD3"/>
    <w:rsid w:val="00E4687B"/>
    <w:rsid w:val="00E46F24"/>
    <w:rsid w:val="00E50275"/>
    <w:rsid w:val="00E5114B"/>
    <w:rsid w:val="00E5152D"/>
    <w:rsid w:val="00E532F8"/>
    <w:rsid w:val="00E53B3C"/>
    <w:rsid w:val="00E554CD"/>
    <w:rsid w:val="00E55CA9"/>
    <w:rsid w:val="00E574B8"/>
    <w:rsid w:val="00E60A82"/>
    <w:rsid w:val="00E62BF8"/>
    <w:rsid w:val="00E64430"/>
    <w:rsid w:val="00E666CB"/>
    <w:rsid w:val="00E70907"/>
    <w:rsid w:val="00E7095A"/>
    <w:rsid w:val="00E713AE"/>
    <w:rsid w:val="00E713B3"/>
    <w:rsid w:val="00E72961"/>
    <w:rsid w:val="00E72C50"/>
    <w:rsid w:val="00E75843"/>
    <w:rsid w:val="00E7600A"/>
    <w:rsid w:val="00E761DF"/>
    <w:rsid w:val="00E80AC0"/>
    <w:rsid w:val="00E80DD4"/>
    <w:rsid w:val="00E819B3"/>
    <w:rsid w:val="00E8237E"/>
    <w:rsid w:val="00E83698"/>
    <w:rsid w:val="00E83A97"/>
    <w:rsid w:val="00E845E6"/>
    <w:rsid w:val="00E84FDF"/>
    <w:rsid w:val="00E851DD"/>
    <w:rsid w:val="00E909FD"/>
    <w:rsid w:val="00E92FC4"/>
    <w:rsid w:val="00E9594E"/>
    <w:rsid w:val="00E96D25"/>
    <w:rsid w:val="00EA144C"/>
    <w:rsid w:val="00EA156B"/>
    <w:rsid w:val="00EA191E"/>
    <w:rsid w:val="00EA2D49"/>
    <w:rsid w:val="00EA309B"/>
    <w:rsid w:val="00EA3283"/>
    <w:rsid w:val="00EA45EA"/>
    <w:rsid w:val="00EA6868"/>
    <w:rsid w:val="00EA6C47"/>
    <w:rsid w:val="00EA76A2"/>
    <w:rsid w:val="00EB048C"/>
    <w:rsid w:val="00EB07C3"/>
    <w:rsid w:val="00EB3C3A"/>
    <w:rsid w:val="00EB722E"/>
    <w:rsid w:val="00EC0B65"/>
    <w:rsid w:val="00EC0FE7"/>
    <w:rsid w:val="00EC1ABB"/>
    <w:rsid w:val="00EC3651"/>
    <w:rsid w:val="00EC599D"/>
    <w:rsid w:val="00EC6A9A"/>
    <w:rsid w:val="00EC6E6A"/>
    <w:rsid w:val="00EC7D18"/>
    <w:rsid w:val="00ED11BD"/>
    <w:rsid w:val="00ED1E91"/>
    <w:rsid w:val="00ED239A"/>
    <w:rsid w:val="00ED3817"/>
    <w:rsid w:val="00ED3DC0"/>
    <w:rsid w:val="00ED6D85"/>
    <w:rsid w:val="00EE01E4"/>
    <w:rsid w:val="00EE089E"/>
    <w:rsid w:val="00EE08DC"/>
    <w:rsid w:val="00EE4CD1"/>
    <w:rsid w:val="00EE4F3D"/>
    <w:rsid w:val="00EE4F88"/>
    <w:rsid w:val="00EE6471"/>
    <w:rsid w:val="00EE6E08"/>
    <w:rsid w:val="00EF0107"/>
    <w:rsid w:val="00EF0A2C"/>
    <w:rsid w:val="00EF1A43"/>
    <w:rsid w:val="00EF3FF4"/>
    <w:rsid w:val="00EF441E"/>
    <w:rsid w:val="00EF47C1"/>
    <w:rsid w:val="00EF5344"/>
    <w:rsid w:val="00EF5C3E"/>
    <w:rsid w:val="00EF6E50"/>
    <w:rsid w:val="00EF7439"/>
    <w:rsid w:val="00EF758D"/>
    <w:rsid w:val="00EF7736"/>
    <w:rsid w:val="00F0019D"/>
    <w:rsid w:val="00F0187A"/>
    <w:rsid w:val="00F01BE3"/>
    <w:rsid w:val="00F02D0B"/>
    <w:rsid w:val="00F03F3F"/>
    <w:rsid w:val="00F05EB3"/>
    <w:rsid w:val="00F070B1"/>
    <w:rsid w:val="00F07131"/>
    <w:rsid w:val="00F10865"/>
    <w:rsid w:val="00F10933"/>
    <w:rsid w:val="00F10F41"/>
    <w:rsid w:val="00F11C5A"/>
    <w:rsid w:val="00F1229F"/>
    <w:rsid w:val="00F1238D"/>
    <w:rsid w:val="00F1419D"/>
    <w:rsid w:val="00F14DA6"/>
    <w:rsid w:val="00F15578"/>
    <w:rsid w:val="00F15747"/>
    <w:rsid w:val="00F166A3"/>
    <w:rsid w:val="00F174D1"/>
    <w:rsid w:val="00F174F8"/>
    <w:rsid w:val="00F17CEE"/>
    <w:rsid w:val="00F203D2"/>
    <w:rsid w:val="00F205EF"/>
    <w:rsid w:val="00F21034"/>
    <w:rsid w:val="00F21363"/>
    <w:rsid w:val="00F2138D"/>
    <w:rsid w:val="00F215AD"/>
    <w:rsid w:val="00F22AF5"/>
    <w:rsid w:val="00F22CBD"/>
    <w:rsid w:val="00F26453"/>
    <w:rsid w:val="00F266E4"/>
    <w:rsid w:val="00F277ED"/>
    <w:rsid w:val="00F30B43"/>
    <w:rsid w:val="00F30B45"/>
    <w:rsid w:val="00F30C6F"/>
    <w:rsid w:val="00F31550"/>
    <w:rsid w:val="00F321A7"/>
    <w:rsid w:val="00F32227"/>
    <w:rsid w:val="00F32C2A"/>
    <w:rsid w:val="00F33DA9"/>
    <w:rsid w:val="00F341E5"/>
    <w:rsid w:val="00F3446F"/>
    <w:rsid w:val="00F348FC"/>
    <w:rsid w:val="00F353E0"/>
    <w:rsid w:val="00F35C80"/>
    <w:rsid w:val="00F3617F"/>
    <w:rsid w:val="00F363B8"/>
    <w:rsid w:val="00F40BF6"/>
    <w:rsid w:val="00F41D02"/>
    <w:rsid w:val="00F42B6C"/>
    <w:rsid w:val="00F44593"/>
    <w:rsid w:val="00F478B6"/>
    <w:rsid w:val="00F5089C"/>
    <w:rsid w:val="00F52160"/>
    <w:rsid w:val="00F527DF"/>
    <w:rsid w:val="00F53843"/>
    <w:rsid w:val="00F53DA7"/>
    <w:rsid w:val="00F541CC"/>
    <w:rsid w:val="00F560D8"/>
    <w:rsid w:val="00F563B6"/>
    <w:rsid w:val="00F57D97"/>
    <w:rsid w:val="00F607A5"/>
    <w:rsid w:val="00F61386"/>
    <w:rsid w:val="00F62492"/>
    <w:rsid w:val="00F632D1"/>
    <w:rsid w:val="00F663EF"/>
    <w:rsid w:val="00F667E6"/>
    <w:rsid w:val="00F66D20"/>
    <w:rsid w:val="00F67097"/>
    <w:rsid w:val="00F70F7C"/>
    <w:rsid w:val="00F71593"/>
    <w:rsid w:val="00F7485F"/>
    <w:rsid w:val="00F753BF"/>
    <w:rsid w:val="00F75FAA"/>
    <w:rsid w:val="00F778AF"/>
    <w:rsid w:val="00F77DE5"/>
    <w:rsid w:val="00F81418"/>
    <w:rsid w:val="00F814AF"/>
    <w:rsid w:val="00F824E3"/>
    <w:rsid w:val="00F82815"/>
    <w:rsid w:val="00F83CC3"/>
    <w:rsid w:val="00F84813"/>
    <w:rsid w:val="00F854EE"/>
    <w:rsid w:val="00F85722"/>
    <w:rsid w:val="00F8692C"/>
    <w:rsid w:val="00F86D0A"/>
    <w:rsid w:val="00F87E00"/>
    <w:rsid w:val="00F901D8"/>
    <w:rsid w:val="00F929A6"/>
    <w:rsid w:val="00F956E4"/>
    <w:rsid w:val="00F96183"/>
    <w:rsid w:val="00F974D1"/>
    <w:rsid w:val="00FA125A"/>
    <w:rsid w:val="00FA1280"/>
    <w:rsid w:val="00FA1C70"/>
    <w:rsid w:val="00FA21CC"/>
    <w:rsid w:val="00FA21F7"/>
    <w:rsid w:val="00FA38C4"/>
    <w:rsid w:val="00FA4D29"/>
    <w:rsid w:val="00FA6AD6"/>
    <w:rsid w:val="00FB0ED7"/>
    <w:rsid w:val="00FB261E"/>
    <w:rsid w:val="00FB28A1"/>
    <w:rsid w:val="00FB2E13"/>
    <w:rsid w:val="00FB4061"/>
    <w:rsid w:val="00FB53E9"/>
    <w:rsid w:val="00FB5C5F"/>
    <w:rsid w:val="00FC0D30"/>
    <w:rsid w:val="00FC1ACB"/>
    <w:rsid w:val="00FC25FB"/>
    <w:rsid w:val="00FC4D71"/>
    <w:rsid w:val="00FC4DC9"/>
    <w:rsid w:val="00FC667A"/>
    <w:rsid w:val="00FC7775"/>
    <w:rsid w:val="00FC796A"/>
    <w:rsid w:val="00FD3A8C"/>
    <w:rsid w:val="00FD4B9C"/>
    <w:rsid w:val="00FD54E0"/>
    <w:rsid w:val="00FD5D78"/>
    <w:rsid w:val="00FD5EC6"/>
    <w:rsid w:val="00FD6A1B"/>
    <w:rsid w:val="00FD742A"/>
    <w:rsid w:val="00FE06F6"/>
    <w:rsid w:val="00FE2004"/>
    <w:rsid w:val="00FE241B"/>
    <w:rsid w:val="00FE384E"/>
    <w:rsid w:val="00FE3A2A"/>
    <w:rsid w:val="00FE5337"/>
    <w:rsid w:val="00FE5491"/>
    <w:rsid w:val="00FF0C13"/>
    <w:rsid w:val="00FF1050"/>
    <w:rsid w:val="00FF11C2"/>
    <w:rsid w:val="00FF159A"/>
    <w:rsid w:val="00FF199C"/>
    <w:rsid w:val="00FF1FCF"/>
    <w:rsid w:val="00FF3B09"/>
    <w:rsid w:val="00FF59C1"/>
    <w:rsid w:val="00FF7A6A"/>
    <w:rsid w:val="026003DA"/>
    <w:rsid w:val="055D6AFF"/>
    <w:rsid w:val="0715410B"/>
    <w:rsid w:val="073B25BA"/>
    <w:rsid w:val="0890393B"/>
    <w:rsid w:val="08DC4C5E"/>
    <w:rsid w:val="0A871E12"/>
    <w:rsid w:val="0DAC3691"/>
    <w:rsid w:val="0FDAA08B"/>
    <w:rsid w:val="143F13BF"/>
    <w:rsid w:val="154A2F50"/>
    <w:rsid w:val="178070FD"/>
    <w:rsid w:val="17FF5F62"/>
    <w:rsid w:val="198854B8"/>
    <w:rsid w:val="1A2F6241"/>
    <w:rsid w:val="1A613270"/>
    <w:rsid w:val="1DFCD537"/>
    <w:rsid w:val="1E4F2A7A"/>
    <w:rsid w:val="210C05A4"/>
    <w:rsid w:val="213128EB"/>
    <w:rsid w:val="215F0A8B"/>
    <w:rsid w:val="21774CA0"/>
    <w:rsid w:val="21B85393"/>
    <w:rsid w:val="23B95F92"/>
    <w:rsid w:val="2CF2D783"/>
    <w:rsid w:val="2E8C25E0"/>
    <w:rsid w:val="2F034F59"/>
    <w:rsid w:val="32F169A3"/>
    <w:rsid w:val="333629CF"/>
    <w:rsid w:val="33F271A8"/>
    <w:rsid w:val="37AEE354"/>
    <w:rsid w:val="390F160F"/>
    <w:rsid w:val="397EDCE1"/>
    <w:rsid w:val="3CEC41C1"/>
    <w:rsid w:val="3CFE9018"/>
    <w:rsid w:val="3D180566"/>
    <w:rsid w:val="40280D7B"/>
    <w:rsid w:val="42B11578"/>
    <w:rsid w:val="43450607"/>
    <w:rsid w:val="457B2E20"/>
    <w:rsid w:val="463D56E8"/>
    <w:rsid w:val="483E1BE7"/>
    <w:rsid w:val="4A2056B1"/>
    <w:rsid w:val="4A5D5068"/>
    <w:rsid w:val="509A3CF4"/>
    <w:rsid w:val="57BF9389"/>
    <w:rsid w:val="5FDC5D22"/>
    <w:rsid w:val="5FFF66E7"/>
    <w:rsid w:val="62141CD3"/>
    <w:rsid w:val="683F7799"/>
    <w:rsid w:val="6B60227D"/>
    <w:rsid w:val="6BE51CC2"/>
    <w:rsid w:val="6BEE06CF"/>
    <w:rsid w:val="6DF5F016"/>
    <w:rsid w:val="6FFB390C"/>
    <w:rsid w:val="73FBF13E"/>
    <w:rsid w:val="74247F58"/>
    <w:rsid w:val="75B415C0"/>
    <w:rsid w:val="775E5182"/>
    <w:rsid w:val="776F61C7"/>
    <w:rsid w:val="77DDDFE1"/>
    <w:rsid w:val="7AFF0919"/>
    <w:rsid w:val="7AFFE971"/>
    <w:rsid w:val="7B7F6E5D"/>
    <w:rsid w:val="7BB4BF51"/>
    <w:rsid w:val="7CFAFD4D"/>
    <w:rsid w:val="7E655A11"/>
    <w:rsid w:val="7EFC7B6B"/>
    <w:rsid w:val="7F7F9B6F"/>
    <w:rsid w:val="7FAF65C8"/>
    <w:rsid w:val="AF77D969"/>
    <w:rsid w:val="BB7C4974"/>
    <w:rsid w:val="BDBF532E"/>
    <w:rsid w:val="BE7F3233"/>
    <w:rsid w:val="BEF2DC3F"/>
    <w:rsid w:val="BF7E96AF"/>
    <w:rsid w:val="BFDF0D17"/>
    <w:rsid w:val="DBBFEE73"/>
    <w:rsid w:val="DCBF7CF0"/>
    <w:rsid w:val="DFF85AD6"/>
    <w:rsid w:val="DFFF1034"/>
    <w:rsid w:val="E2F7ECAB"/>
    <w:rsid w:val="E6949165"/>
    <w:rsid w:val="E7F23818"/>
    <w:rsid w:val="F4B3C67A"/>
    <w:rsid w:val="F61F4EE9"/>
    <w:rsid w:val="FCDD7126"/>
    <w:rsid w:val="FD782FDB"/>
    <w:rsid w:val="FDB46466"/>
    <w:rsid w:val="FDEF96D2"/>
    <w:rsid w:val="FE7FDA63"/>
    <w:rsid w:val="FF3EDCFF"/>
    <w:rsid w:val="FF7235E7"/>
    <w:rsid w:val="FFDE017E"/>
    <w:rsid w:val="FFFD7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link w:val="32"/>
    <w:qFormat/>
    <w:uiPriority w:val="0"/>
    <w:pPr>
      <w:keepNext/>
      <w:keepLines/>
      <w:spacing w:before="340" w:after="330" w:line="578" w:lineRule="auto"/>
      <w:jc w:val="center"/>
      <w:outlineLvl w:val="0"/>
    </w:pPr>
    <w:rPr>
      <w:rFonts w:eastAsia="黑体"/>
      <w:bCs/>
      <w:kern w:val="44"/>
      <w:szCs w:val="44"/>
    </w:rPr>
  </w:style>
  <w:style w:type="paragraph" w:styleId="4">
    <w:name w:val="heading 2"/>
    <w:basedOn w:val="1"/>
    <w:next w:val="1"/>
    <w:link w:val="28"/>
    <w:unhideWhenUsed/>
    <w:qFormat/>
    <w:uiPriority w:val="0"/>
    <w:pPr>
      <w:keepNext/>
      <w:keepLines/>
      <w:spacing w:before="120" w:after="120"/>
      <w:outlineLvl w:val="1"/>
    </w:pPr>
    <w:rPr>
      <w:rFonts w:eastAsia="黑体" w:asciiTheme="majorHAnsi" w:hAnsiTheme="majorHAnsi" w:cstheme="majorBidi"/>
      <w:bCs/>
      <w:szCs w:val="32"/>
    </w:rPr>
  </w:style>
  <w:style w:type="paragraph" w:styleId="5">
    <w:name w:val="heading 3"/>
    <w:basedOn w:val="1"/>
    <w:next w:val="1"/>
    <w:link w:val="34"/>
    <w:unhideWhenUsed/>
    <w:qFormat/>
    <w:uiPriority w:val="0"/>
    <w:pPr>
      <w:keepNext/>
      <w:keepLines/>
      <w:spacing w:before="50" w:beforeLines="50" w:after="50" w:afterLines="50"/>
      <w:outlineLvl w:val="2"/>
    </w:pPr>
    <w:rPr>
      <w:rFonts w:eastAsia="楷体_GB2312"/>
      <w:bCs/>
      <w:szCs w:val="32"/>
    </w:rPr>
  </w:style>
  <w:style w:type="paragraph" w:styleId="6">
    <w:name w:val="heading 4"/>
    <w:basedOn w:val="1"/>
    <w:next w:val="1"/>
    <w:link w:val="37"/>
    <w:unhideWhenUsed/>
    <w:qFormat/>
    <w:uiPriority w:val="0"/>
    <w:pPr>
      <w:keepNext/>
      <w:keepLines/>
      <w:outlineLvl w:val="3"/>
    </w:pPr>
    <w:rPr>
      <w:rFonts w:asciiTheme="majorHAnsi" w:hAnsiTheme="majorHAnsi" w:cstheme="majorBidi"/>
      <w:b/>
      <w:bCs/>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8"/>
    <w:unhideWhenUsed/>
    <w:qFormat/>
    <w:uiPriority w:val="0"/>
    <w:pPr>
      <w:spacing w:line="400" w:lineRule="exact"/>
      <w:ind w:firstLine="0" w:firstLineChars="0"/>
    </w:pPr>
    <w:rPr>
      <w:rFonts w:ascii="仿宋_GB2312" w:hAnsi="宋体"/>
      <w:szCs w:val="32"/>
    </w:rPr>
  </w:style>
  <w:style w:type="paragraph" w:styleId="7">
    <w:name w:val="toc 7"/>
    <w:basedOn w:val="1"/>
    <w:next w:val="1"/>
    <w:qFormat/>
    <w:uiPriority w:val="0"/>
    <w:pPr>
      <w:ind w:left="1800"/>
      <w:jc w:val="left"/>
    </w:pPr>
    <w:rPr>
      <w:rFonts w:asciiTheme="minorHAnsi" w:hAnsiTheme="minorHAnsi" w:cstheme="minorHAnsi"/>
      <w:sz w:val="18"/>
      <w:szCs w:val="18"/>
    </w:rPr>
  </w:style>
  <w:style w:type="paragraph" w:styleId="8">
    <w:name w:val="annotation text"/>
    <w:basedOn w:val="1"/>
    <w:unhideWhenUsed/>
    <w:qFormat/>
    <w:uiPriority w:val="99"/>
    <w:pPr>
      <w:jc w:val="left"/>
    </w:pPr>
  </w:style>
  <w:style w:type="paragraph" w:styleId="9">
    <w:name w:val="toc 5"/>
    <w:basedOn w:val="1"/>
    <w:next w:val="1"/>
    <w:qFormat/>
    <w:uiPriority w:val="0"/>
    <w:pPr>
      <w:ind w:left="1200"/>
      <w:jc w:val="left"/>
    </w:pPr>
    <w:rPr>
      <w:rFonts w:asciiTheme="minorHAnsi" w:hAnsiTheme="minorHAnsi" w:cstheme="minorHAnsi"/>
      <w:sz w:val="18"/>
      <w:szCs w:val="18"/>
    </w:rPr>
  </w:style>
  <w:style w:type="paragraph" w:styleId="10">
    <w:name w:val="toc 3"/>
    <w:basedOn w:val="1"/>
    <w:next w:val="1"/>
    <w:qFormat/>
    <w:uiPriority w:val="39"/>
    <w:pPr>
      <w:tabs>
        <w:tab w:val="right" w:leader="dot" w:pos="8834"/>
      </w:tabs>
      <w:ind w:left="601" w:firstLine="400"/>
      <w:jc w:val="left"/>
    </w:pPr>
    <w:rPr>
      <w:rFonts w:asciiTheme="minorHAnsi" w:hAnsiTheme="minorHAnsi" w:cstheme="minorHAnsi"/>
      <w:i/>
      <w:iCs/>
      <w:sz w:val="20"/>
      <w:szCs w:val="20"/>
    </w:rPr>
  </w:style>
  <w:style w:type="paragraph" w:styleId="11">
    <w:name w:val="toc 8"/>
    <w:basedOn w:val="1"/>
    <w:next w:val="1"/>
    <w:qFormat/>
    <w:uiPriority w:val="0"/>
    <w:pPr>
      <w:ind w:left="2100"/>
      <w:jc w:val="left"/>
    </w:pPr>
    <w:rPr>
      <w:rFonts w:asciiTheme="minorHAnsi" w:hAnsiTheme="minorHAnsi" w:cstheme="minorHAnsi"/>
      <w:sz w:val="18"/>
      <w:szCs w:val="18"/>
    </w:rPr>
  </w:style>
  <w:style w:type="paragraph" w:styleId="12">
    <w:name w:val="footer"/>
    <w:basedOn w:val="1"/>
    <w:link w:val="30"/>
    <w:qFormat/>
    <w:uiPriority w:val="99"/>
    <w:pPr>
      <w:tabs>
        <w:tab w:val="center" w:pos="4153"/>
        <w:tab w:val="right" w:pos="8306"/>
      </w:tabs>
      <w:snapToGrid w:val="0"/>
      <w:jc w:val="left"/>
    </w:pPr>
    <w:rPr>
      <w:sz w:val="18"/>
      <w:szCs w:val="18"/>
    </w:rPr>
  </w:style>
  <w:style w:type="paragraph" w:styleId="13">
    <w:name w:val="header"/>
    <w:basedOn w:val="1"/>
    <w:link w:val="29"/>
    <w:qFormat/>
    <w:uiPriority w:val="0"/>
    <w:pP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834"/>
      </w:tabs>
      <w:spacing w:before="120" w:after="120"/>
      <w:ind w:firstLine="643"/>
      <w:jc w:val="center"/>
    </w:pPr>
    <w:rPr>
      <w:rFonts w:ascii="仿宋_GB2312" w:cstheme="minorHAnsi"/>
      <w:b/>
      <w:bCs/>
      <w:caps/>
      <w:sz w:val="30"/>
      <w:szCs w:val="30"/>
    </w:rPr>
  </w:style>
  <w:style w:type="paragraph" w:styleId="15">
    <w:name w:val="toc 4"/>
    <w:basedOn w:val="1"/>
    <w:next w:val="1"/>
    <w:qFormat/>
    <w:uiPriority w:val="0"/>
    <w:pPr>
      <w:ind w:left="900"/>
      <w:jc w:val="left"/>
    </w:pPr>
    <w:rPr>
      <w:rFonts w:asciiTheme="minorHAnsi" w:hAnsiTheme="minorHAnsi" w:cstheme="minorHAnsi"/>
      <w:sz w:val="18"/>
      <w:szCs w:val="18"/>
    </w:rPr>
  </w:style>
  <w:style w:type="paragraph" w:styleId="16">
    <w:name w:val="toc 6"/>
    <w:basedOn w:val="1"/>
    <w:next w:val="1"/>
    <w:qFormat/>
    <w:uiPriority w:val="0"/>
    <w:pPr>
      <w:ind w:left="1500"/>
      <w:jc w:val="left"/>
    </w:pPr>
    <w:rPr>
      <w:rFonts w:asciiTheme="minorHAnsi" w:hAnsiTheme="minorHAnsi" w:cstheme="minorHAnsi"/>
      <w:sz w:val="18"/>
      <w:szCs w:val="18"/>
    </w:rPr>
  </w:style>
  <w:style w:type="paragraph" w:styleId="17">
    <w:name w:val="toc 2"/>
    <w:basedOn w:val="1"/>
    <w:next w:val="1"/>
    <w:qFormat/>
    <w:uiPriority w:val="39"/>
    <w:pPr>
      <w:tabs>
        <w:tab w:val="right" w:leader="dot" w:pos="8834"/>
      </w:tabs>
      <w:spacing w:line="360" w:lineRule="auto"/>
      <w:ind w:left="301" w:firstLine="560"/>
      <w:jc w:val="left"/>
    </w:pPr>
    <w:rPr>
      <w:rFonts w:asciiTheme="minorHAnsi" w:hAnsiTheme="minorHAnsi" w:cstheme="minorHAnsi"/>
      <w:smallCaps/>
      <w:sz w:val="20"/>
      <w:szCs w:val="20"/>
    </w:rPr>
  </w:style>
  <w:style w:type="paragraph" w:styleId="18">
    <w:name w:val="toc 9"/>
    <w:basedOn w:val="1"/>
    <w:next w:val="1"/>
    <w:qFormat/>
    <w:uiPriority w:val="0"/>
    <w:pPr>
      <w:ind w:left="2400"/>
      <w:jc w:val="left"/>
    </w:pPr>
    <w:rPr>
      <w:rFonts w:asciiTheme="minorHAnsi" w:hAnsiTheme="minorHAnsi" w:cstheme="minorHAnsi"/>
      <w:sz w:val="18"/>
      <w:szCs w:val="18"/>
    </w:rPr>
  </w:style>
  <w:style w:type="paragraph" w:styleId="19">
    <w:name w:val="Normal (Web)"/>
    <w:basedOn w:val="1"/>
    <w:qFormat/>
    <w:uiPriority w:val="0"/>
    <w:rPr>
      <w:sz w:val="24"/>
    </w:rPr>
  </w:style>
  <w:style w:type="paragraph" w:styleId="20">
    <w:name w:val="Title"/>
    <w:basedOn w:val="1"/>
    <w:next w:val="1"/>
    <w:link w:val="31"/>
    <w:qFormat/>
    <w:uiPriority w:val="0"/>
    <w:pPr>
      <w:spacing w:before="240" w:after="60"/>
      <w:jc w:val="center"/>
      <w:outlineLvl w:val="0"/>
    </w:pPr>
    <w:rPr>
      <w:rFonts w:asciiTheme="majorHAnsi" w:hAnsiTheme="majorHAnsi" w:eastAsiaTheme="majorEastAsia" w:cstheme="majorBidi"/>
      <w:b/>
      <w:bCs/>
      <w:szCs w:val="32"/>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Emphasis"/>
    <w:basedOn w:val="23"/>
    <w:qFormat/>
    <w:uiPriority w:val="0"/>
    <w:rPr>
      <w:i/>
    </w:rPr>
  </w:style>
  <w:style w:type="character" w:styleId="26">
    <w:name w:val="Hyperlink"/>
    <w:basedOn w:val="23"/>
    <w:unhideWhenUsed/>
    <w:qFormat/>
    <w:uiPriority w:val="99"/>
    <w:rPr>
      <w:color w:val="0026E5" w:themeColor="hyperlink"/>
      <w:u w:val="single"/>
      <w14:textFill>
        <w14:solidFill>
          <w14:schemeClr w14:val="hlink"/>
        </w14:solidFill>
      </w14:textFill>
    </w:rPr>
  </w:style>
  <w:style w:type="character" w:styleId="27">
    <w:name w:val="annotation reference"/>
    <w:basedOn w:val="23"/>
    <w:qFormat/>
    <w:uiPriority w:val="0"/>
    <w:rPr>
      <w:sz w:val="21"/>
      <w:szCs w:val="21"/>
    </w:rPr>
  </w:style>
  <w:style w:type="character" w:customStyle="1" w:styleId="28">
    <w:name w:val="标题 2 字符"/>
    <w:basedOn w:val="23"/>
    <w:link w:val="4"/>
    <w:qFormat/>
    <w:uiPriority w:val="0"/>
    <w:rPr>
      <w:rFonts w:eastAsia="黑体" w:asciiTheme="majorHAnsi" w:hAnsiTheme="majorHAnsi" w:cstheme="majorBidi"/>
      <w:bCs/>
      <w:kern w:val="2"/>
      <w:sz w:val="32"/>
      <w:szCs w:val="32"/>
    </w:rPr>
  </w:style>
  <w:style w:type="character" w:customStyle="1" w:styleId="29">
    <w:name w:val="页眉 字符"/>
    <w:basedOn w:val="23"/>
    <w:link w:val="13"/>
    <w:qFormat/>
    <w:uiPriority w:val="0"/>
    <w:rPr>
      <w:kern w:val="2"/>
      <w:sz w:val="18"/>
      <w:szCs w:val="18"/>
    </w:rPr>
  </w:style>
  <w:style w:type="character" w:customStyle="1" w:styleId="30">
    <w:name w:val="页脚 字符"/>
    <w:basedOn w:val="23"/>
    <w:link w:val="12"/>
    <w:qFormat/>
    <w:uiPriority w:val="99"/>
    <w:rPr>
      <w:kern w:val="2"/>
      <w:sz w:val="18"/>
      <w:szCs w:val="18"/>
    </w:rPr>
  </w:style>
  <w:style w:type="character" w:customStyle="1" w:styleId="31">
    <w:name w:val="标题 字符"/>
    <w:basedOn w:val="23"/>
    <w:link w:val="20"/>
    <w:qFormat/>
    <w:uiPriority w:val="0"/>
    <w:rPr>
      <w:rFonts w:asciiTheme="majorHAnsi" w:hAnsiTheme="majorHAnsi" w:eastAsiaTheme="majorEastAsia" w:cstheme="majorBidi"/>
      <w:b/>
      <w:bCs/>
      <w:kern w:val="2"/>
      <w:sz w:val="32"/>
      <w:szCs w:val="32"/>
    </w:rPr>
  </w:style>
  <w:style w:type="character" w:customStyle="1" w:styleId="32">
    <w:name w:val="标题 1 字符"/>
    <w:basedOn w:val="23"/>
    <w:link w:val="3"/>
    <w:qFormat/>
    <w:uiPriority w:val="0"/>
    <w:rPr>
      <w:rFonts w:ascii="Times New Roman" w:hAnsi="Times New Roman" w:eastAsia="黑体"/>
      <w:bCs/>
      <w:kern w:val="44"/>
      <w:sz w:val="32"/>
      <w:szCs w:val="44"/>
    </w:rPr>
  </w:style>
  <w:style w:type="paragraph" w:customStyle="1" w:styleId="33">
    <w:name w:val="ds-markdown-paragraph"/>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4">
    <w:name w:val="标题 3 字符"/>
    <w:basedOn w:val="23"/>
    <w:link w:val="5"/>
    <w:qFormat/>
    <w:uiPriority w:val="0"/>
    <w:rPr>
      <w:rFonts w:ascii="Times New Roman" w:hAnsi="Times New Roman" w:eastAsia="楷体_GB2312"/>
      <w:bCs/>
      <w:kern w:val="2"/>
      <w:sz w:val="32"/>
      <w:szCs w:val="32"/>
    </w:rPr>
  </w:style>
  <w:style w:type="character" w:customStyle="1" w:styleId="35">
    <w:name w:val="ds-markdown-cite"/>
    <w:basedOn w:val="23"/>
    <w:qFormat/>
    <w:uiPriority w:val="0"/>
  </w:style>
  <w:style w:type="paragraph" w:styleId="36">
    <w:name w:val="List Paragraph"/>
    <w:basedOn w:val="1"/>
    <w:unhideWhenUsed/>
    <w:qFormat/>
    <w:uiPriority w:val="99"/>
    <w:pPr>
      <w:ind w:firstLine="420"/>
    </w:pPr>
  </w:style>
  <w:style w:type="character" w:customStyle="1" w:styleId="37">
    <w:name w:val="标题 4 字符"/>
    <w:basedOn w:val="23"/>
    <w:link w:val="6"/>
    <w:qFormat/>
    <w:uiPriority w:val="0"/>
    <w:rPr>
      <w:rFonts w:eastAsia="仿宋_GB2312" w:asciiTheme="majorHAnsi" w:hAnsiTheme="majorHAnsi" w:cstheme="majorBidi"/>
      <w:b/>
      <w:bCs/>
      <w:kern w:val="2"/>
      <w:sz w:val="30"/>
      <w:szCs w:val="28"/>
    </w:rPr>
  </w:style>
  <w:style w:type="character" w:customStyle="1" w:styleId="38">
    <w:name w:val="正文文本 字符"/>
    <w:basedOn w:val="23"/>
    <w:link w:val="2"/>
    <w:qFormat/>
    <w:uiPriority w:val="0"/>
    <w:rPr>
      <w:rFonts w:ascii="仿宋_GB2312" w:hAnsi="宋体" w:eastAsia="仿宋_GB2312"/>
      <w:kern w:val="2"/>
      <w:sz w:val="32"/>
      <w:szCs w:val="32"/>
    </w:rPr>
  </w:style>
  <w:style w:type="paragraph" w:customStyle="1" w:styleId="39">
    <w:name w:val="TOC 标题1"/>
    <w:basedOn w:val="3"/>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bCs w:val="0"/>
      <w:color w:val="2E54A1" w:themeColor="accent1" w:themeShade="BF"/>
      <w:kern w:val="0"/>
      <w:szCs w:val="32"/>
    </w:rPr>
  </w:style>
  <w:style w:type="character" w:customStyle="1" w:styleId="40">
    <w:name w:val="不明显强调1"/>
    <w:basedOn w:val="23"/>
    <w:qFormat/>
    <w:uiPriority w:val="19"/>
    <w:rPr>
      <w:i/>
      <w:iCs/>
      <w:color w:val="404040" w:themeColor="text1" w:themeTint="BF"/>
      <w14:textFill>
        <w14:solidFill>
          <w14:schemeClr w14:val="tx1">
            <w14:lumMod w14:val="75000"/>
            <w14:lumOff w14:val="25000"/>
          </w14:schemeClr>
        </w14:solidFill>
      </w14:textFill>
    </w:rPr>
  </w:style>
  <w:style w:type="paragraph" w:customStyle="1" w:styleId="41">
    <w:name w:val="Revision"/>
    <w:hidden/>
    <w:unhideWhenUsed/>
    <w:qFormat/>
    <w:uiPriority w:val="99"/>
    <w:rPr>
      <w:rFonts w:ascii="Times New Roman" w:hAnsi="Times New Roman" w:eastAsia="仿宋_GB2312"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10549</Words>
  <Characters>10695</Characters>
  <Lines>223</Lines>
  <Paragraphs>62</Paragraphs>
  <TotalTime>9</TotalTime>
  <ScaleCrop>false</ScaleCrop>
  <LinksUpToDate>false</LinksUpToDate>
  <CharactersWithSpaces>10740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2026-06-17T01:52:00Z</dcterms:created>
  <dc:creator>@</dc:creator>
  <cp:lastModifiedBy>L幻想</cp:lastModifiedBy>
  <cp:lastPrinted>2026-06-25T08:42:00Z</cp:lastPrinted>
  <dcterms:modified xsi:type="dcterms:W3CDTF">2026-06-25T08:43:10Z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BA8CCD9B0AF5B4C389793C6A68FC48B6_43</vt:lpwstr>
  </property>
  <property fmtid="{D5CDD505-2E9C-101B-9397-08002B2CF9AE}" pid="4" name="KSOTemplateDocerSaveRecord">
    <vt:lpwstr>eyJoZGlkIjoiM2M2ZTA0YjFkMzY1NTA4NDI4OTYyNTM0ZTRmZDFmZjUiLCJ1c2VySWQiOiIzNDUyMjM3MjgifQ==</vt:lpwstr>
  </property>
</Properties>
</file>