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黑体" w:hAnsi="黑体" w:eastAsia="黑体" w:cs="黑体"/>
          <w:bCs/>
          <w:color w:val="000000" w:themeColor="text1"/>
          <w:sz w:val="32"/>
          <w:szCs w:val="32"/>
          <w:lang w:val="en-US" w:eastAsia="zh-CN"/>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附件</w:t>
      </w:r>
      <w:r>
        <w:rPr>
          <w:rFonts w:hint="eastAsia" w:ascii="黑体" w:hAnsi="黑体" w:eastAsia="黑体" w:cs="黑体"/>
          <w:bCs/>
          <w:color w:val="000000" w:themeColor="text1"/>
          <w:sz w:val="32"/>
          <w:szCs w:val="32"/>
          <w:lang w:val="en-US" w:eastAsia="zh-CN"/>
          <w14:textFill>
            <w14:solidFill>
              <w14:schemeClr w14:val="tx1"/>
            </w14:solidFill>
          </w14:textFill>
        </w:rPr>
        <w:t>2</w:t>
      </w:r>
      <w:bookmarkStart w:id="0" w:name="_GoBack"/>
      <w:bookmarkEnd w:id="0"/>
    </w:p>
    <w:p>
      <w:pPr>
        <w:spacing w:line="560" w:lineRule="exact"/>
        <w:jc w:val="cente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lang w:eastAsia="zh-CN"/>
          <w14:textFill>
            <w14:solidFill>
              <w14:schemeClr w14:val="tx1"/>
            </w14:solidFill>
          </w14:textFill>
        </w:rPr>
        <w:t>关于</w:t>
      </w:r>
      <w:r>
        <w:rPr>
          <w:rFonts w:hint="eastAsia" w:ascii="方正小标宋简体" w:hAnsi="方正小标宋简体" w:eastAsia="方正小标宋简体" w:cs="方正小标宋简体"/>
          <w:bCs/>
          <w:color w:val="000000" w:themeColor="text1"/>
          <w:sz w:val="44"/>
          <w:szCs w:val="44"/>
          <w:lang w:val="en-US" w:eastAsia="zh-CN"/>
          <w14:textFill>
            <w14:solidFill>
              <w14:schemeClr w14:val="tx1"/>
            </w14:solidFill>
          </w14:textFill>
        </w:rPr>
        <w:t>《2026年北京市昌平区智能农机装备作业补贴工作实施方案（征求意见稿）》</w:t>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的</w:t>
      </w:r>
    </w:p>
    <w:p>
      <w:pPr>
        <w:spacing w:line="560" w:lineRule="exact"/>
        <w:jc w:val="center"/>
        <w:rPr>
          <w:rFonts w:ascii="方正小标宋简体" w:hAnsi="方正小标宋简体" w:eastAsia="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起草说明</w:t>
      </w:r>
    </w:p>
    <w:p>
      <w:pPr>
        <w:spacing w:line="560" w:lineRule="exact"/>
        <w:ind w:firstLine="640"/>
        <w:rPr>
          <w:rFonts w:ascii="仿宋_GB2312" w:hAnsi="Calibri" w:eastAsia="仿宋_GB2312"/>
          <w:color w:val="000000" w:themeColor="text1"/>
          <w:sz w:val="32"/>
          <w:szCs w:val="24"/>
          <w14:textFill>
            <w14:solidFill>
              <w14:schemeClr w14:val="tx1"/>
            </w14:solidFill>
          </w14:textFill>
        </w:rPr>
      </w:pPr>
    </w:p>
    <w:p>
      <w:pPr>
        <w:keepNext w:val="0"/>
        <w:keepLines w:val="0"/>
        <w:pageBreakBefore w:val="0"/>
        <w:widowControl w:val="0"/>
        <w:kinsoku/>
        <w:wordWrap/>
        <w:overflowPunct/>
        <w:topLinePunct w:val="0"/>
        <w:autoSpaceDE/>
        <w:autoSpaceDN/>
        <w:bidi w:val="0"/>
        <w:spacing w:line="560" w:lineRule="exact"/>
        <w:ind w:firstLine="648"/>
        <w:textAlignment w:val="auto"/>
        <w:rPr>
          <w:rFonts w:hint="eastAsia" w:ascii="黑体" w:hAnsi="黑体" w:eastAsia="黑体"/>
          <w:color w:val="000000" w:themeColor="text1"/>
          <w:sz w:val="32"/>
          <w:szCs w:val="32"/>
          <w:lang w:eastAsia="zh-CN"/>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一、</w:t>
      </w:r>
      <w:r>
        <w:rPr>
          <w:rFonts w:hint="eastAsia" w:ascii="黑体" w:hAnsi="黑体" w:eastAsia="黑体"/>
          <w:color w:val="000000" w:themeColor="text1"/>
          <w:sz w:val="32"/>
          <w:szCs w:val="32"/>
          <w:lang w:eastAsia="zh-CN"/>
          <w14:textFill>
            <w14:solidFill>
              <w14:schemeClr w14:val="tx1"/>
            </w14:solidFill>
          </w14:textFill>
        </w:rPr>
        <w:t>起草</w:t>
      </w:r>
      <w:r>
        <w:rPr>
          <w:rFonts w:hint="eastAsia" w:ascii="黑体" w:hAnsi="黑体" w:eastAsia="黑体"/>
          <w:color w:val="000000" w:themeColor="text1"/>
          <w:sz w:val="32"/>
          <w:szCs w:val="32"/>
          <w14:textFill>
            <w14:solidFill>
              <w14:schemeClr w14:val="tx1"/>
            </w14:solidFill>
          </w14:textFill>
        </w:rPr>
        <w:t>背景</w:t>
      </w:r>
      <w:r>
        <w:rPr>
          <w:rFonts w:hint="eastAsia" w:ascii="黑体" w:hAnsi="黑体" w:eastAsia="黑体"/>
          <w:color w:val="000000" w:themeColor="text1"/>
          <w:sz w:val="32"/>
          <w:szCs w:val="32"/>
          <w:lang w:eastAsia="zh-CN"/>
          <w14:textFill>
            <w14:solidFill>
              <w14:schemeClr w14:val="tx1"/>
            </w14:solidFill>
          </w14:textFill>
        </w:rPr>
        <w:t>及依据</w:t>
      </w:r>
    </w:p>
    <w:p>
      <w:pPr>
        <w:keepNext w:val="0"/>
        <w:keepLines w:val="0"/>
        <w:pageBreakBefore w:val="0"/>
        <w:widowControl w:val="0"/>
        <w:kinsoku/>
        <w:wordWrap/>
        <w:overflowPunct/>
        <w:topLinePunct w:val="0"/>
        <w:autoSpaceDE/>
        <w:autoSpaceDN/>
        <w:bidi w:val="0"/>
        <w:snapToGrid w:val="0"/>
        <w:spacing w:beforeLines="0" w:afterLines="0" w:line="560" w:lineRule="exact"/>
        <w:ind w:firstLine="640" w:firstLineChars="200"/>
        <w:textAlignment w:val="auto"/>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为贯彻落实</w:t>
      </w:r>
      <w:r>
        <w:rPr>
          <w:rFonts w:hint="eastAsia" w:ascii="仿宋_GB2312" w:hAnsi="仿宋_GB2312" w:eastAsia="仿宋_GB2312" w:cs="仿宋_GB2312"/>
          <w:color w:val="000000" w:themeColor="text1"/>
          <w:kern w:val="0"/>
          <w:sz w:val="32"/>
          <w:szCs w:val="32"/>
          <w14:textFill>
            <w14:solidFill>
              <w14:schemeClr w14:val="tx1"/>
            </w14:solidFill>
          </w14:textFill>
        </w:rPr>
        <w:t>《2026年北京市智能农机装备作业补贴工作实施指南》</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有关要求，加快推进本区</w:t>
      </w:r>
      <w:r>
        <w:rPr>
          <w:rFonts w:hint="eastAsia" w:ascii="仿宋_GB2312" w:hAnsi="仿宋_GB2312" w:eastAsia="仿宋_GB2312" w:cs="仿宋_GB2312"/>
          <w:color w:val="000000" w:themeColor="text1"/>
          <w:kern w:val="0"/>
          <w:sz w:val="32"/>
          <w:szCs w:val="32"/>
          <w14:textFill>
            <w14:solidFill>
              <w14:schemeClr w14:val="tx1"/>
            </w14:solidFill>
          </w14:textFill>
        </w:rPr>
        <w:t>农业机械化全程全面高质量发展</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，更好发挥政策引导示范作用，制定本实施细则。</w:t>
      </w:r>
    </w:p>
    <w:p>
      <w:pPr>
        <w:keepNext w:val="0"/>
        <w:keepLines w:val="0"/>
        <w:pageBreakBefore w:val="0"/>
        <w:widowControl w:val="0"/>
        <w:kinsoku/>
        <w:wordWrap/>
        <w:overflowPunct/>
        <w:topLinePunct w:val="0"/>
        <w:autoSpaceDE/>
        <w:autoSpaceDN/>
        <w:bidi w:val="0"/>
        <w:spacing w:line="560" w:lineRule="exact"/>
        <w:ind w:firstLine="648"/>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w:t>
      </w:r>
      <w:r>
        <w:rPr>
          <w:rFonts w:hint="eastAsia" w:ascii="黑体" w:hAnsi="黑体" w:eastAsia="黑体"/>
          <w:color w:val="000000" w:themeColor="text1"/>
          <w:sz w:val="32"/>
          <w:szCs w:val="32"/>
          <w:lang w:eastAsia="zh-CN"/>
          <w14:textFill>
            <w14:solidFill>
              <w14:schemeClr w14:val="tx1"/>
            </w14:solidFill>
          </w14:textFill>
        </w:rPr>
        <w:t>起草</w:t>
      </w:r>
      <w:r>
        <w:rPr>
          <w:rFonts w:hint="eastAsia" w:ascii="黑体" w:hAnsi="黑体" w:eastAsia="黑体"/>
          <w:color w:val="000000" w:themeColor="text1"/>
          <w:sz w:val="32"/>
          <w:szCs w:val="32"/>
          <w14:textFill>
            <w14:solidFill>
              <w14:schemeClr w14:val="tx1"/>
            </w14:solidFill>
          </w14:textFill>
        </w:rPr>
        <w:t>过程</w:t>
      </w:r>
    </w:p>
    <w:p>
      <w:pPr>
        <w:keepNext w:val="0"/>
        <w:keepLines w:val="0"/>
        <w:pageBreakBefore w:val="0"/>
        <w:widowControl w:val="0"/>
        <w:kinsoku/>
        <w:wordWrap/>
        <w:overflowPunct/>
        <w:topLinePunct w:val="0"/>
        <w:autoSpaceDE/>
        <w:autoSpaceDN/>
        <w:bidi w:val="0"/>
        <w:spacing w:line="560" w:lineRule="exact"/>
        <w:ind w:firstLine="648"/>
        <w:textAlignment w:val="auto"/>
        <w:rPr>
          <w:rFonts w:hint="eastAsia" w:ascii="黑体" w:hAnsi="黑体" w:eastAsia="黑体"/>
          <w:color w:val="000000" w:themeColor="text1"/>
          <w:sz w:val="32"/>
          <w:szCs w:val="32"/>
          <w14:textFill>
            <w14:solidFill>
              <w14:schemeClr w14:val="tx1"/>
            </w14:solidFill>
          </w14:textFill>
        </w:rPr>
      </w:pPr>
      <w:r>
        <w:rPr>
          <w:rFonts w:hint="eastAsia" w:ascii="仿宋_GB2312" w:hAnsi="等线" w:eastAsia="仿宋_GB2312"/>
          <w:color w:val="000000" w:themeColor="text1"/>
          <w:sz w:val="32"/>
          <w:szCs w:val="32"/>
          <w:lang w:eastAsia="zh-CN"/>
          <w14:textFill>
            <w14:solidFill>
              <w14:schemeClr w14:val="tx1"/>
            </w14:solidFill>
          </w14:textFill>
        </w:rPr>
        <w:t>依据</w:t>
      </w:r>
      <w:r>
        <w:rPr>
          <w:rFonts w:hint="eastAsia" w:ascii="仿宋_GB2312" w:hAnsi="仿宋_GB2312" w:eastAsia="仿宋_GB2312" w:cs="仿宋_GB2312"/>
          <w:color w:val="000000" w:themeColor="text1"/>
          <w:kern w:val="0"/>
          <w:sz w:val="32"/>
          <w:szCs w:val="32"/>
          <w14:textFill>
            <w14:solidFill>
              <w14:schemeClr w14:val="tx1"/>
            </w14:solidFill>
          </w14:textFill>
        </w:rPr>
        <w:t>《2026年北京市智能农机装备作业补贴工作实施指南》</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有关要求</w:t>
      </w:r>
      <w:r>
        <w:rPr>
          <w:rFonts w:hint="eastAsia" w:ascii="仿宋_GB2312" w:hAnsi="等线" w:eastAsia="仿宋_GB2312"/>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highlight w:val="none"/>
          <w:lang w:eastAsia="zh-CN"/>
          <w14:textFill>
            <w14:solidFill>
              <w14:schemeClr w14:val="tx1"/>
            </w14:solidFill>
          </w14:textFill>
        </w:rPr>
        <w:t>在征求区财政局、</w:t>
      </w:r>
      <w:r>
        <w:rPr>
          <w:rFonts w:hint="eastAsia" w:ascii="仿宋_GB2312" w:eastAsia="仿宋_GB2312" w:cs="Times New Roman"/>
          <w:color w:val="000000" w:themeColor="text1"/>
          <w:sz w:val="32"/>
          <w:szCs w:val="32"/>
          <w:highlight w:val="none"/>
          <w:lang w:val="en-US" w:eastAsia="zh-CN"/>
          <w14:textFill>
            <w14:solidFill>
              <w14:schemeClr w14:val="tx1"/>
            </w14:solidFill>
          </w14:textFill>
        </w:rPr>
        <w:t>区农业农村局</w:t>
      </w:r>
      <w:r>
        <w:rPr>
          <w:rFonts w:hint="eastAsia" w:ascii="仿宋_GB2312" w:hAnsi="Times New Roman" w:eastAsia="仿宋_GB2312" w:cs="Times New Roman"/>
          <w:color w:val="000000" w:themeColor="text1"/>
          <w:sz w:val="32"/>
          <w:szCs w:val="32"/>
          <w:highlight w:val="none"/>
          <w:lang w:eastAsia="zh-CN"/>
          <w14:textFill>
            <w14:solidFill>
              <w14:schemeClr w14:val="tx1"/>
            </w14:solidFill>
          </w14:textFill>
        </w:rPr>
        <w:t>意见的基础上，结合我区实际，研究起草了《2026年北京市昌平区智能农机装备作业补贴工作实施方案（征求意见稿）》</w:t>
      </w:r>
      <w:r>
        <w:rPr>
          <w:rFonts w:hint="eastAsia" w:ascii="仿宋_GB2312"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pacing w:line="560" w:lineRule="exact"/>
        <w:ind w:firstLine="648"/>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三、主要内容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2026年，昌平区严格贯彻落实《2026年北京市智能农机装备作业补贴工作实施指南》要求，保质保量完成市级下达的1.1484万亩次作业面积、56.74万元补贴资金落实任务。聚焦区域种植生产特点，重点推广卫星平地机、高质量播种机及蔬菜起垄、播种、移栽等专用智能农机装备，扩大智能农机规模化应用覆盖面，有效提升小麦、玉米高质量播种水平，推进设施蔬菜、露地蔬菜机械化规范化作业。同步提升农机社会化服务质效，精准做好农机作业供需对接与全程服务保障。依托北京市农业农村综合管理系统、京机慧平台，建立健全农机作业全流程监测评价机制，高标准打造1个设施蔬菜机械化智能化示范点，以点带面推动全区农业农机智能化水平整体提升。特制定本实施方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（一）</w:t>
      </w:r>
      <w:r>
        <w:rPr>
          <w:rFonts w:hint="eastAsia" w:ascii="楷体_GB2312" w:hAnsi="楷体_GB2312" w:eastAsia="楷体_GB2312" w:cs="楷体_GB2312"/>
          <w:color w:val="000000" w:themeColor="text1"/>
          <w:sz w:val="32"/>
          <w:szCs w:val="32"/>
          <w14:textFill>
            <w14:solidFill>
              <w14:schemeClr w14:val="tx1"/>
            </w14:solidFill>
          </w14:textFill>
        </w:rPr>
        <w:t>补贴对象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昌平</w:t>
      </w:r>
      <w:r>
        <w:rPr>
          <w:rFonts w:hint="eastAsia" w:ascii="仿宋_GB2312" w:hAnsi="仿宋_GB2312" w:eastAsia="仿宋_GB2312" w:cs="仿宋_GB2312"/>
          <w:color w:val="000000" w:themeColor="text1"/>
          <w:sz w:val="32"/>
          <w:szCs w:val="32"/>
          <w:highlight w:val="none"/>
          <w14:textFill>
            <w14:solidFill>
              <w14:schemeClr w14:val="tx1"/>
            </w14:solidFill>
          </w14:textFill>
        </w:rPr>
        <w:t>区从事农机作业服务的生产经营主体</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（以下简称作业主体）</w:t>
      </w:r>
      <w:r>
        <w:rPr>
          <w:rFonts w:hint="eastAsia" w:ascii="仿宋_GB2312" w:hAnsi="仿宋_GB2312" w:eastAsia="仿宋_GB2312" w:cs="仿宋_GB2312"/>
          <w:color w:val="000000" w:themeColor="text1"/>
          <w:sz w:val="32"/>
          <w:szCs w:val="32"/>
          <w:highlight w:val="none"/>
          <w14:textFill>
            <w14:solidFill>
              <w14:schemeClr w14:val="tx1"/>
            </w14:solidFill>
          </w14:textFill>
        </w:rPr>
        <w:t>，作业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主体的</w:t>
      </w:r>
      <w:r>
        <w:rPr>
          <w:rFonts w:hint="eastAsia" w:ascii="仿宋_GB2312" w:hAnsi="仿宋_GB2312" w:eastAsia="仿宋_GB2312" w:cs="仿宋_GB2312"/>
          <w:color w:val="000000" w:themeColor="text1"/>
          <w:sz w:val="32"/>
          <w:szCs w:val="32"/>
          <w:highlight w:val="none"/>
          <w14:textFill>
            <w14:solidFill>
              <w14:schemeClr w14:val="tx1"/>
            </w14:solidFill>
          </w14:textFill>
        </w:rPr>
        <w:t>农机装备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应</w:t>
      </w:r>
      <w:r>
        <w:rPr>
          <w:rFonts w:hint="eastAsia" w:ascii="仿宋_GB2312" w:hAnsi="仿宋_GB2312" w:eastAsia="仿宋_GB2312" w:cs="仿宋_GB2312"/>
          <w:color w:val="000000" w:themeColor="text1"/>
          <w:sz w:val="32"/>
          <w:szCs w:val="32"/>
          <w:highlight w:val="none"/>
          <w14:textFill>
            <w14:solidFill>
              <w14:schemeClr w14:val="tx1"/>
            </w14:solidFill>
          </w14:textFill>
        </w:rPr>
        <w:t>为自有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且满足市级要求（见附件</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，拖拉机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和</w:t>
      </w:r>
      <w:r>
        <w:rPr>
          <w:rFonts w:hint="eastAsia" w:ascii="仿宋_GB2312" w:hAnsi="仿宋_GB2312" w:eastAsia="仿宋_GB2312" w:cs="仿宋_GB2312"/>
          <w:color w:val="000000" w:themeColor="text1"/>
          <w:sz w:val="32"/>
          <w:szCs w:val="32"/>
          <w:highlight w:val="none"/>
          <w14:textFill>
            <w14:solidFill>
              <w14:schemeClr w14:val="tx1"/>
            </w14:solidFill>
          </w14:textFill>
        </w:rPr>
        <w:t>玉米收获机已完成注册登记，且安全技术检验合格。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（二）补贴范围和标准</w:t>
      </w:r>
    </w:p>
    <w:tbl>
      <w:tblPr>
        <w:tblStyle w:val="6"/>
        <w:tblW w:w="97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81"/>
        <w:gridCol w:w="1331"/>
        <w:gridCol w:w="1267"/>
        <w:gridCol w:w="1670"/>
        <w:gridCol w:w="1069"/>
        <w:gridCol w:w="35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iCs w:val="0"/>
                <w:snapToGrid w:val="0"/>
                <w:color w:val="000000" w:themeColor="text1"/>
                <w:kern w:val="0"/>
                <w:sz w:val="21"/>
                <w:szCs w:val="21"/>
                <w:highlight w:val="none"/>
                <w:u w:val="none"/>
                <w:lang w:val="en-US" w:eastAsia="zh-CN" w:bidi="ar"/>
                <w14:textFill>
                  <w14:solidFill>
                    <w14:schemeClr w14:val="tx1"/>
                  </w14:solidFill>
                </w14:textFill>
              </w:rPr>
            </w:pPr>
            <w:r>
              <w:rPr>
                <w:rFonts w:hint="eastAsia" w:ascii="黑体" w:hAnsi="黑体" w:eastAsia="黑体" w:cs="黑体"/>
                <w:i w:val="0"/>
                <w:iCs w:val="0"/>
                <w:snapToGrid w:val="0"/>
                <w:color w:val="000000" w:themeColor="text1"/>
                <w:kern w:val="0"/>
                <w:sz w:val="21"/>
                <w:szCs w:val="21"/>
                <w:highlight w:val="none"/>
                <w:u w:val="none"/>
                <w:lang w:val="en-US" w:eastAsia="zh-CN" w:bidi="ar"/>
                <w14:textFill>
                  <w14:solidFill>
                    <w14:schemeClr w14:val="tx1"/>
                  </w14:solidFill>
                </w14:textFill>
              </w:rPr>
              <w:t>补贴</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iCs w:val="0"/>
                <w:color w:val="000000" w:themeColor="text1"/>
                <w:sz w:val="21"/>
                <w:szCs w:val="21"/>
                <w:highlight w:val="none"/>
                <w:u w:val="none"/>
                <w14:textFill>
                  <w14:solidFill>
                    <w14:schemeClr w14:val="tx1"/>
                  </w14:solidFill>
                </w14:textFill>
              </w:rPr>
            </w:pPr>
            <w:r>
              <w:rPr>
                <w:rFonts w:hint="eastAsia" w:ascii="黑体" w:hAnsi="黑体" w:eastAsia="黑体" w:cs="黑体"/>
                <w:i w:val="0"/>
                <w:iCs w:val="0"/>
                <w:snapToGrid w:val="0"/>
                <w:color w:val="000000" w:themeColor="text1"/>
                <w:kern w:val="0"/>
                <w:sz w:val="21"/>
                <w:szCs w:val="21"/>
                <w:highlight w:val="none"/>
                <w:u w:val="none"/>
                <w:lang w:val="en-US" w:eastAsia="zh-CN" w:bidi="ar"/>
                <w14:textFill>
                  <w14:solidFill>
                    <w14:schemeClr w14:val="tx1"/>
                  </w14:solidFill>
                </w14:textFill>
              </w:rPr>
              <w:t>类别</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iCs w:val="0"/>
                <w:color w:val="000000" w:themeColor="text1"/>
                <w:sz w:val="21"/>
                <w:szCs w:val="21"/>
                <w:highlight w:val="none"/>
                <w:u w:val="none"/>
                <w14:textFill>
                  <w14:solidFill>
                    <w14:schemeClr w14:val="tx1"/>
                  </w14:solidFill>
                </w14:textFill>
              </w:rPr>
            </w:pPr>
            <w:r>
              <w:rPr>
                <w:rFonts w:hint="eastAsia" w:ascii="黑体" w:hAnsi="黑体" w:eastAsia="黑体" w:cs="黑体"/>
                <w:i w:val="0"/>
                <w:iCs w:val="0"/>
                <w:snapToGrid w:val="0"/>
                <w:color w:val="000000" w:themeColor="text1"/>
                <w:kern w:val="0"/>
                <w:sz w:val="21"/>
                <w:szCs w:val="21"/>
                <w:highlight w:val="none"/>
                <w:u w:val="none"/>
                <w:lang w:val="en-US" w:eastAsia="zh-CN" w:bidi="ar"/>
                <w14:textFill>
                  <w14:solidFill>
                    <w14:schemeClr w14:val="tx1"/>
                  </w14:solidFill>
                </w14:textFill>
              </w:rPr>
              <w:t>适用范围/种植要求</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iCs w:val="0"/>
                <w:color w:val="000000" w:themeColor="text1"/>
                <w:sz w:val="21"/>
                <w:szCs w:val="21"/>
                <w:highlight w:val="none"/>
                <w:u w:val="none"/>
                <w14:textFill>
                  <w14:solidFill>
                    <w14:schemeClr w14:val="tx1"/>
                  </w14:solidFill>
                </w14:textFill>
              </w:rPr>
            </w:pPr>
            <w:r>
              <w:rPr>
                <w:rFonts w:hint="eastAsia" w:ascii="黑体" w:hAnsi="黑体" w:eastAsia="黑体" w:cs="黑体"/>
                <w:i w:val="0"/>
                <w:iCs w:val="0"/>
                <w:snapToGrid w:val="0"/>
                <w:color w:val="000000" w:themeColor="text1"/>
                <w:kern w:val="0"/>
                <w:sz w:val="21"/>
                <w:szCs w:val="21"/>
                <w:highlight w:val="none"/>
                <w:u w:val="none"/>
                <w:lang w:val="en-US" w:eastAsia="zh-CN" w:bidi="ar"/>
                <w14:textFill>
                  <w14:solidFill>
                    <w14:schemeClr w14:val="tx1"/>
                  </w14:solidFill>
                </w14:textFill>
              </w:rPr>
              <w:t>作业环节</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iCs w:val="0"/>
                <w:color w:val="000000" w:themeColor="text1"/>
                <w:sz w:val="21"/>
                <w:szCs w:val="21"/>
                <w:highlight w:val="none"/>
                <w:u w:val="none"/>
                <w14:textFill>
                  <w14:solidFill>
                    <w14:schemeClr w14:val="tx1"/>
                  </w14:solidFill>
                </w14:textFill>
              </w:rPr>
            </w:pPr>
            <w:r>
              <w:rPr>
                <w:rFonts w:hint="eastAsia" w:ascii="黑体" w:hAnsi="黑体" w:eastAsia="黑体" w:cs="黑体"/>
                <w:i w:val="0"/>
                <w:iCs w:val="0"/>
                <w:snapToGrid w:val="0"/>
                <w:color w:val="000000" w:themeColor="text1"/>
                <w:kern w:val="0"/>
                <w:sz w:val="21"/>
                <w:szCs w:val="21"/>
                <w:highlight w:val="none"/>
                <w:u w:val="none"/>
                <w:lang w:val="en-US" w:eastAsia="zh-CN" w:bidi="ar"/>
                <w14:textFill>
                  <w14:solidFill>
                    <w14:schemeClr w14:val="tx1"/>
                  </w14:solidFill>
                </w14:textFill>
              </w:rPr>
              <w:t>适用作物</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iCs w:val="0"/>
                <w:color w:val="000000" w:themeColor="text1"/>
                <w:sz w:val="21"/>
                <w:szCs w:val="21"/>
                <w:highlight w:val="none"/>
                <w:u w:val="none"/>
                <w14:textFill>
                  <w14:solidFill>
                    <w14:schemeClr w14:val="tx1"/>
                  </w14:solidFill>
                </w14:textFill>
              </w:rPr>
            </w:pPr>
            <w:r>
              <w:rPr>
                <w:rFonts w:hint="eastAsia" w:ascii="黑体" w:hAnsi="黑体" w:eastAsia="黑体" w:cs="黑体"/>
                <w:i w:val="0"/>
                <w:iCs w:val="0"/>
                <w:snapToGrid w:val="0"/>
                <w:color w:val="000000" w:themeColor="text1"/>
                <w:kern w:val="0"/>
                <w:sz w:val="21"/>
                <w:szCs w:val="21"/>
                <w:highlight w:val="none"/>
                <w:u w:val="none"/>
                <w:lang w:val="en-US" w:eastAsia="zh-CN" w:bidi="ar"/>
                <w14:textFill>
                  <w14:solidFill>
                    <w14:schemeClr w14:val="tx1"/>
                  </w14:solidFill>
                </w14:textFill>
              </w:rPr>
              <w:t>补贴标准（元/亩）</w:t>
            </w:r>
          </w:p>
        </w:tc>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iCs w:val="0"/>
                <w:color w:val="000000" w:themeColor="text1"/>
                <w:sz w:val="21"/>
                <w:szCs w:val="21"/>
                <w:highlight w:val="none"/>
                <w:u w:val="none"/>
                <w14:textFill>
                  <w14:solidFill>
                    <w14:schemeClr w14:val="tx1"/>
                  </w14:solidFill>
                </w14:textFill>
              </w:rPr>
            </w:pPr>
            <w:r>
              <w:rPr>
                <w:rFonts w:hint="eastAsia" w:ascii="黑体" w:hAnsi="黑体" w:eastAsia="黑体" w:cs="黑体"/>
                <w:i w:val="0"/>
                <w:iCs w:val="0"/>
                <w:snapToGrid w:val="0"/>
                <w:color w:val="000000" w:themeColor="text1"/>
                <w:kern w:val="0"/>
                <w:sz w:val="21"/>
                <w:szCs w:val="21"/>
                <w:highlight w:val="none"/>
                <w:u w:val="none"/>
                <w:lang w:val="en-US" w:eastAsia="zh-CN" w:bidi="ar"/>
                <w14:textFill>
                  <w14:solidFill>
                    <w14:schemeClr w14:val="tx1"/>
                  </w14:solidFill>
                </w14:textFill>
              </w:rPr>
              <w:t>补贴特殊要求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主要粮食作物</w:t>
            </w:r>
          </w:p>
        </w:tc>
        <w:tc>
          <w:tcPr>
            <w:tcW w:w="133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全区粮食种植地块</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卫星平地</w:t>
            </w:r>
          </w:p>
        </w:tc>
        <w:tc>
          <w:tcPr>
            <w:tcW w:w="167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小麦、玉米</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100</w:t>
            </w:r>
          </w:p>
        </w:tc>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需与高质量小麦或玉米播种作业配套完成，单独作业不予补贴；2026年同一地块只补贴1次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c>
          <w:tcPr>
            <w:tcW w:w="1331"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高质量播种</w:t>
            </w:r>
          </w:p>
        </w:tc>
        <w:tc>
          <w:tcPr>
            <w:tcW w:w="167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35</w:t>
            </w:r>
          </w:p>
        </w:tc>
        <w:tc>
          <w:tcPr>
            <w:tcW w:w="352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根据合格的实际作业面积给予补贴。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continue"/>
            <w:tcBorders>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c>
          <w:tcPr>
            <w:tcW w:w="1331" w:type="dxa"/>
            <w:vMerge w:val="continue"/>
            <w:tcBorders>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山区玉米机收</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玉米</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80</w:t>
            </w:r>
          </w:p>
        </w:tc>
        <w:tc>
          <w:tcPr>
            <w:tcW w:w="3525"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8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设施</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蔬菜</w:t>
            </w: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设施总面积≥30亩</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起垄</w:t>
            </w:r>
          </w:p>
        </w:tc>
        <w:tc>
          <w:tcPr>
            <w:tcW w:w="167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番茄、黄瓜、茄子、辣椒、甜椒</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45</w:t>
            </w:r>
          </w:p>
        </w:tc>
        <w:tc>
          <w:tcPr>
            <w:tcW w:w="352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根据合格的实际作业面积给予补贴。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移栽</w:t>
            </w:r>
          </w:p>
        </w:tc>
        <w:tc>
          <w:tcPr>
            <w:tcW w:w="167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150</w:t>
            </w:r>
          </w:p>
        </w:tc>
        <w:tc>
          <w:tcPr>
            <w:tcW w:w="3525"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播种</w:t>
            </w:r>
          </w:p>
        </w:tc>
        <w:tc>
          <w:tcPr>
            <w:tcW w:w="167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油菜、菠菜</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仿宋_GB2312" w:eastAsia="仿宋_GB2312" w:cs="仿宋_GB2312"/>
                <w:i w:val="0"/>
                <w:iCs w:val="0"/>
                <w:color w:val="000000" w:themeColor="text1"/>
                <w:sz w:val="21"/>
                <w:szCs w:val="21"/>
                <w:highlight w:val="none"/>
                <w:u w:val="none"/>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21"/>
                <w:szCs w:val="21"/>
                <w:highlight w:val="none"/>
                <w:u w:val="none"/>
                <w:lang w:val="en-US" w:eastAsia="zh-CN"/>
                <w14:textFill>
                  <w14:solidFill>
                    <w14:schemeClr w14:val="tx1"/>
                  </w14:solidFill>
                </w14:textFill>
              </w:rPr>
              <w:t>28</w:t>
            </w:r>
          </w:p>
        </w:tc>
        <w:tc>
          <w:tcPr>
            <w:tcW w:w="3525"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露地</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蔬菜</w:t>
            </w: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单品种单茬口连片种植规模≥20亩</w:t>
            </w:r>
          </w:p>
        </w:tc>
        <w:tc>
          <w:tcPr>
            <w:tcW w:w="126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卫星平地</w:t>
            </w:r>
          </w:p>
        </w:tc>
        <w:tc>
          <w:tcPr>
            <w:tcW w:w="1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生菜、西蓝花、菠菜、胡萝卜、洋葱</w:t>
            </w:r>
          </w:p>
        </w:tc>
        <w:tc>
          <w:tcPr>
            <w:tcW w:w="1069"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100</w:t>
            </w:r>
          </w:p>
        </w:tc>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2026年作业同一地块只补贴1次；根据合格的实际作业面积给予补贴。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c>
          <w:tcPr>
            <w:tcW w:w="126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起垄覆膜铺管一体作业</w:t>
            </w:r>
          </w:p>
        </w:tc>
        <w:tc>
          <w:tcPr>
            <w:tcW w:w="1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生菜、西蓝花、洋葱</w:t>
            </w:r>
          </w:p>
        </w:tc>
        <w:tc>
          <w:tcPr>
            <w:tcW w:w="1069"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30</w:t>
            </w:r>
          </w:p>
        </w:tc>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覆膜作业可根据种植需求选择，根据合格的实际作业面积给予补贴。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起垄铺管播种一体作业</w:t>
            </w:r>
          </w:p>
        </w:tc>
        <w:tc>
          <w:tcPr>
            <w:tcW w:w="167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t>胡萝卜</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28</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根据合格的实际作业面积给予补贴。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播种</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菠菜</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20</w:t>
            </w: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移栽</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生菜、西蓝花</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1"/>
                <w:szCs w:val="21"/>
                <w:highlight w:val="none"/>
                <w:u w:val="none"/>
                <w:lang w:val="en-US" w:eastAsia="zh-CN" w:bidi="ar"/>
                <w14:textFill>
                  <w14:solidFill>
                    <w14:schemeClr w14:val="tx1"/>
                  </w14:solidFill>
                </w14:textFill>
              </w:rPr>
              <w:t>150</w:t>
            </w: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themeColor="text1"/>
                <w:sz w:val="21"/>
                <w:szCs w:val="21"/>
                <w:highlight w:val="none"/>
                <w:u w:val="none"/>
                <w14:textFill>
                  <w14:solidFill>
                    <w14:schemeClr w14:val="tx1"/>
                  </w14:solidFill>
                </w14:textFill>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（三</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w:t>
      </w:r>
      <w:r>
        <w:rPr>
          <w:rFonts w:hint="eastAsia" w:ascii="楷体_GB2312" w:hAnsi="楷体_GB2312" w:eastAsia="楷体_GB2312" w:cs="楷体_GB2312"/>
          <w:color w:val="000000" w:themeColor="text1"/>
          <w:sz w:val="32"/>
          <w:szCs w:val="32"/>
          <w:lang w:eastAsia="zh-CN"/>
          <w14:textFill>
            <w14:solidFill>
              <w14:schemeClr w14:val="tx1"/>
            </w14:solidFill>
          </w14:textFill>
        </w:rPr>
        <w:t>实施流程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明确作业计划</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各镇街农机管理</w:t>
      </w:r>
      <w:r>
        <w:rPr>
          <w:rFonts w:hint="eastAsia" w:ascii="仿宋_GB2312" w:hAnsi="仿宋_GB2312" w:eastAsia="仿宋_GB2312" w:cs="仿宋_GB2312"/>
          <w:color w:val="000000" w:themeColor="text1"/>
          <w:sz w:val="32"/>
          <w:szCs w:val="32"/>
          <w14:textFill>
            <w14:solidFill>
              <w14:schemeClr w14:val="tx1"/>
            </w14:solidFill>
          </w14:textFill>
        </w:rPr>
        <w:t>部门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要对本</w:t>
      </w:r>
      <w:r>
        <w:rPr>
          <w:rFonts w:hint="eastAsia" w:ascii="仿宋_GB2312" w:hAnsi="仿宋_GB2312" w:eastAsia="仿宋_GB2312" w:cs="仿宋_GB2312"/>
          <w:color w:val="000000" w:themeColor="text1"/>
          <w:sz w:val="32"/>
          <w:szCs w:val="32"/>
          <w:lang w:eastAsia="zh-CN"/>
          <w14:textFill>
            <w14:solidFill>
              <w14:schemeClr w14:val="tx1"/>
            </w14:solidFill>
          </w14:textFill>
        </w:rPr>
        <w:t>辖区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符合上述补贴范围的</w:t>
      </w:r>
      <w:r>
        <w:rPr>
          <w:rFonts w:hint="eastAsia" w:ascii="仿宋_GB2312" w:hAnsi="仿宋_GB2312" w:eastAsia="仿宋_GB2312" w:cs="仿宋_GB2312"/>
          <w:color w:val="000000" w:themeColor="text1"/>
          <w:sz w:val="32"/>
          <w:szCs w:val="32"/>
          <w14:textFill>
            <w14:solidFill>
              <w14:schemeClr w14:val="tx1"/>
            </w14:solidFill>
          </w14:textFill>
        </w:rPr>
        <w:t>作业补贴需求提前</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进行调查</w:t>
      </w:r>
      <w:r>
        <w:rPr>
          <w:rFonts w:hint="eastAsia" w:ascii="仿宋_GB2312" w:hAnsi="仿宋_GB2312" w:eastAsia="仿宋_GB2312" w:cs="仿宋_GB2312"/>
          <w:color w:val="000000" w:themeColor="text1"/>
          <w:sz w:val="32"/>
          <w:szCs w:val="32"/>
          <w:highlight w:val="none"/>
          <w14:textFill>
            <w14:solidFill>
              <w14:schemeClr w14:val="tx1"/>
            </w14:solidFill>
          </w14:textFill>
        </w:rPr>
        <w:t>摸底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并报区农业服务中心</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区农业</w:t>
      </w:r>
      <w:r>
        <w:rPr>
          <w:rFonts w:hint="eastAsia" w:ascii="仿宋_GB2312" w:hAnsi="仿宋_GB2312" w:eastAsia="仿宋_GB2312" w:cs="仿宋_GB2312"/>
          <w:color w:val="000000" w:themeColor="text1"/>
          <w:sz w:val="32"/>
          <w:szCs w:val="32"/>
          <w:lang w:eastAsia="zh-CN"/>
          <w14:textFill>
            <w14:solidFill>
              <w14:schemeClr w14:val="tx1"/>
            </w14:solidFill>
          </w14:textFill>
        </w:rPr>
        <w:t>服务中心</w:t>
      </w:r>
      <w:r>
        <w:rPr>
          <w:rFonts w:hint="eastAsia" w:ascii="仿宋_GB2312" w:hAnsi="仿宋_GB2312" w:eastAsia="仿宋_GB2312" w:cs="仿宋_GB2312"/>
          <w:color w:val="000000" w:themeColor="text1"/>
          <w:sz w:val="32"/>
          <w:szCs w:val="32"/>
          <w14:textFill>
            <w14:solidFill>
              <w14:schemeClr w14:val="tx1"/>
            </w14:solidFill>
          </w14:textFill>
        </w:rPr>
        <w:t>对接市级任务，将作业指标与资金额度</w:t>
      </w:r>
      <w:r>
        <w:rPr>
          <w:rFonts w:hint="eastAsia" w:ascii="仿宋_GB2312" w:hAnsi="仿宋_GB2312" w:eastAsia="仿宋_GB2312" w:cs="仿宋_GB2312"/>
          <w:color w:val="000000" w:themeColor="text1"/>
          <w:sz w:val="32"/>
          <w:szCs w:val="32"/>
          <w:lang w:eastAsia="zh-CN"/>
          <w14:textFill>
            <w14:solidFill>
              <w14:schemeClr w14:val="tx1"/>
            </w14:solidFill>
          </w14:textFill>
        </w:rPr>
        <w:t>进行分解，市级资金额度用完为止</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2.确定作业主体</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组织自主申报</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。各镇街</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对照</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区级工作方案</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，以及智能农机装备、作业监测终端配</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置等</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相关</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要求</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，组织辖区内符合条件的经营主体自主申报，依托“京机慧”</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平台</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，同步提交作业资质证明</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（营业执照、法人身份证）</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、农机具基础信息</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、农</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机具权属佐证</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（购机发票）</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等全套申报材料。</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终端与机具绑定</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。主要粮食作物和露地蔬菜开展补贴环节作业时</w:t>
      </w:r>
      <w:r>
        <w:rPr>
          <w:rFonts w:hint="eastAsia" w:ascii="仿宋_GB2312" w:hAnsi="仿宋_GB2312" w:eastAsia="仿宋_GB2312" w:cs="仿宋_GB2312"/>
          <w:b w:val="0"/>
          <w:bCs w:val="0"/>
          <w:snapToGrid w:val="0"/>
          <w:color w:val="000000" w:themeColor="text1"/>
          <w:kern w:val="0"/>
          <w:sz w:val="32"/>
          <w:szCs w:val="32"/>
          <w:highlight w:val="none"/>
          <w:lang w:val="en-US" w:eastAsia="zh-CN" w:bidi="ar"/>
          <w14:textFill>
            <w14:solidFill>
              <w14:schemeClr w14:val="tx1"/>
            </w14:solidFill>
          </w14:textFill>
        </w:rPr>
        <w:t>监测终端与农机实行一对一绑定，严禁跨机具调换使用。终端故障时，</w:t>
      </w:r>
      <w:r>
        <w:rPr>
          <w:rFonts w:hint="eastAsia" w:ascii="仿宋_GB2312" w:hAnsi="仿宋_GB2312" w:eastAsia="仿宋_GB2312" w:cs="仿宋_GB2312"/>
          <w:b w:val="0"/>
          <w:bCs w:val="0"/>
          <w:color w:val="000000" w:themeColor="text1"/>
          <w:sz w:val="32"/>
          <w:szCs w:val="32"/>
          <w14:textFill>
            <w14:solidFill>
              <w14:schemeClr w14:val="tx1"/>
            </w14:solidFill>
          </w14:textFill>
        </w:rPr>
        <w:t>由作业主体申请</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更新</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终端</w:t>
      </w:r>
      <w:r>
        <w:rPr>
          <w:rFonts w:hint="eastAsia" w:ascii="仿宋_GB2312" w:hAnsi="仿宋_GB2312" w:eastAsia="仿宋_GB2312" w:cs="仿宋_GB2312"/>
          <w:b w:val="0"/>
          <w:bCs w:val="0"/>
          <w:color w:val="000000" w:themeColor="text1"/>
          <w:sz w:val="32"/>
          <w:szCs w:val="32"/>
          <w14:textFill>
            <w14:solidFill>
              <w14:schemeClr w14:val="tx1"/>
            </w14:solidFill>
          </w14:textFill>
        </w:rPr>
        <w:t>信息、区</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农业服务中心</w:t>
      </w:r>
      <w:r>
        <w:rPr>
          <w:rFonts w:hint="eastAsia" w:ascii="仿宋_GB2312" w:hAnsi="仿宋_GB2312" w:eastAsia="仿宋_GB2312" w:cs="仿宋_GB2312"/>
          <w:b w:val="0"/>
          <w:bCs w:val="0"/>
          <w:color w:val="000000" w:themeColor="text1"/>
          <w:sz w:val="32"/>
          <w:szCs w:val="32"/>
          <w14:textFill>
            <w14:solidFill>
              <w14:schemeClr w14:val="tx1"/>
            </w14:solidFill>
          </w14:textFill>
        </w:rPr>
        <w:t>提交</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《监测终端</w:t>
      </w:r>
      <w:r>
        <w:rPr>
          <w:rFonts w:hint="eastAsia" w:ascii="仿宋_GB2312" w:hAnsi="仿宋_GB2312" w:eastAsia="仿宋_GB2312" w:cs="仿宋_GB2312"/>
          <w:b w:val="0"/>
          <w:bCs w:val="0"/>
          <w:color w:val="000000" w:themeColor="text1"/>
          <w:sz w:val="32"/>
          <w:szCs w:val="32"/>
          <w14:textFill>
            <w14:solidFill>
              <w14:schemeClr w14:val="tx1"/>
            </w14:solidFill>
          </w14:textFill>
        </w:rPr>
        <w:t>信息更新表</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见</w:t>
      </w:r>
      <w:r>
        <w:rPr>
          <w:rFonts w:hint="eastAsia" w:ascii="仿宋_GB2312" w:hAnsi="仿宋_GB2312" w:eastAsia="仿宋_GB2312" w:cs="仿宋_GB2312"/>
          <w:b w:val="0"/>
          <w:bCs w:val="0"/>
          <w:color w:val="000000" w:themeColor="text1"/>
          <w:sz w:val="32"/>
          <w:szCs w:val="32"/>
          <w14:textFill>
            <w14:solidFill>
              <w14:schemeClr w14:val="tx1"/>
            </w14:solidFill>
          </w14:textFill>
        </w:rPr>
        <w:t>附件</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市农业农村</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局在综合管理系统</w:t>
      </w:r>
      <w:r>
        <w:rPr>
          <w:rFonts w:hint="eastAsia" w:ascii="仿宋_GB2312" w:hAnsi="仿宋_GB2312" w:eastAsia="仿宋_GB2312" w:cs="仿宋_GB2312"/>
          <w:b w:val="0"/>
          <w:bCs w:val="0"/>
          <w:color w:val="000000" w:themeColor="text1"/>
          <w:sz w:val="32"/>
          <w:szCs w:val="32"/>
          <w14:textFill>
            <w14:solidFill>
              <w14:schemeClr w14:val="tx1"/>
            </w14:solidFill>
          </w14:textFill>
        </w:rPr>
        <w:t>信息更新。</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成立区级审核小组，严格审核把关。</w:t>
      </w:r>
      <w:r>
        <w:rPr>
          <w:rFonts w:hint="eastAsia" w:ascii="仿宋_GB2312" w:hAnsi="仿宋_GB2312" w:eastAsia="仿宋_GB2312" w:cs="仿宋_GB2312"/>
          <w:b w:val="0"/>
          <w:bCs w:val="0"/>
          <w:color w:val="000000" w:themeColor="text1"/>
          <w:sz w:val="32"/>
          <w:szCs w:val="32"/>
          <w14:textFill>
            <w14:solidFill>
              <w14:schemeClr w14:val="tx1"/>
            </w14:solidFill>
          </w14:textFill>
        </w:rPr>
        <w:t>由</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区农业服务中心牵头组织，具体由设施农业科、区农业机械化技术推广站</w:t>
      </w:r>
      <w:r>
        <w:rPr>
          <w:rFonts w:hint="eastAsia" w:ascii="仿宋_GB2312" w:hAnsi="仿宋_GB2312" w:eastAsia="仿宋_GB2312" w:cs="仿宋_GB2312"/>
          <w:b w:val="0"/>
          <w:bCs w:val="0"/>
          <w:color w:val="000000" w:themeColor="text1"/>
          <w:sz w:val="32"/>
          <w:szCs w:val="32"/>
          <w14:textFill>
            <w14:solidFill>
              <w14:schemeClr w14:val="tx1"/>
            </w14:solidFill>
          </w14:textFill>
        </w:rPr>
        <w:t>按照</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要求联合开展作业主体审核</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全年至少组织2次集中审核，审核小组采取线上核验与现场核查相结合方式，重点核验申报主体提交资料真实完整性、在用农机具实际配备达标情况，据实出具书面审核意见并留档备查。经审核小组核验合格的申报主体，在市级综合管理系统内完成信息确认后正式确定为我区农机作业补</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贴实施主体。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3.作业数据采集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32"/>
          <w:szCs w:val="32"/>
          <w:highlight w:val="none"/>
          <w:lang w:val="en-US" w:eastAsia="zh-CN" w:bidi="ar"/>
          <w14:textFill>
            <w14:solidFill>
              <w14:schemeClr w14:val="tx1"/>
            </w14:solidFill>
          </w14:textFill>
        </w:rPr>
        <w:t>主要粮食作物、露地蔬菜作业由监测终端自动采集；设施蔬菜要求作业主体</w:t>
      </w:r>
      <w:r>
        <w:rPr>
          <w:rFonts w:hint="eastAsia" w:ascii="仿宋_GB2312" w:hAnsi="仿宋_GB2312" w:eastAsia="仿宋_GB2312" w:cs="仿宋_GB2312"/>
          <w:color w:val="000000" w:themeColor="text1"/>
          <w:sz w:val="32"/>
          <w:szCs w:val="32"/>
          <w14:textFill>
            <w14:solidFill>
              <w14:schemeClr w14:val="tx1"/>
            </w14:solidFill>
          </w14:textFill>
        </w:rPr>
        <w:t>3个工作日内</w:t>
      </w:r>
      <w:r>
        <w:rPr>
          <w:rFonts w:hint="eastAsia" w:ascii="仿宋_GB2312" w:hAnsi="仿宋_GB2312" w:eastAsia="仿宋_GB2312" w:cs="仿宋_GB2312"/>
          <w:color w:val="000000" w:themeColor="text1"/>
          <w:sz w:val="32"/>
          <w:szCs w:val="32"/>
          <w:lang w:eastAsia="zh-CN"/>
          <w14:textFill>
            <w14:solidFill>
              <w14:schemeClr w14:val="tx1"/>
            </w14:solidFill>
          </w14:textFill>
        </w:rPr>
        <w:t>在京机慧</w:t>
      </w:r>
      <w:r>
        <w:rPr>
          <w:rFonts w:hint="eastAsia" w:ascii="仿宋_GB2312" w:hAnsi="仿宋_GB2312" w:eastAsia="仿宋_GB2312" w:cs="仿宋_GB2312"/>
          <w:b w:val="0"/>
          <w:bCs w:val="0"/>
          <w:snapToGrid w:val="0"/>
          <w:color w:val="000000" w:themeColor="text1"/>
          <w:kern w:val="0"/>
          <w:sz w:val="32"/>
          <w:szCs w:val="32"/>
          <w:highlight w:val="none"/>
          <w:lang w:val="en-US" w:eastAsia="zh-CN" w:bidi="ar"/>
          <w14:textFill>
            <w14:solidFill>
              <w14:schemeClr w14:val="tx1"/>
            </w14:solidFill>
          </w14:textFill>
        </w:rPr>
        <w:t>上传现场采集的作业</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机具图片</w:t>
      </w:r>
      <w:r>
        <w:rPr>
          <w:rFonts w:hint="eastAsia" w:ascii="仿宋_GB2312" w:hAnsi="仿宋_GB2312" w:eastAsia="仿宋_GB2312" w:cs="仿宋_GB2312"/>
          <w:b w:val="0"/>
          <w:bCs w:val="0"/>
          <w:snapToGrid w:val="0"/>
          <w:color w:val="000000" w:themeColor="text1"/>
          <w:kern w:val="0"/>
          <w:sz w:val="32"/>
          <w:szCs w:val="32"/>
          <w:highlight w:val="none"/>
          <w:lang w:val="en-US" w:eastAsia="zh-CN" w:bidi="ar"/>
          <w14:textFill>
            <w14:solidFill>
              <w14:schemeClr w14:val="tx1"/>
            </w14:solidFill>
          </w14:textFill>
        </w:rPr>
        <w:t>、不少于30秒连贯作业视频及大棚二维码等资料，全程执行市级标准。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4.组织审核验收</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snapToGrid w:val="0"/>
          <w:color w:val="000000" w:themeColor="text1"/>
          <w:kern w:val="0"/>
          <w:sz w:val="32"/>
          <w:szCs w:val="32"/>
          <w:highlight w:val="none"/>
          <w:lang w:val="en-US" w:eastAsia="zh-CN"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32"/>
          <w:szCs w:val="32"/>
          <w:highlight w:val="none"/>
          <w:lang w:val="en-US" w:eastAsia="zh-CN" w:bidi="ar"/>
          <w14:textFill>
            <w14:solidFill>
              <w14:schemeClr w14:val="tx1"/>
            </w14:solidFill>
          </w14:textFill>
        </w:rPr>
        <w:t>区农业服务中心牵头组织区级审核小组以及作业所在地镇街农机管理部门进行现场核验，至少2人同行。主要粮食作物作业数据由综合管理系统采集数据自动完成审核验收；设施蔬菜作业数据根据生产记录等信息，在可辨别种植作物后的10个工作日内现场核验，核销过道、耳房等未作业面积后，现场填写《设施农业作业补贴信息核验表》（见附件3）5个工作日内上传系统。露地蔬菜作业数据根据生产记录等信息在可辨别种植作物后10个工作日内现场核验，填写《露地蔬菜种植作物核验表》上传系统（见附件4）。终端故障时，由作业主体24小时内上报区农业服务中心设施农业科，5个工作日内现场核验，并填写《异常情形作业补贴现场核验表》（见附件5）上传系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5.公示公开</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bCs/>
          <w:snapToGrid w:val="0"/>
          <w:color w:val="000000" w:themeColor="text1"/>
          <w:kern w:val="0"/>
          <w:sz w:val="32"/>
          <w:szCs w:val="32"/>
          <w:highlight w:val="none"/>
          <w:lang w:val="en-US" w:eastAsia="zh-CN"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32"/>
          <w:szCs w:val="32"/>
          <w:highlight w:val="none"/>
          <w:lang w:val="en-US" w:eastAsia="zh-CN" w:bidi="ar"/>
          <w14:textFill>
            <w14:solidFill>
              <w14:schemeClr w14:val="tx1"/>
            </w14:solidFill>
          </w14:textFill>
        </w:rPr>
        <w:t>每年分2批次开展公示，各相关镇同步公示，</w:t>
      </w:r>
      <w:r>
        <w:rPr>
          <w:rFonts w:hint="eastAsia" w:ascii="仿宋_GB2312" w:hAnsi="仿宋_GB2312" w:eastAsia="仿宋_GB2312" w:cs="仿宋_GB2312"/>
          <w:color w:val="000000" w:themeColor="text1"/>
          <w:sz w:val="32"/>
          <w:szCs w:val="32"/>
          <w:highlight w:val="none"/>
          <w14:textFill>
            <w14:solidFill>
              <w14:schemeClr w14:val="tx1"/>
            </w14:solidFill>
          </w14:textFill>
        </w:rPr>
        <w:t>公示时间不少于5个工作日。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6.资金兑付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napToGrid w:val="0"/>
          <w:color w:val="000000" w:themeColor="text1"/>
          <w:kern w:val="0"/>
          <w:sz w:val="32"/>
          <w:szCs w:val="32"/>
          <w:highlight w:val="none"/>
          <w:lang w:val="en-US" w:eastAsia="zh-CN"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32"/>
          <w:szCs w:val="32"/>
          <w:highlight w:val="none"/>
          <w:lang w:val="en-US" w:eastAsia="zh-CN" w:bidi="ar"/>
          <w14:textFill>
            <w14:solidFill>
              <w14:schemeClr w14:val="tx1"/>
            </w14:solidFill>
          </w14:textFill>
        </w:rPr>
        <w:t>公示无异议后，由</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区农业服务中心</w:t>
      </w:r>
      <w:r>
        <w:rPr>
          <w:rFonts w:hint="eastAsia" w:ascii="仿宋_GB2312" w:hAnsi="仿宋_GB2312" w:eastAsia="仿宋_GB2312" w:cs="仿宋_GB2312"/>
          <w:color w:val="000000" w:themeColor="text1"/>
          <w:sz w:val="32"/>
          <w:szCs w:val="32"/>
          <w:highlight w:val="none"/>
          <w14:textFill>
            <w14:solidFill>
              <w14:schemeClr w14:val="tx1"/>
            </w14:solidFill>
          </w14:textFill>
        </w:rPr>
        <w:t>会同区财政</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局完成作业补贴资金兑付</w:t>
      </w:r>
      <w:r>
        <w:rPr>
          <w:rFonts w:hint="eastAsia" w:ascii="仿宋_GB2312" w:hAnsi="仿宋_GB2312" w:eastAsia="仿宋_GB2312" w:cs="仿宋_GB2312"/>
          <w:b w:val="0"/>
          <w:bCs w:val="0"/>
          <w:snapToGrid w:val="0"/>
          <w:color w:val="000000" w:themeColor="text1"/>
          <w:kern w:val="0"/>
          <w:sz w:val="32"/>
          <w:szCs w:val="32"/>
          <w:highlight w:val="none"/>
          <w:lang w:val="en-US" w:eastAsia="zh-CN" w:bidi="ar"/>
          <w14:textFill>
            <w14:solidFill>
              <w14:schemeClr w14:val="tx1"/>
            </w14:solidFill>
          </w14:textFill>
        </w:rPr>
        <w:t>，严格按照市级下达资金及年度总额执行，优先使用结余结转资金，2026年12月底前兑付到位。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7.总结报送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color w:val="000000" w:themeColor="text1"/>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32"/>
          <w:szCs w:val="32"/>
          <w:highlight w:val="none"/>
          <w:lang w:val="en-US" w:eastAsia="zh-CN" w:bidi="ar"/>
          <w14:textFill>
            <w14:solidFill>
              <w14:schemeClr w14:val="tx1"/>
            </w14:solidFill>
          </w14:textFill>
        </w:rPr>
        <w:t>2026年12月25日前，将年度工作总结报送市农业农村局。</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等线">
    <w:altName w:val="微软雅黑"/>
    <w:panose1 w:val="02010600030101010101"/>
    <w:charset w:val="00"/>
    <w:family w:val="auto"/>
    <w:pitch w:val="default"/>
    <w:sig w:usb0="00000000" w:usb1="00000000" w:usb2="00000016" w:usb3="00000000" w:csb0="0004000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3B6D63"/>
    <w:rsid w:val="02EC6C0B"/>
    <w:rsid w:val="5FDE4673"/>
    <w:rsid w:val="7F7FE419"/>
    <w:rsid w:val="F7F939E8"/>
    <w:rsid w:val="FF3B6D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unhideWhenUsed/>
    <w:qFormat/>
    <w:uiPriority w:val="0"/>
    <w:pPr>
      <w:ind w:firstLine="420" w:firstLineChars="200"/>
    </w:pPr>
    <w:rPr>
      <w:rFonts w:ascii="Times New Roman" w:hAnsi="Times New Roman" w:eastAsia="宋体" w:cs="Times New Roman"/>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footnote text"/>
    <w:basedOn w:val="1"/>
    <w:qFormat/>
    <w:uiPriority w:val="0"/>
    <w:pPr>
      <w:snapToGrid w:val="0"/>
      <w:jc w:val="left"/>
    </w:pPr>
    <w:rPr>
      <w:rFonts w:ascii="宋体" w:hAnsi="Calibri"/>
      <w:kern w:val="0"/>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Table Paragraph"/>
    <w:basedOn w:val="1"/>
    <w:qFormat/>
    <w:uiPriority w:val="1"/>
    <w:rPr>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7</TotalTime>
  <ScaleCrop>false</ScaleCrop>
  <LinksUpToDate>false</LinksUpToDate>
  <CharactersWithSpaces>0</CharactersWithSpaces>
  <Application>WPS Office_12.8.2.16984_F1E327BC-269C-435d-A152-05C5408002CA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2026-06-18T01:18:00Z</dcterms:created>
  <dc:creator>薛子</dc:creator>
  <cp:lastModifiedBy>小兔子乖乖</cp:lastModifiedBy>
  <dcterms:modified xsi:type="dcterms:W3CDTF">2026-06-18T06:42:31Z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2052-12.8.2.16984</vt:lpwstr>
  </property>
  <property fmtid="{D5CDD505-2E9C-101B-9397-08002B2CF9AE}" pid="3" name="ICV">
    <vt:lpwstr>0A672F0D2AE2675F6066326A7B7D15EE_41</vt:lpwstr>
  </property>
</Properties>
</file>