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关于促进高质量充分就业的实施方案的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32"/>
          <w:szCs w:val="32"/>
          <w:lang w:val="en-US" w:eastAsia="zh-CN"/>
        </w:rPr>
      </w:pPr>
      <w:r>
        <w:rPr>
          <w:rFonts w:hint="eastAsia" w:ascii="方正小标宋简体" w:hAnsi="方正小标宋简体" w:eastAsia="方正小标宋简体" w:cs="方正小标宋简体"/>
          <w:sz w:val="44"/>
          <w:szCs w:val="44"/>
          <w:lang w:val="en-US" w:eastAsia="zh-CN"/>
        </w:rPr>
        <w:t>起草说明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背景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56" w:firstLineChars="200"/>
        <w:jc w:val="both"/>
        <w:textAlignment w:val="auto"/>
        <w:outlineLvl w:val="9"/>
        <w:rPr>
          <w:rFonts w:hint="eastAsia" w:ascii="仿宋_GB2312" w:hAnsi="仿宋_GB2312" w:eastAsia="仿宋_GB2312" w:cs="仿宋_GB2312"/>
          <w:color w:val="auto"/>
          <w:spacing w:val="4"/>
          <w:sz w:val="32"/>
          <w:szCs w:val="32"/>
          <w:highlight w:val="none"/>
          <w:u w:val="none"/>
          <w:lang w:val="en-US" w:eastAsia="zh-CN"/>
        </w:rPr>
      </w:pPr>
      <w:r>
        <w:rPr>
          <w:rFonts w:hint="eastAsia" w:ascii="仿宋_GB2312" w:hAnsi="仿宋_GB2312" w:eastAsia="仿宋_GB2312" w:cs="仿宋_GB2312"/>
          <w:color w:val="auto"/>
          <w:spacing w:val="4"/>
          <w:sz w:val="32"/>
          <w:szCs w:val="32"/>
          <w:highlight w:val="none"/>
          <w:u w:val="none"/>
          <w:lang w:val="en-US" w:eastAsia="zh-CN"/>
        </w:rPr>
        <w:t>党的二十届四中全会提出要促进高质量充分就业，构建就业友好型发展方式。2024年9月15日</w:t>
      </w:r>
      <w:r>
        <w:rPr>
          <w:rFonts w:hint="eastAsia" w:ascii="仿宋_GB2312" w:hAnsi="仿宋_GB2312" w:eastAsia="仿宋_GB2312" w:cs="仿宋_GB2312"/>
          <w:color w:val="auto"/>
          <w:spacing w:val="4"/>
          <w:sz w:val="32"/>
          <w:szCs w:val="32"/>
          <w:highlight w:val="none"/>
          <w:u w:val="none"/>
          <w:lang w:val="en-US" w:eastAsia="zh-CN"/>
        </w:rPr>
        <w:t>《中共中央、国务院关于实施就业优先战略促进高质量充分就业的意见》印发，2025年8月7日，中共北京市委办公厅、北京市人民政府办公厅印发《关于促进高质量充分就业的实施意见》（京发〔2025〕9号）,对推动首都高质量充分就业发展工作进行全面部署。制定我区落实措施，有利于更好落实党中央国务院新要求和市委市政府新部署，把握和应对石景山区高质量就业发展面临的机遇和挑战，因地制宜提出具体可行的任务目标，推进我区就业工作高质量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二、具体细化</w:t>
      </w:r>
      <w:r>
        <w:rPr>
          <w:rFonts w:hint="eastAsia" w:ascii="黑体" w:hAnsi="黑体" w:eastAsia="黑体" w:cs="黑体"/>
          <w:sz w:val="32"/>
          <w:szCs w:val="32"/>
          <w:lang w:eastAsia="zh-CN"/>
        </w:rPr>
        <w:t>的</w:t>
      </w:r>
      <w:r>
        <w:rPr>
          <w:rFonts w:hint="eastAsia" w:ascii="黑体" w:hAnsi="黑体" w:eastAsia="黑体" w:cs="黑体"/>
          <w:sz w:val="32"/>
          <w:szCs w:val="32"/>
        </w:rPr>
        <w:t>重点内容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56" w:firstLineChars="200"/>
        <w:jc w:val="both"/>
        <w:textAlignment w:val="auto"/>
        <w:outlineLvl w:val="9"/>
        <w:rPr>
          <w:rFonts w:hint="eastAsia" w:ascii="仿宋_GB2312" w:hAnsi="仿宋_GB2312" w:eastAsia="仿宋_GB2312" w:cs="仿宋_GB2312"/>
          <w:color w:val="auto"/>
          <w:spacing w:val="4"/>
          <w:sz w:val="32"/>
          <w:szCs w:val="32"/>
          <w:highlight w:val="none"/>
          <w:u w:val="none"/>
          <w:lang w:val="en-US" w:eastAsia="zh-CN"/>
        </w:rPr>
      </w:pPr>
      <w:r>
        <w:rPr>
          <w:rFonts w:hint="eastAsia" w:ascii="仿宋_GB2312" w:hAnsi="仿宋_GB2312" w:eastAsia="仿宋_GB2312" w:cs="仿宋_GB2312"/>
          <w:color w:val="auto"/>
          <w:spacing w:val="4"/>
          <w:sz w:val="32"/>
          <w:szCs w:val="32"/>
          <w:highlight w:val="none"/>
          <w:u w:val="none"/>
          <w:lang w:val="en-US" w:eastAsia="zh-CN"/>
        </w:rPr>
        <w:t>《关于促进高质量充分就业的实施方案》（以下简称《区级实施方案》）对</w:t>
      </w:r>
      <w:bookmarkStart w:id="0" w:name="_GoBack"/>
      <w:bookmarkEnd w:id="0"/>
      <w:r>
        <w:rPr>
          <w:rFonts w:hint="eastAsia" w:ascii="仿宋_GB2312" w:hAnsi="仿宋_GB2312" w:eastAsia="仿宋_GB2312" w:cs="仿宋_GB2312"/>
          <w:color w:val="auto"/>
          <w:spacing w:val="4"/>
          <w:sz w:val="32"/>
          <w:szCs w:val="32"/>
          <w:highlight w:val="none"/>
          <w:u w:val="none"/>
          <w:lang w:val="en-US" w:eastAsia="zh-CN"/>
        </w:rPr>
        <w:t>标《市级实施意见》框架结构安排，在承接落实好市级涉区任务的同时，全面梳理我区高质量就业发展重点工作，提出具体任务措施。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56" w:firstLineChars="200"/>
        <w:jc w:val="both"/>
        <w:textAlignment w:val="auto"/>
        <w:outlineLvl w:val="9"/>
        <w:rPr>
          <w:rFonts w:hint="eastAsia" w:ascii="仿宋_GB2312" w:hAnsi="仿宋_GB2312" w:eastAsia="仿宋_GB2312" w:cs="仿宋_GB2312"/>
          <w:color w:val="auto"/>
          <w:spacing w:val="4"/>
          <w:sz w:val="32"/>
          <w:szCs w:val="32"/>
          <w:highlight w:val="none"/>
          <w:u w:val="none"/>
          <w:lang w:val="en-US" w:eastAsia="zh-CN"/>
        </w:rPr>
      </w:pPr>
      <w:r>
        <w:rPr>
          <w:rFonts w:hint="eastAsia" w:ascii="仿宋_GB2312" w:hAnsi="仿宋_GB2312" w:eastAsia="仿宋_GB2312" w:cs="仿宋_GB2312"/>
          <w:color w:val="auto"/>
          <w:spacing w:val="4"/>
          <w:sz w:val="32"/>
          <w:szCs w:val="32"/>
          <w:highlight w:val="none"/>
          <w:u w:val="none"/>
          <w:lang w:val="en-US" w:eastAsia="zh-CN"/>
        </w:rPr>
        <w:t>在推动经济社会发展与促进就业协调联动方面，细化提出用好“一产业一链长”工作机制，发挥服贸会引领带动作用，加大家政、养老、托育等领域岗位开发力度等具体内容。在加快塑造现代化人力资源方面，细化提出依托清华大学重点实验室、哈工大北京研究院、中国电科“电科芯云”北方工大实训基地等平台推进产学研用和产教融合体建设等具体内容。在支持重点群体就业方面，细化提出青年人才创新创业基地建设、零工市场“标准化建设+数智赋能”建设等具体内容。在健全就业服务体系方面，细化提出制定石景山区就业公共服务能力提升两年行动计划、建立公共就业服务调度指挥中心等具体内容。在保障劳动者就业权益方面，细化提出完善民事支持起诉机制、开展人力资源市场秩序联合执法等具体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主要落实举措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56" w:firstLineChars="200"/>
        <w:jc w:val="both"/>
        <w:textAlignment w:val="auto"/>
        <w:outlineLvl w:val="9"/>
        <w:rPr>
          <w:rFonts w:hint="eastAsia" w:ascii="仿宋_GB2312" w:hAnsi="仿宋_GB2312" w:eastAsia="仿宋_GB2312" w:cs="仿宋_GB2312"/>
          <w:color w:val="auto"/>
          <w:spacing w:val="4"/>
          <w:sz w:val="32"/>
          <w:szCs w:val="32"/>
          <w:highlight w:val="none"/>
          <w:u w:val="none"/>
          <w:lang w:val="en-US" w:eastAsia="zh-CN"/>
        </w:rPr>
      </w:pPr>
      <w:r>
        <w:rPr>
          <w:rFonts w:hint="eastAsia" w:ascii="仿宋_GB2312" w:hAnsi="仿宋_GB2312" w:eastAsia="仿宋_GB2312" w:cs="仿宋_GB2312"/>
          <w:color w:val="auto"/>
          <w:spacing w:val="4"/>
          <w:sz w:val="32"/>
          <w:szCs w:val="32"/>
          <w:highlight w:val="none"/>
          <w:u w:val="none"/>
          <w:lang w:val="en-US" w:eastAsia="zh-CN"/>
        </w:rPr>
        <w:t>《区级实施意见》从推动经济社会发展与促进就业协调联动、加快塑造现代化人力资源、支持重点群体就业、健全就业服务体系、保障劳动者就业权益五个方面，为推动高质量就业发展提供有力保障。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59" w:firstLineChars="200"/>
        <w:jc w:val="both"/>
        <w:textAlignment w:val="auto"/>
        <w:outlineLvl w:val="9"/>
        <w:rPr>
          <w:rFonts w:hint="eastAsia" w:ascii="仿宋_GB2312" w:hAnsi="仿宋_GB2312" w:eastAsia="仿宋_GB2312" w:cs="仿宋_GB2312"/>
          <w:color w:val="auto"/>
          <w:spacing w:val="4"/>
          <w:sz w:val="32"/>
          <w:szCs w:val="32"/>
          <w:highlight w:val="none"/>
          <w:u w:val="none"/>
          <w:lang w:val="en-US" w:eastAsia="zh-CN"/>
        </w:rPr>
      </w:pPr>
      <w:r>
        <w:rPr>
          <w:rFonts w:hint="eastAsia" w:ascii="仿宋_GB2312" w:hAnsi="仿宋_GB2312" w:eastAsia="仿宋_GB2312" w:cs="仿宋_GB2312"/>
          <w:b/>
          <w:bCs/>
          <w:color w:val="auto"/>
          <w:spacing w:val="4"/>
          <w:sz w:val="32"/>
          <w:szCs w:val="32"/>
          <w:highlight w:val="none"/>
          <w:u w:val="none"/>
          <w:lang w:val="en-US" w:eastAsia="zh-CN"/>
        </w:rPr>
        <w:t>全文共五部分、十九条。第一部分</w:t>
      </w:r>
      <w:r>
        <w:rPr>
          <w:rFonts w:hint="eastAsia" w:ascii="仿宋_GB2312" w:hAnsi="仿宋_GB2312" w:eastAsia="仿宋_GB2312" w:cs="仿宋_GB2312"/>
          <w:color w:val="auto"/>
          <w:spacing w:val="4"/>
          <w:sz w:val="32"/>
          <w:szCs w:val="32"/>
          <w:highlight w:val="none"/>
          <w:u w:val="none"/>
          <w:lang w:val="en-US" w:eastAsia="zh-CN"/>
        </w:rPr>
        <w:t>“推动经济社会与就业协调联动，实现就业量质齐升”，包含强化产业和就业协同、推进就业岗位扩容增量、持续释放创业带动就业效应、推动人力资源产业健康发展四条举措；</w:t>
      </w:r>
      <w:r>
        <w:rPr>
          <w:rFonts w:hint="eastAsia" w:ascii="仿宋_GB2312" w:hAnsi="仿宋_GB2312" w:eastAsia="仿宋_GB2312" w:cs="仿宋_GB2312"/>
          <w:b/>
          <w:bCs/>
          <w:color w:val="auto"/>
          <w:spacing w:val="4"/>
          <w:sz w:val="32"/>
          <w:szCs w:val="32"/>
          <w:highlight w:val="none"/>
          <w:u w:val="none"/>
          <w:lang w:val="en-US" w:eastAsia="zh-CN"/>
        </w:rPr>
        <w:t>第二部分</w:t>
      </w:r>
      <w:r>
        <w:rPr>
          <w:rFonts w:hint="eastAsia" w:ascii="仿宋_GB2312" w:hAnsi="仿宋_GB2312" w:eastAsia="仿宋_GB2312" w:cs="仿宋_GB2312"/>
          <w:color w:val="auto"/>
          <w:spacing w:val="4"/>
          <w:sz w:val="32"/>
          <w:szCs w:val="32"/>
          <w:highlight w:val="none"/>
          <w:u w:val="none"/>
          <w:lang w:val="en-US" w:eastAsia="zh-CN"/>
        </w:rPr>
        <w:t>“加快塑造现代化人力资源，筑牢产业发展人才根基”，包含建设京西产科教融合发展共同体、促进教育与就业协同联动、强化培训资源和服务供给、畅通技能人才发展通道四条举措；</w:t>
      </w:r>
      <w:r>
        <w:rPr>
          <w:rFonts w:hint="eastAsia" w:ascii="仿宋_GB2312" w:hAnsi="仿宋_GB2312" w:eastAsia="仿宋_GB2312" w:cs="仿宋_GB2312"/>
          <w:b/>
          <w:bCs/>
          <w:color w:val="auto"/>
          <w:spacing w:val="4"/>
          <w:sz w:val="32"/>
          <w:szCs w:val="32"/>
          <w:highlight w:val="none"/>
          <w:u w:val="none"/>
          <w:lang w:val="en-US" w:eastAsia="zh-CN"/>
        </w:rPr>
        <w:t>第三部分</w:t>
      </w:r>
      <w:r>
        <w:rPr>
          <w:rFonts w:hint="eastAsia" w:ascii="仿宋_GB2312" w:hAnsi="仿宋_GB2312" w:eastAsia="仿宋_GB2312" w:cs="仿宋_GB2312"/>
          <w:color w:val="auto"/>
          <w:spacing w:val="4"/>
          <w:sz w:val="32"/>
          <w:szCs w:val="32"/>
          <w:highlight w:val="none"/>
          <w:u w:val="none"/>
          <w:lang w:val="en-US" w:eastAsia="zh-CN"/>
        </w:rPr>
        <w:t>“支持重点群体就业，筑牢民生保障底线”，拓展高校毕业生等青年就业创业成才渠道、支持退役军人就业创业、强化困难群体就业帮扶、支持灵活就业健康发展四项内容；</w:t>
      </w:r>
      <w:r>
        <w:rPr>
          <w:rFonts w:hint="eastAsia" w:ascii="仿宋_GB2312" w:hAnsi="仿宋_GB2312" w:eastAsia="仿宋_GB2312" w:cs="仿宋_GB2312"/>
          <w:b/>
          <w:bCs/>
          <w:color w:val="auto"/>
          <w:spacing w:val="4"/>
          <w:sz w:val="32"/>
          <w:szCs w:val="32"/>
          <w:highlight w:val="none"/>
          <w:u w:val="none"/>
          <w:lang w:val="en-US" w:eastAsia="zh-CN"/>
        </w:rPr>
        <w:t>第四部分</w:t>
      </w:r>
      <w:r>
        <w:rPr>
          <w:rFonts w:hint="eastAsia" w:ascii="仿宋_GB2312" w:hAnsi="仿宋_GB2312" w:eastAsia="仿宋_GB2312" w:cs="仿宋_GB2312"/>
          <w:color w:val="auto"/>
          <w:spacing w:val="4"/>
          <w:sz w:val="32"/>
          <w:szCs w:val="32"/>
          <w:highlight w:val="none"/>
          <w:u w:val="none"/>
          <w:lang w:val="en-US" w:eastAsia="zh-CN"/>
        </w:rPr>
        <w:t>“健全就业服务体系，提升就业服务可及性实效性”，包含强化就业工作组织领导、完善就业公共服务机制、强化数据资源支持、提升就业公共服务效能、树立正确就业观念五项具体措施；</w:t>
      </w:r>
      <w:r>
        <w:rPr>
          <w:rFonts w:hint="eastAsia" w:ascii="仿宋_GB2312" w:hAnsi="仿宋_GB2312" w:eastAsia="仿宋_GB2312" w:cs="仿宋_GB2312"/>
          <w:b/>
          <w:bCs/>
          <w:color w:val="auto"/>
          <w:spacing w:val="4"/>
          <w:sz w:val="32"/>
          <w:szCs w:val="32"/>
          <w:highlight w:val="none"/>
          <w:u w:val="none"/>
          <w:lang w:val="en-US" w:eastAsia="zh-CN"/>
        </w:rPr>
        <w:t>第五部分</w:t>
      </w:r>
      <w:r>
        <w:rPr>
          <w:rFonts w:hint="eastAsia" w:ascii="仿宋_GB2312" w:hAnsi="仿宋_GB2312" w:eastAsia="仿宋_GB2312" w:cs="仿宋_GB2312"/>
          <w:color w:val="auto"/>
          <w:spacing w:val="4"/>
          <w:sz w:val="32"/>
          <w:szCs w:val="32"/>
          <w:highlight w:val="none"/>
          <w:u w:val="none"/>
          <w:lang w:val="en-US" w:eastAsia="zh-CN"/>
        </w:rPr>
        <w:t>“保障劳动者就业权益，构建和谐劳动关系”，包含保障平等就业权利、维护劳动关系和谐稳定两项内容。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00"/>
    <w:family w:val="auto"/>
    <w:pitch w:val="default"/>
    <w:sig w:usb0="00000000" w:usb1="00000000" w:usb2="00000000" w:usb3="00000000" w:csb0="00040000" w:csb1="00000000"/>
  </w:font>
  <w:font w:name="方正公文楷体">
    <w:altName w:val="宋体"/>
    <w:panose1 w:val="02000000000000000000"/>
    <w:charset w:val="00"/>
    <w:family w:val="auto"/>
    <w:pitch w:val="default"/>
    <w:sig w:usb0="00000000" w:usb1="00000000" w:usb2="00000000" w:usb3="00000000" w:csb0="00040000" w:csb1="00000000"/>
  </w:font>
  <w:font w:name="方正黑体_GBK">
    <w:altName w:val="Arial Unicode MS"/>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rebuchet MS">
    <w:panose1 w:val="020B0603020202020204"/>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B6227"/>
    <w:rsid w:val="08AF378D"/>
    <w:rsid w:val="447B10FD"/>
    <w:rsid w:val="4BA2292A"/>
    <w:rsid w:val="60201591"/>
    <w:rsid w:val="7F2B6227"/>
    <w:rsid w:val="7F325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3"/>
    <w:uiPriority w:val="0"/>
    <w:pPr>
      <w:snapToGrid w:val="0"/>
      <w:spacing w:line="300" w:lineRule="auto"/>
      <w:ind w:firstLine="556"/>
    </w:pPr>
    <w:rPr>
      <w:rFonts w:ascii="仿宋_GB2312" w:eastAsia="仿宋_GB2312"/>
      <w:sz w:val="28"/>
    </w:rPr>
  </w:style>
  <w:style w:type="paragraph" w:styleId="3">
    <w:name w:val="toc 8"/>
    <w:basedOn w:val="1"/>
    <w:next w:val="1"/>
    <w:uiPriority w:val="0"/>
    <w:pPr>
      <w:widowControl/>
      <w:suppressAutoHyphens w:val="0"/>
      <w:wordWrap w:val="0"/>
      <w:ind w:left="2550"/>
    </w:pPr>
    <w:rPr>
      <w:rFonts w:ascii="Calibri" w:hAnsi="Calibri" w:eastAsia="宋体" w:cs="Calibri"/>
      <w:kern w:val="0"/>
      <w:sz w:val="21"/>
      <w:szCs w:val="21"/>
    </w:rPr>
  </w:style>
  <w:style w:type="paragraph" w:styleId="4">
    <w:name w:val="Body Text Indent"/>
    <w:basedOn w:val="1"/>
    <w:next w:val="2"/>
    <w:qFormat/>
    <w:uiPriority w:val="0"/>
    <w:pPr>
      <w:spacing w:after="120"/>
      <w:ind w:left="420" w:leftChars="200"/>
    </w:pPr>
  </w:style>
  <w:style w:type="paragraph" w:styleId="5">
    <w:name w:val="Body Text First Indent 2"/>
    <w:basedOn w:val="4"/>
    <w:next w:val="2"/>
    <w:uiPriority w:val="0"/>
    <w:pPr>
      <w:ind w:firstLine="420" w:firstLineChars="200"/>
    </w:pPr>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人保局</Company>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2026-06-09T08:39:00Z</dcterms:created>
  <dc:creator>jinyudou</dc:creator>
  <cp:lastModifiedBy>jinyudou</cp:lastModifiedBy>
  <dcterms:modified xsi:type="dcterms:W3CDTF">2026-06-10T06:32:39Z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