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3D66" w14:textId="6BDABA21" w:rsidR="007438B9" w:rsidRDefault="00212666">
      <w:pPr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《北京市怀柔区知识产权保护发展资金管理办法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实施细则（修订稿）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起草说明</w:t>
      </w:r>
    </w:p>
    <w:p w14:paraId="1C4755F0" w14:textId="77777777" w:rsidR="007438B9" w:rsidRDefault="007438B9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77B89088" w14:textId="77777777" w:rsidR="007438B9" w:rsidRDefault="00212666">
      <w:pPr>
        <w:spacing w:line="56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为</w:t>
      </w:r>
      <w:r>
        <w:rPr>
          <w:rFonts w:ascii="仿宋_GB2312" w:hAnsi="仿宋_GB2312" w:cs="仿宋_GB2312" w:hint="eastAsia"/>
          <w:sz w:val="32"/>
          <w:szCs w:val="32"/>
        </w:rPr>
        <w:t>规范我区知识产权保护发展资金申报、审核、拨付、监管等全流程工作，细化</w:t>
      </w:r>
      <w:r>
        <w:rPr>
          <w:rFonts w:ascii="仿宋_GB2312" w:hAnsi="仿宋_GB2312" w:cs="仿宋_GB2312" w:hint="eastAsia"/>
          <w:sz w:val="32"/>
          <w:szCs w:val="32"/>
        </w:rPr>
        <w:t>《北京市怀柔区市场监督管理局关于印发</w:t>
      </w:r>
      <w:r>
        <w:rPr>
          <w:rFonts w:ascii="仿宋_GB2312" w:hAnsi="仿宋_GB2312" w:cs="仿宋_GB2312" w:hint="eastAsia"/>
          <w:sz w:val="32"/>
          <w:szCs w:val="32"/>
        </w:rPr>
        <w:t>&lt;</w:t>
      </w:r>
      <w:r>
        <w:rPr>
          <w:rFonts w:ascii="仿宋_GB2312" w:hAnsi="仿宋_GB2312" w:cs="仿宋_GB2312" w:hint="eastAsia"/>
          <w:sz w:val="32"/>
          <w:szCs w:val="32"/>
        </w:rPr>
        <w:t>北京市怀柔区知识产权保护发展资金管理办法》的通知</w:t>
      </w:r>
      <w:r>
        <w:rPr>
          <w:rFonts w:ascii="仿宋_GB2312" w:hAnsi="仿宋_GB2312" w:cs="仿宋_GB2312" w:hint="eastAsia"/>
          <w:sz w:val="32"/>
          <w:szCs w:val="32"/>
        </w:rPr>
        <w:t>&gt;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（</w:t>
      </w:r>
      <w:proofErr w:type="gramStart"/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怀市监发</w:t>
      </w:r>
      <w:proofErr w:type="gramEnd"/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〔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20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26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〕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号）</w:t>
      </w:r>
      <w:r>
        <w:rPr>
          <w:rFonts w:ascii="仿宋_GB2312" w:hAnsi="仿宋_GB2312" w:cs="仿宋_GB2312" w:hint="eastAsia"/>
          <w:sz w:val="32"/>
          <w:szCs w:val="32"/>
        </w:rPr>
        <w:t>（以下简称《办法》）各项条款标准落地，提升财政资金使用质效</w:t>
      </w:r>
      <w:r>
        <w:rPr>
          <w:rFonts w:ascii="仿宋_GB2312" w:hAnsi="仿宋_GB2312" w:cs="仿宋_GB2312" w:hint="eastAsia"/>
          <w:sz w:val="32"/>
          <w:szCs w:val="32"/>
        </w:rPr>
        <w:t>，区市场监管局修订起草了</w:t>
      </w:r>
      <w:r>
        <w:rPr>
          <w:rFonts w:ascii="仿宋_GB2312" w:hAnsi="仿宋_GB2312" w:cs="仿宋_GB2312" w:hint="eastAsia"/>
          <w:sz w:val="32"/>
          <w:szCs w:val="32"/>
        </w:rPr>
        <w:t>《办法</w:t>
      </w:r>
      <w:r>
        <w:rPr>
          <w:rFonts w:ascii="仿宋_GB2312" w:hAnsi="仿宋_GB2312" w:cs="仿宋_GB2312" w:hint="eastAsia"/>
          <w:sz w:val="32"/>
          <w:szCs w:val="32"/>
        </w:rPr>
        <w:t>实施细则</w:t>
      </w:r>
      <w:r>
        <w:rPr>
          <w:rFonts w:ascii="仿宋_GB2312" w:hAnsi="仿宋_GB2312" w:cs="仿宋_GB2312" w:hint="eastAsia"/>
          <w:sz w:val="32"/>
          <w:szCs w:val="32"/>
        </w:rPr>
        <w:t>》（修订稿）。现将情况汇报如下：</w:t>
      </w:r>
    </w:p>
    <w:p w14:paraId="7E8DA205" w14:textId="77777777" w:rsidR="007438B9" w:rsidRDefault="00212666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一、起草背景、依据及过程</w:t>
      </w:r>
    </w:p>
    <w:p w14:paraId="1A8D9A52" w14:textId="77777777" w:rsidR="007438B9" w:rsidRDefault="00212666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为全面贯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彻落实《北京市人民政府关于加快知识产权首善之区建设的实施意见》（京政发〔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2017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〕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号）等文件精神，</w:t>
      </w:r>
      <w:r>
        <w:rPr>
          <w:rFonts w:ascii="仿宋_GB2312" w:hAnsi="仿宋_GB2312" w:cs="仿宋_GB2312" w:hint="eastAsia"/>
          <w:sz w:val="32"/>
          <w:szCs w:val="32"/>
        </w:rPr>
        <w:t>全力推动</w:t>
      </w:r>
      <w:r>
        <w:rPr>
          <w:rFonts w:ascii="仿宋_GB2312" w:hAnsi="仿宋_GB2312" w:cs="仿宋_GB2312" w:hint="eastAsia"/>
          <w:sz w:val="32"/>
          <w:szCs w:val="32"/>
        </w:rPr>
        <w:t>科学城及全区知识产权布局、培育、保护工作，</w:t>
      </w:r>
      <w:r>
        <w:rPr>
          <w:rFonts w:ascii="仿宋_GB2312" w:hAnsi="仿宋_GB2312" w:cs="仿宋_GB2312" w:hint="eastAsia"/>
          <w:sz w:val="32"/>
          <w:szCs w:val="32"/>
        </w:rPr>
        <w:t>鼓励怀柔区内高价值发明创造，</w:t>
      </w:r>
      <w:r>
        <w:rPr>
          <w:rFonts w:ascii="仿宋_GB2312" w:hAnsi="仿宋_GB2312" w:cs="仿宋_GB2312" w:hint="eastAsia"/>
          <w:sz w:val="32"/>
          <w:szCs w:val="32"/>
        </w:rPr>
        <w:t>提高金融机构对知识产权质押融资的积极性，</w:t>
      </w:r>
      <w:r>
        <w:rPr>
          <w:rFonts w:ascii="仿宋_GB2312" w:hAnsi="仿宋_GB2312" w:cs="仿宋_GB2312" w:hint="eastAsia"/>
          <w:sz w:val="32"/>
          <w:szCs w:val="32"/>
        </w:rPr>
        <w:t>促进知识产权管理规范，提升社会保护意识，提高知识产权转化运用效率，</w:t>
      </w:r>
      <w:r>
        <w:rPr>
          <w:rFonts w:ascii="仿宋_GB2312" w:hAnsi="仿宋_GB2312" w:cs="仿宋_GB2312" w:hint="eastAsia"/>
          <w:sz w:val="32"/>
          <w:szCs w:val="32"/>
        </w:rPr>
        <w:t>区市场监督管理局对</w:t>
      </w:r>
      <w:bookmarkStart w:id="0" w:name="OLE_LINK1"/>
      <w:r>
        <w:rPr>
          <w:rFonts w:ascii="仿宋_GB2312" w:hAnsi="仿宋_GB2312" w:cs="仿宋_GB2312" w:hint="eastAsia"/>
          <w:sz w:val="32"/>
          <w:szCs w:val="32"/>
        </w:rPr>
        <w:t>《北京市怀柔区市场监督管理局关于印发</w:t>
      </w:r>
      <w:r>
        <w:rPr>
          <w:rFonts w:ascii="仿宋_GB2312" w:hAnsi="仿宋_GB2312" w:cs="仿宋_GB2312" w:hint="eastAsia"/>
          <w:sz w:val="32"/>
          <w:szCs w:val="32"/>
        </w:rPr>
        <w:t>&lt;</w:t>
      </w:r>
      <w:r>
        <w:rPr>
          <w:rFonts w:ascii="仿宋_GB2312" w:hAnsi="仿宋_GB2312" w:cs="仿宋_GB2312" w:hint="eastAsia"/>
          <w:sz w:val="32"/>
          <w:szCs w:val="32"/>
        </w:rPr>
        <w:t>北京市怀柔区知识产权保护发展资金管理办法</w:t>
      </w:r>
      <w:r>
        <w:rPr>
          <w:rFonts w:ascii="仿宋_GB2312" w:hAnsi="仿宋_GB2312" w:cs="仿宋_GB2312" w:hint="eastAsia"/>
          <w:sz w:val="32"/>
          <w:szCs w:val="32"/>
        </w:rPr>
        <w:t>&gt;</w:t>
      </w:r>
      <w:r>
        <w:rPr>
          <w:rFonts w:ascii="仿宋_GB2312" w:hAnsi="仿宋_GB2312" w:cs="仿宋_GB2312" w:hint="eastAsia"/>
          <w:sz w:val="32"/>
          <w:szCs w:val="32"/>
        </w:rPr>
        <w:t>的通知》（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怀市监发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〔</w:t>
      </w:r>
      <w:r>
        <w:rPr>
          <w:rFonts w:ascii="仿宋_GB2312" w:hAnsi="仿宋_GB2312" w:cs="仿宋_GB2312" w:hint="eastAsia"/>
          <w:sz w:val="32"/>
          <w:szCs w:val="32"/>
        </w:rPr>
        <w:t>2022</w:t>
      </w:r>
      <w:r>
        <w:rPr>
          <w:rFonts w:ascii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25</w:t>
      </w:r>
      <w:r>
        <w:rPr>
          <w:rFonts w:ascii="仿宋_GB2312" w:hAnsi="仿宋_GB2312" w:cs="仿宋_GB2312" w:hint="eastAsia"/>
          <w:sz w:val="32"/>
          <w:szCs w:val="32"/>
        </w:rPr>
        <w:t>号）</w:t>
      </w:r>
      <w:bookmarkEnd w:id="0"/>
      <w:r>
        <w:rPr>
          <w:rFonts w:ascii="仿宋_GB2312" w:hAnsi="仿宋_GB2312" w:cs="仿宋_GB2312" w:hint="eastAsia"/>
          <w:sz w:val="32"/>
          <w:szCs w:val="32"/>
        </w:rPr>
        <w:t>进行修订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14:paraId="4566030C" w14:textId="77777777" w:rsidR="007438B9" w:rsidRDefault="00212666">
      <w:pPr>
        <w:pStyle w:val="a4"/>
        <w:spacing w:line="56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根据《办法》第二条第二款“</w:t>
      </w:r>
      <w:r>
        <w:rPr>
          <w:rFonts w:ascii="仿宋_GB2312" w:hAnsi="仿宋" w:cs="仿宋" w:hint="eastAsia"/>
          <w:kern w:val="0"/>
          <w:sz w:val="32"/>
          <w:szCs w:val="32"/>
          <w:shd w:val="clear" w:color="auto" w:fill="FFFFFF"/>
        </w:rPr>
        <w:t>区市场监督管理局（区知识产权局）管理本级知识产权保护发展资金，负责资金申请的受理、审核、组织评审、资金拨付，制定相关实施细则。</w:t>
      </w:r>
      <w:r>
        <w:rPr>
          <w:rFonts w:ascii="仿宋_GB2312" w:hAnsi="仿宋_GB2312" w:cs="仿宋_GB2312" w:hint="eastAsia"/>
          <w:sz w:val="32"/>
          <w:szCs w:val="32"/>
        </w:rPr>
        <w:t>”，区市场监督管理局制定本实施细则。</w:t>
      </w:r>
    </w:p>
    <w:p w14:paraId="758FB33B" w14:textId="77777777" w:rsidR="007438B9" w:rsidRDefault="00212666">
      <w:pPr>
        <w:pStyle w:val="a3"/>
        <w:numPr>
          <w:ilvl w:val="0"/>
          <w:numId w:val="1"/>
        </w:num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主要内容</w:t>
      </w:r>
    </w:p>
    <w:p w14:paraId="24DBD067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实施细则主要对《办法》中某些原则进行解释，对申请支持、鼓励应当提交的材料细化，同时，对《办法》中对执行程序、受理与审核、申请人的权利与义务等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具体规定。</w:t>
      </w:r>
    </w:p>
    <w:p w14:paraId="1FD6BD89" w14:textId="77777777" w:rsidR="007438B9" w:rsidRDefault="00212666">
      <w:pPr>
        <w:pStyle w:val="a3"/>
        <w:spacing w:after="0" w:line="240" w:lineRule="auto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（一）主要修改内容</w:t>
      </w:r>
    </w:p>
    <w:p w14:paraId="0C31FA81" w14:textId="77777777" w:rsidR="007438B9" w:rsidRDefault="00212666">
      <w:pPr>
        <w:pStyle w:val="a3"/>
        <w:spacing w:after="0" w:line="24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明确并规范细则修订的文件依据。</w:t>
      </w:r>
    </w:p>
    <w:p w14:paraId="7463D025" w14:textId="77777777" w:rsidR="007438B9" w:rsidRDefault="00212666">
      <w:pPr>
        <w:pStyle w:val="a3"/>
        <w:spacing w:after="0" w:line="24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新增对知识产权担保费用、知识产权质押融资代偿补偿等金融支持所需提交的材料明细。</w:t>
      </w:r>
    </w:p>
    <w:p w14:paraId="34351EDE" w14:textId="77777777" w:rsidR="007438B9" w:rsidRDefault="00212666">
      <w:pPr>
        <w:pStyle w:val="a3"/>
        <w:spacing w:after="0" w:line="240" w:lineRule="auto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明确申请支持、鼓励的适用对象所需满足的条件：适用对象需符合《办法》第二章的规定。</w:t>
      </w:r>
    </w:p>
    <w:p w14:paraId="74EDF533" w14:textId="77777777" w:rsidR="007438B9" w:rsidRDefault="00212666">
      <w:pPr>
        <w:pStyle w:val="a3"/>
        <w:spacing w:after="0" w:line="240" w:lineRule="auto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（二）主要内容</w:t>
      </w:r>
    </w:p>
    <w:p w14:paraId="67E49B76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明确执行单位、适用对象、主体资格文件。</w:t>
      </w:r>
    </w:p>
    <w:p w14:paraId="482CFA79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明确申请支持、鼓励所需提交的材料：对应《办法》的具体条款，细化每个条款所需提交的材料类别，清晰明了。</w:t>
      </w:r>
    </w:p>
    <w:p w14:paraId="0091D06C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明确实施运营、转化运用项目审核及确认的程序：项目初审、专家评审、立项决策。</w:t>
      </w:r>
    </w:p>
    <w:p w14:paraId="74F57840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明确异议程序、申请人的权利和义务、虚假申报的法律后果。</w:t>
      </w:r>
    </w:p>
    <w:p w14:paraId="08133839" w14:textId="77777777" w:rsidR="007438B9" w:rsidRDefault="00212666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明确细则实施时间。</w:t>
      </w:r>
    </w:p>
    <w:sectPr w:rsidR="007438B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5D96" w14:textId="77777777" w:rsidR="00212666" w:rsidRDefault="00212666">
      <w:pPr>
        <w:spacing w:after="0" w:line="240" w:lineRule="auto"/>
      </w:pPr>
      <w:r>
        <w:separator/>
      </w:r>
    </w:p>
  </w:endnote>
  <w:endnote w:type="continuationSeparator" w:id="0">
    <w:p w14:paraId="07486103" w14:textId="77777777" w:rsidR="00212666" w:rsidRDefault="0021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75FB" w14:textId="77777777" w:rsidR="007438B9" w:rsidRDefault="002126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D20B4" wp14:editId="2D1C9A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28C36" w14:textId="77777777" w:rsidR="007438B9" w:rsidRDefault="002126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D20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628C36" w14:textId="77777777" w:rsidR="007438B9" w:rsidRDefault="0021266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3C0" w14:textId="77777777" w:rsidR="00212666" w:rsidRDefault="00212666">
      <w:pPr>
        <w:spacing w:after="0" w:line="240" w:lineRule="auto"/>
      </w:pPr>
      <w:r>
        <w:separator/>
      </w:r>
    </w:p>
  </w:footnote>
  <w:footnote w:type="continuationSeparator" w:id="0">
    <w:p w14:paraId="364E3646" w14:textId="77777777" w:rsidR="00212666" w:rsidRDefault="0021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02D4" w14:textId="77777777" w:rsidR="007438B9" w:rsidRDefault="007438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8631"/>
    <w:multiLevelType w:val="singleLevel"/>
    <w:tmpl w:val="42C5863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955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323667"/>
    <w:rsid w:val="00032DC1"/>
    <w:rsid w:val="00212666"/>
    <w:rsid w:val="006E2F29"/>
    <w:rsid w:val="007438B9"/>
    <w:rsid w:val="013D7859"/>
    <w:rsid w:val="013E4719"/>
    <w:rsid w:val="019D4304"/>
    <w:rsid w:val="025B626D"/>
    <w:rsid w:val="02A709A0"/>
    <w:rsid w:val="08F40966"/>
    <w:rsid w:val="12646611"/>
    <w:rsid w:val="168B57D9"/>
    <w:rsid w:val="16E26020"/>
    <w:rsid w:val="16F91A18"/>
    <w:rsid w:val="172B679F"/>
    <w:rsid w:val="1B5A2CD6"/>
    <w:rsid w:val="221A258F"/>
    <w:rsid w:val="23AF6ADD"/>
    <w:rsid w:val="2460731A"/>
    <w:rsid w:val="253B1CE9"/>
    <w:rsid w:val="25FA1F8F"/>
    <w:rsid w:val="26746034"/>
    <w:rsid w:val="28FA1F28"/>
    <w:rsid w:val="29D11186"/>
    <w:rsid w:val="33D037D2"/>
    <w:rsid w:val="35831D23"/>
    <w:rsid w:val="36815717"/>
    <w:rsid w:val="39B44B1D"/>
    <w:rsid w:val="3B837C20"/>
    <w:rsid w:val="41323667"/>
    <w:rsid w:val="41395FA1"/>
    <w:rsid w:val="44AC48D9"/>
    <w:rsid w:val="467B5B7B"/>
    <w:rsid w:val="47764CA4"/>
    <w:rsid w:val="49C6448E"/>
    <w:rsid w:val="49FB4129"/>
    <w:rsid w:val="4C242F60"/>
    <w:rsid w:val="4C8A0D07"/>
    <w:rsid w:val="4ED341AB"/>
    <w:rsid w:val="51016E60"/>
    <w:rsid w:val="51A851BB"/>
    <w:rsid w:val="535D6956"/>
    <w:rsid w:val="545F321F"/>
    <w:rsid w:val="59EB0494"/>
    <w:rsid w:val="5A834630"/>
    <w:rsid w:val="5BAF728F"/>
    <w:rsid w:val="61273840"/>
    <w:rsid w:val="68B44985"/>
    <w:rsid w:val="6BC31C55"/>
    <w:rsid w:val="6C3B31CD"/>
    <w:rsid w:val="6CA00401"/>
    <w:rsid w:val="6D017695"/>
    <w:rsid w:val="6D6E1B5C"/>
    <w:rsid w:val="6DAA6CF3"/>
    <w:rsid w:val="6F0F3418"/>
    <w:rsid w:val="7053707C"/>
    <w:rsid w:val="77D2557F"/>
    <w:rsid w:val="7AF16F48"/>
    <w:rsid w:val="7FC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A76E0"/>
  <w15:docId w15:val="{82D375F7-5C95-4FAF-8FE9-FAF2865A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PlainText"/>
    <w:qFormat/>
    <w:pPr>
      <w:widowControl w:val="0"/>
      <w:suppressAutoHyphens/>
      <w:spacing w:line="538" w:lineRule="atLeast"/>
      <w:ind w:firstLine="623"/>
      <w:jc w:val="both"/>
    </w:pPr>
    <w:rPr>
      <w:rFonts w:eastAsia="仿宋_GB2312"/>
      <w:color w:val="000000"/>
      <w:kern w:val="2"/>
      <w:sz w:val="3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next w:val="a"/>
    <w:qFormat/>
    <w:pPr>
      <w:textAlignment w:val="baseline"/>
    </w:pPr>
    <w:rPr>
      <w:rFonts w:ascii="宋体" w:eastAsia="宋体" w:hAnsi="Courier New"/>
      <w:szCs w:val="21"/>
    </w:rPr>
  </w:style>
  <w:style w:type="paragraph" w:styleId="a3">
    <w:name w:val="Body Text"/>
    <w:basedOn w:val="a"/>
    <w:next w:val="a"/>
    <w:qFormat/>
    <w:pPr>
      <w:spacing w:after="120"/>
    </w:pPr>
    <w:rPr>
      <w:rFonts w:eastAsia="宋体"/>
    </w:rPr>
  </w:style>
  <w:style w:type="paragraph" w:styleId="a4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438</Words>
  <Characters>448</Characters>
  <Application>Microsoft Office Word</Application>
  <DocSecurity>0</DocSecurity>
  <Lines>22</Lines>
  <Paragraphs>17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XIAOMI</cp:lastModifiedBy>
  <cp:revision>2</cp:revision>
  <dcterms:created xsi:type="dcterms:W3CDTF">2022-06-06T06:59:00Z</dcterms:created>
  <dcterms:modified xsi:type="dcterms:W3CDTF">2026-06-03T06:32:00Z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