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82DF">
      <w:pPr>
        <w:spacing w:line="600" w:lineRule="exact"/>
        <w:jc w:val="center"/>
        <w:rPr>
          <w:rFonts w:ascii="方正小标宋简体" w:hAnsi="仿宋_GB2312" w:eastAsia="方正小标宋简体"/>
          <w:sz w:val="44"/>
          <w:szCs w:val="44"/>
        </w:rPr>
      </w:pPr>
      <w:bookmarkStart w:id="73" w:name="_GoBack"/>
      <w:bookmarkEnd w:id="73"/>
      <w:r>
        <w:rPr>
          <w:rFonts w:hint="eastAsia" w:ascii="方正小标宋简体" w:hAnsi="仿宋_GB2312" w:eastAsia="方正小标宋简体"/>
          <w:sz w:val="44"/>
          <w:szCs w:val="44"/>
        </w:rPr>
        <w:t>关于《</w:t>
      </w:r>
      <w:r>
        <w:rPr>
          <w:rFonts w:hint="eastAsia" w:ascii="方正小标宋简体" w:hAnsi="黑体" w:eastAsia="方正小标宋简体" w:cs="黑体"/>
          <w:color w:val="000000"/>
          <w:sz w:val="44"/>
          <w:szCs w:val="44"/>
        </w:rPr>
        <w:t>北京城市副中心（通州区）“十五五”时期水城共融发展规划（征求意见稿）</w:t>
      </w:r>
      <w:r>
        <w:rPr>
          <w:rFonts w:hint="eastAsia" w:ascii="方正小标宋简体" w:hAnsi="仿宋_GB2312" w:eastAsia="方正小标宋简体"/>
          <w:sz w:val="44"/>
          <w:szCs w:val="44"/>
        </w:rPr>
        <w:t>》</w:t>
      </w:r>
    </w:p>
    <w:p w14:paraId="5376D66C">
      <w:pPr>
        <w:spacing w:line="600" w:lineRule="exact"/>
        <w:jc w:val="center"/>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的起草说明</w:t>
      </w:r>
    </w:p>
    <w:p w14:paraId="110CC8E0">
      <w:pPr>
        <w:spacing w:line="600" w:lineRule="exact"/>
        <w:ind w:firstLine="640" w:firstLineChars="200"/>
        <w:jc w:val="left"/>
        <w:rPr>
          <w:rFonts w:hint="eastAsia" w:ascii="仿宋_GB2312" w:hAnsi="仿宋_GB2312" w:eastAsia="仿宋_GB2312"/>
          <w:sz w:val="32"/>
          <w:szCs w:val="32"/>
        </w:rPr>
      </w:pPr>
    </w:p>
    <w:p w14:paraId="3282F279">
      <w:pPr>
        <w:widowControl/>
        <w:spacing w:line="560" w:lineRule="exact"/>
        <w:ind w:firstLine="640" w:firstLineChars="200"/>
        <w:outlineLvl w:val="1"/>
        <w:rPr>
          <w:rFonts w:hint="eastAsia" w:ascii="黑体" w:hAnsi="黑体" w:eastAsia="黑体" w:cs="黑体"/>
          <w:color w:val="000000"/>
          <w:sz w:val="32"/>
          <w:szCs w:val="32"/>
        </w:rPr>
      </w:pPr>
      <w:bookmarkStart w:id="0" w:name="_Toc7701"/>
      <w:bookmarkStart w:id="1" w:name="_Toc1786436564"/>
      <w:bookmarkStart w:id="2" w:name="_Toc12590"/>
      <w:bookmarkStart w:id="3" w:name="_Toc2119186901"/>
      <w:bookmarkStart w:id="4" w:name="_Toc26571"/>
      <w:bookmarkStart w:id="5" w:name="_Toc8625"/>
      <w:bookmarkStart w:id="6" w:name="_Toc13501"/>
      <w:bookmarkStart w:id="7" w:name="_Toc92818517"/>
      <w:bookmarkStart w:id="8" w:name="_Toc29612"/>
      <w:bookmarkStart w:id="9" w:name="_Toc11600"/>
      <w:bookmarkStart w:id="10" w:name="_Toc4633"/>
      <w:bookmarkStart w:id="11" w:name="_Toc19062"/>
      <w:bookmarkStart w:id="12" w:name="_Toc336567400"/>
      <w:bookmarkStart w:id="13" w:name="_Toc1252345155"/>
      <w:bookmarkStart w:id="14" w:name="_Toc21093"/>
      <w:bookmarkStart w:id="15" w:name="_Toc27801"/>
      <w:bookmarkStart w:id="16" w:name="_Toc2818"/>
      <w:bookmarkStart w:id="17" w:name="_Toc7205"/>
      <w:r>
        <w:rPr>
          <w:rFonts w:hint="eastAsia" w:ascii="黑体" w:hAnsi="黑体" w:eastAsia="黑体" w:cs="黑体"/>
          <w:sz w:val="32"/>
          <w:szCs w:val="32"/>
        </w:rPr>
        <w:t>一、规划背景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49CCF2A">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北京落实首都城市战略定位、建设国际一流的和谐宜居之都的攻坚时期，也是《北京城市副中心控制性详细规划（街区层面）（2016年-2035年）》批复后的第二个五年，是城市副中心框架内涵深化、主导功能稳固提升、现代产业体系加快构建、区域高质量协同发展、城市品质全面跃升的重要时期。编制实施好“十五五”规划，对将城市副中心打造为中国式现代化进程中的城市发展样板具有奠基性作用，意义重大。</w:t>
      </w:r>
    </w:p>
    <w:p w14:paraId="6EC47BD6">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北京城市副中心（通州区）“十五五”时期水城共融发展规划</w:t>
      </w:r>
      <w:r>
        <w:rPr>
          <w:rFonts w:hint="eastAsia" w:ascii="仿宋_GB2312" w:hAnsi="仿宋_GB2312" w:eastAsia="仿宋_GB2312" w:cs="仿宋_GB2312"/>
          <w:sz w:val="32"/>
          <w:szCs w:val="32"/>
        </w:rPr>
        <w:t>》（以下简称“本规划”）作为《北京城市副中心（通州区）国民经济和社会发展第十五个五年规划纲要》在水务领域的延伸和细化，是“十五五”期间水务建设与管理的指导性文件和行动纲领，对于加快建设水务基础设施体系、全面提高管理服务水平、促进城乡水务公共服务均等化具有重要意义。</w:t>
      </w:r>
    </w:p>
    <w:p w14:paraId="02CFAB12">
      <w:pPr>
        <w:widowControl/>
        <w:spacing w:line="560" w:lineRule="exact"/>
        <w:ind w:firstLine="640" w:firstLineChars="200"/>
        <w:outlineLvl w:val="1"/>
        <w:rPr>
          <w:rFonts w:hint="eastAsia" w:ascii="仿宋_GB2312" w:hAnsi="仿宋_GB2312" w:eastAsia="仿宋_GB2312" w:cs="仿宋_GB2312"/>
          <w:sz w:val="32"/>
          <w:szCs w:val="32"/>
        </w:rPr>
      </w:pPr>
      <w:bookmarkStart w:id="18" w:name="_Toc11516"/>
      <w:bookmarkStart w:id="19" w:name="_Toc2595"/>
      <w:bookmarkStart w:id="20" w:name="_Toc216365602"/>
      <w:bookmarkStart w:id="21" w:name="_Toc18515"/>
      <w:bookmarkStart w:id="22" w:name="_Toc19453"/>
      <w:bookmarkStart w:id="23" w:name="_Toc5491"/>
      <w:bookmarkStart w:id="24" w:name="_Toc677795838"/>
      <w:bookmarkStart w:id="25" w:name="_Toc32018"/>
      <w:bookmarkStart w:id="26" w:name="_Toc927687497"/>
      <w:bookmarkStart w:id="27" w:name="_Toc18876"/>
      <w:bookmarkStart w:id="28" w:name="_Toc630345629"/>
      <w:bookmarkStart w:id="29" w:name="_Toc18803"/>
      <w:bookmarkStart w:id="30" w:name="_Toc92073748"/>
      <w:bookmarkStart w:id="31" w:name="_Toc28033"/>
      <w:bookmarkStart w:id="32" w:name="_Toc19060"/>
      <w:bookmarkStart w:id="33" w:name="_Toc12125"/>
      <w:bookmarkStart w:id="34" w:name="_Toc22964"/>
      <w:bookmarkStart w:id="35" w:name="_Toc2847"/>
      <w:r>
        <w:rPr>
          <w:rFonts w:hint="eastAsia" w:ascii="黑体" w:hAnsi="黑体" w:eastAsia="黑体" w:cs="黑体"/>
          <w:sz w:val="32"/>
          <w:szCs w:val="32"/>
        </w:rPr>
        <w:t>二、规划依据</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3E27B6C">
      <w:pPr>
        <w:pStyle w:val="13"/>
        <w:ind w:firstLine="640"/>
        <w:rPr>
          <w:rFonts w:hint="eastAsia" w:ascii="仿宋_GB2312" w:hAnsi="仿宋_GB2312" w:eastAsia="仿宋_GB2312" w:cs="仿宋_GB2312"/>
          <w:szCs w:val="32"/>
          <w:lang w:val="en-US"/>
        </w:rPr>
      </w:pPr>
      <w:r>
        <w:rPr>
          <w:rFonts w:hint="eastAsia" w:ascii="仿宋_GB2312" w:hAnsi="仿宋_GB2312" w:eastAsia="仿宋_GB2312" w:cs="仿宋_GB2312"/>
          <w:szCs w:val="32"/>
          <w:lang w:val="en-US"/>
        </w:rPr>
        <w:t>本规划</w:t>
      </w:r>
      <w:r>
        <w:rPr>
          <w:rFonts w:hint="eastAsia" w:eastAsia="仿宋_GB2312"/>
        </w:rPr>
        <w:t>以习近平新时代中国特色社会主义思想为指导，全面贯彻落实“节水优先、空间均衡、系统治理、两手发力”新时代治水思路，深入学习贯彻习近平总书记视察北京重要讲话精神，坚定不移贯彻“创新、协调、绿色、开放、共享”的新发展理念。贯彻落实党中央、国务院对城市副中心控规的批复精神，</w:t>
      </w:r>
      <w:r>
        <w:rPr>
          <w:rFonts w:hint="eastAsia" w:eastAsia="仿宋_GB2312"/>
          <w:lang w:val="en-US"/>
        </w:rPr>
        <w:t>贯彻落实“3+4+1”系列文件</w:t>
      </w:r>
      <w:r>
        <w:rPr>
          <w:rFonts w:hint="eastAsia" w:eastAsia="仿宋_GB2312"/>
        </w:rPr>
        <w:t>对水务发展提出的新要求，加强京津冀协同发展，聚焦城市副中心高质量发展要求，坚持首善标准，以保障城市副中心及拓展区水安全为重点，提升水环境建设水平、水务社会治理能力和公共服务水平，为打造国际一流的和谐宜居之都示范区、新型城镇化示范区和京津冀区域协同发展示范区提供坚实的水务支撑和保障。</w:t>
      </w:r>
    </w:p>
    <w:p w14:paraId="52A5CCAE">
      <w:pPr>
        <w:widowControl/>
        <w:spacing w:line="560" w:lineRule="exact"/>
        <w:ind w:firstLine="640" w:firstLineChars="200"/>
        <w:outlineLvl w:val="1"/>
        <w:rPr>
          <w:rFonts w:hint="eastAsia" w:ascii="黑体" w:hAnsi="黑体" w:eastAsia="黑体" w:cs="黑体"/>
          <w:color w:val="000000"/>
          <w:sz w:val="32"/>
          <w:szCs w:val="32"/>
        </w:rPr>
      </w:pPr>
      <w:bookmarkStart w:id="36" w:name="_Toc16296"/>
      <w:bookmarkStart w:id="37" w:name="_Toc1924059339"/>
      <w:bookmarkStart w:id="38" w:name="_Toc19455"/>
      <w:bookmarkStart w:id="39" w:name="_Toc22680"/>
      <w:bookmarkStart w:id="40" w:name="_Toc1461385578"/>
      <w:bookmarkStart w:id="41" w:name="_Toc912484859"/>
      <w:bookmarkStart w:id="42" w:name="_Toc1998"/>
      <w:bookmarkStart w:id="43" w:name="_Toc20452"/>
      <w:bookmarkStart w:id="44" w:name="_Toc23683"/>
      <w:bookmarkStart w:id="45" w:name="_Toc25122"/>
      <w:bookmarkStart w:id="46" w:name="_Toc1845"/>
      <w:bookmarkStart w:id="47" w:name="_Toc21184"/>
      <w:bookmarkStart w:id="48" w:name="_Toc188156461"/>
      <w:bookmarkStart w:id="49" w:name="_Toc2380"/>
      <w:bookmarkStart w:id="50" w:name="_Toc2750"/>
      <w:bookmarkStart w:id="51" w:name="_Toc9519"/>
      <w:bookmarkStart w:id="52" w:name="_Toc766858443"/>
      <w:bookmarkStart w:id="53" w:name="_Toc18931"/>
      <w:r>
        <w:rPr>
          <w:rFonts w:hint="eastAsia" w:ascii="黑体" w:hAnsi="黑体" w:eastAsia="黑体" w:cs="黑体"/>
          <w:sz w:val="32"/>
          <w:szCs w:val="32"/>
        </w:rPr>
        <w:t>三、规划目的与意义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DAA1617">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蓝绿副中心·水上活力城”为总体发展目标，以水为脉、以城为基，按照保水、安水、优水、文水、兴水、乐水的工作思路，夯实“创新、宜居、美丽、韧性、文明、智慧”的现代化人民城市根基，推动水城共生共融，赋能城市高质量发展。到2030年，水务保障体系建设取得重要进展，水城共融空间格局持续优化，人民群众对水务工作的新需求、新期盼得到充分满足，城市副中心向“建设国际一流的和谐宜居现代化城区”发展目标稳步迈进。</w:t>
      </w:r>
    </w:p>
    <w:p w14:paraId="411E32E4">
      <w:pPr>
        <w:widowControl/>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四、规划内容</w:t>
      </w:r>
    </w:p>
    <w:p w14:paraId="3E933A0F">
      <w:pPr>
        <w:pStyle w:val="14"/>
        <w:ind w:firstLine="640"/>
        <w:rPr>
          <w:bCs/>
          <w:kern w:val="0"/>
        </w:rPr>
      </w:pPr>
      <w:bookmarkStart w:id="54" w:name="_Toc1443245785"/>
      <w:bookmarkStart w:id="55" w:name="_Toc8437"/>
      <w:bookmarkStart w:id="56" w:name="_Toc3630"/>
      <w:bookmarkStart w:id="57" w:name="_Toc736938707"/>
      <w:bookmarkStart w:id="58" w:name="_Toc10021"/>
      <w:bookmarkStart w:id="59" w:name="_Toc31877"/>
      <w:bookmarkStart w:id="60" w:name="_Toc952301986"/>
      <w:bookmarkStart w:id="61" w:name="_Toc14548"/>
      <w:bookmarkStart w:id="62" w:name="_Toc1540485854"/>
      <w:bookmarkStart w:id="63" w:name="_Toc10168"/>
      <w:bookmarkStart w:id="64" w:name="_Toc16406"/>
      <w:bookmarkStart w:id="65" w:name="_Toc22009"/>
      <w:bookmarkStart w:id="66" w:name="_Toc21149"/>
      <w:bookmarkStart w:id="67" w:name="_Toc27343"/>
      <w:bookmarkStart w:id="68" w:name="_Toc14358"/>
      <w:bookmarkStart w:id="69" w:name="_Toc24298"/>
      <w:bookmarkStart w:id="70" w:name="_Toc1182601132"/>
      <w:bookmarkStart w:id="71" w:name="_Toc23423"/>
      <w:r>
        <w:rPr>
          <w:rFonts w:hint="eastAsia"/>
          <w:bCs/>
          <w:kern w:val="0"/>
        </w:rPr>
        <w:t>本规划</w:t>
      </w:r>
      <w:r>
        <w:rPr>
          <w:bCs/>
          <w:kern w:val="0"/>
        </w:rPr>
        <w:t>全面总结了通州</w:t>
      </w:r>
      <w:r>
        <w:rPr>
          <w:rFonts w:hint="eastAsia"/>
          <w:bCs/>
          <w:kern w:val="0"/>
        </w:rPr>
        <w:t>“</w:t>
      </w:r>
      <w:r>
        <w:rPr>
          <w:bCs/>
          <w:kern w:val="0"/>
        </w:rPr>
        <w:t>十四五</w:t>
      </w:r>
      <w:r>
        <w:rPr>
          <w:rFonts w:hint="eastAsia"/>
          <w:bCs/>
          <w:kern w:val="0"/>
        </w:rPr>
        <w:t>”</w:t>
      </w:r>
      <w:r>
        <w:rPr>
          <w:bCs/>
          <w:kern w:val="0"/>
        </w:rPr>
        <w:t>时期水务发展成效</w:t>
      </w:r>
      <w:r>
        <w:rPr>
          <w:rFonts w:hint="eastAsia"/>
          <w:bCs/>
          <w:kern w:val="0"/>
        </w:rPr>
        <w:t>，</w:t>
      </w:r>
      <w:r>
        <w:rPr>
          <w:bCs/>
          <w:kern w:val="0"/>
        </w:rPr>
        <w:t>提出对标中央、市、区对通州水务工作的新部署新要求，对标城市副中心高质量发展要求，通州水务建设仍然面临不小的问题和挑战，亟待解决。按照</w:t>
      </w:r>
      <w:r>
        <w:rPr>
          <w:rFonts w:hint="eastAsia"/>
          <w:bCs/>
          <w:kern w:val="0"/>
        </w:rPr>
        <w:t>“</w:t>
      </w:r>
      <w:r>
        <w:rPr>
          <w:bCs/>
          <w:kern w:val="0"/>
        </w:rPr>
        <w:t>统筹兼顾、突出重点，适度超前、近远结合，绿色生态、人水和谐，强化监管、改革创新</w:t>
      </w:r>
      <w:r>
        <w:rPr>
          <w:rFonts w:hint="eastAsia"/>
          <w:bCs/>
          <w:kern w:val="0"/>
        </w:rPr>
        <w:t>”</w:t>
      </w:r>
      <w:r>
        <w:rPr>
          <w:bCs/>
          <w:kern w:val="0"/>
        </w:rPr>
        <w:t>的原则，结合</w:t>
      </w:r>
      <w:r>
        <w:rPr>
          <w:rFonts w:hint="eastAsia"/>
          <w:bCs/>
          <w:kern w:val="0"/>
        </w:rPr>
        <w:t>城市</w:t>
      </w:r>
      <w:r>
        <w:rPr>
          <w:bCs/>
          <w:kern w:val="0"/>
        </w:rPr>
        <w:t>副中心控规、拓展区规划以及通州区实际情况，提出了</w:t>
      </w:r>
      <w:r>
        <w:rPr>
          <w:rFonts w:hint="eastAsia"/>
          <w:bCs/>
          <w:kern w:val="0"/>
        </w:rPr>
        <w:t>规划目标和指标</w:t>
      </w:r>
      <w:r>
        <w:rPr>
          <w:bCs/>
          <w:kern w:val="0"/>
        </w:rPr>
        <w:t>。</w:t>
      </w:r>
      <w:r>
        <w:rPr>
          <w:rFonts w:hint="eastAsia"/>
          <w:bCs/>
          <w:kern w:val="0"/>
        </w:rPr>
        <w:t>并</w:t>
      </w:r>
      <w:r>
        <w:rPr>
          <w:bCs/>
          <w:kern w:val="0"/>
        </w:rPr>
        <w:t>按照</w:t>
      </w:r>
      <w:r>
        <w:rPr>
          <w:rFonts w:hint="eastAsia"/>
          <w:bCs/>
          <w:kern w:val="0"/>
        </w:rPr>
        <w:t>市、区</w:t>
      </w:r>
      <w:r>
        <w:rPr>
          <w:bCs/>
          <w:kern w:val="0"/>
        </w:rPr>
        <w:t>统一部署，确定通州区</w:t>
      </w:r>
      <w:r>
        <w:rPr>
          <w:rFonts w:hint="eastAsia"/>
          <w:bCs/>
          <w:kern w:val="0"/>
        </w:rPr>
        <w:t>“</w:t>
      </w:r>
      <w:r>
        <w:rPr>
          <w:bCs/>
          <w:kern w:val="0"/>
        </w:rPr>
        <w:t>十五五</w:t>
      </w:r>
      <w:r>
        <w:rPr>
          <w:rFonts w:hint="eastAsia"/>
          <w:bCs/>
          <w:kern w:val="0"/>
        </w:rPr>
        <w:t>”</w:t>
      </w:r>
      <w:r>
        <w:rPr>
          <w:bCs/>
          <w:kern w:val="0"/>
        </w:rPr>
        <w:t>期间重点任务包括以下</w:t>
      </w:r>
      <w:r>
        <w:rPr>
          <w:rFonts w:hint="eastAsia"/>
          <w:b/>
          <w:kern w:val="0"/>
        </w:rPr>
        <w:t>7</w:t>
      </w:r>
      <w:r>
        <w:rPr>
          <w:b/>
          <w:kern w:val="0"/>
        </w:rPr>
        <w:t>大方面</w:t>
      </w:r>
      <w:r>
        <w:rPr>
          <w:bCs/>
          <w:kern w:val="0"/>
        </w:rPr>
        <w:t>：</w:t>
      </w:r>
    </w:p>
    <w:p w14:paraId="11EB8F22">
      <w:pPr>
        <w:pStyle w:val="14"/>
        <w:ind w:firstLine="643"/>
        <w:rPr>
          <w:bCs/>
          <w:kern w:val="0"/>
        </w:rPr>
      </w:pPr>
      <w:r>
        <w:rPr>
          <w:b/>
          <w:kern w:val="0"/>
        </w:rPr>
        <w:t>提升水资源安全韧性保障</w:t>
      </w:r>
      <w:bookmarkStart w:id="72" w:name="_Toc153549609"/>
      <w:r>
        <w:rPr>
          <w:rFonts w:hint="eastAsia"/>
          <w:b/>
          <w:kern w:val="0"/>
        </w:rPr>
        <w:t>。</w:t>
      </w:r>
      <w:r>
        <w:rPr>
          <w:bCs/>
          <w:kern w:val="0"/>
        </w:rPr>
        <w:t>坚持底线思维、极限思维，按照适度冗余、安全可靠的基础设施韧性建设要求。提出多元协同拓展水资源供给渠道、均衡布局保障城乡供水安全、城乡统筹推进节水型社会建设、持续推动本地地下水压采等方面的建设任务。</w:t>
      </w:r>
    </w:p>
    <w:bookmarkEnd w:id="72"/>
    <w:p w14:paraId="433C4F84">
      <w:pPr>
        <w:pStyle w:val="14"/>
        <w:ind w:firstLine="643"/>
        <w:rPr>
          <w:b/>
          <w:kern w:val="0"/>
        </w:rPr>
      </w:pPr>
      <w:r>
        <w:rPr>
          <w:b/>
          <w:kern w:val="0"/>
        </w:rPr>
        <w:t>大幅提升防御洪涝水能力</w:t>
      </w:r>
      <w:r>
        <w:rPr>
          <w:rFonts w:hint="eastAsia"/>
          <w:b/>
          <w:kern w:val="0"/>
        </w:rPr>
        <w:t>。</w:t>
      </w:r>
      <w:r>
        <w:rPr>
          <w:lang w:val="en"/>
        </w:rPr>
        <w:t>贯彻</w:t>
      </w:r>
      <w:r>
        <w:rPr>
          <w:rFonts w:hint="eastAsia"/>
          <w:lang w:val="en"/>
        </w:rPr>
        <w:t>“</w:t>
      </w:r>
      <w:r>
        <w:rPr>
          <w:lang w:val="en"/>
        </w:rPr>
        <w:t>上蓄、中疏、下排、有效治洪</w:t>
      </w:r>
      <w:r>
        <w:rPr>
          <w:rFonts w:hint="eastAsia"/>
          <w:lang w:val="en"/>
        </w:rPr>
        <w:t>”</w:t>
      </w:r>
      <w:r>
        <w:rPr>
          <w:lang w:val="en"/>
        </w:rPr>
        <w:t>的防洪原则，</w:t>
      </w:r>
      <w:r>
        <w:t>进一步优化流域防洪工程体系布局，做好洪涝水安排，基本建成</w:t>
      </w:r>
      <w:r>
        <w:rPr>
          <w:rFonts w:hint="eastAsia"/>
        </w:rPr>
        <w:t>“</w:t>
      </w:r>
      <w:r>
        <w:t>通州堰</w:t>
      </w:r>
      <w:r>
        <w:rPr>
          <w:rFonts w:hint="eastAsia"/>
        </w:rPr>
        <w:t>”</w:t>
      </w:r>
      <w:r>
        <w:t>防洪工程体系。提出构建城市副中心防洪工程体系、提升城市副中心及拓展区防涝能力、推动城市副中心海绵城市高标准建设、推动区级智慧水务系统建设等方面的建设内容。</w:t>
      </w:r>
    </w:p>
    <w:p w14:paraId="7BC35BC2">
      <w:pPr>
        <w:pStyle w:val="14"/>
        <w:ind w:firstLine="643"/>
        <w:rPr>
          <w:b/>
          <w:kern w:val="0"/>
        </w:rPr>
      </w:pPr>
      <w:r>
        <w:rPr>
          <w:b/>
          <w:kern w:val="0"/>
        </w:rPr>
        <w:t>持续改善城乡水环境质量</w:t>
      </w:r>
      <w:r>
        <w:rPr>
          <w:rFonts w:hint="eastAsia"/>
          <w:b/>
          <w:kern w:val="0"/>
        </w:rPr>
        <w:t>。</w:t>
      </w:r>
      <w:r>
        <w:t>合理布局污水及再生水厂站设施，加快再生水厂及配套污水、再生水管网建设。结合河道水系连通与河湖生态补水，促进河湖保护修复及生态复苏。提出加快再生水厂建设、完善污水收集管网建设、推动完成水网工程建设、加强河湖生态补水等方面的建设内容。</w:t>
      </w:r>
    </w:p>
    <w:p w14:paraId="10A41565">
      <w:pPr>
        <w:pStyle w:val="14"/>
        <w:ind w:firstLine="643"/>
        <w:rPr>
          <w:b/>
          <w:kern w:val="0"/>
        </w:rPr>
      </w:pPr>
      <w:r>
        <w:rPr>
          <w:b/>
          <w:kern w:val="0"/>
        </w:rPr>
        <w:t>擦亮水文化提升城市魅力</w:t>
      </w:r>
      <w:r>
        <w:rPr>
          <w:rFonts w:hint="eastAsia"/>
          <w:b/>
          <w:kern w:val="0"/>
        </w:rPr>
        <w:t>。</w:t>
      </w:r>
      <w:r>
        <w:t>贯彻落实习近平总书记</w:t>
      </w:r>
      <w:r>
        <w:rPr>
          <w:rFonts w:hint="eastAsia"/>
        </w:rPr>
        <w:t>“</w:t>
      </w:r>
      <w:r>
        <w:t>保护好、传承好、利用好大运河</w:t>
      </w:r>
      <w:r>
        <w:rPr>
          <w:rFonts w:hint="eastAsia"/>
        </w:rPr>
        <w:t>”</w:t>
      </w:r>
      <w:r>
        <w:t>重要指示要求</w:t>
      </w:r>
      <w:r>
        <w:rPr>
          <w:rFonts w:hint="eastAsia"/>
        </w:rPr>
        <w:t>，构建大运河生态文明带魅力文化品牌。</w:t>
      </w:r>
      <w:r>
        <w:t>提出焕活千年运河文化、彰显多元现代文化、回归水乡生活文化、展现魅力生态文化等方面的建设内容。</w:t>
      </w:r>
    </w:p>
    <w:p w14:paraId="01D5772C">
      <w:pPr>
        <w:pStyle w:val="14"/>
        <w:ind w:firstLine="643"/>
        <w:rPr>
          <w:bCs/>
          <w:kern w:val="0"/>
        </w:rPr>
      </w:pPr>
      <w:r>
        <w:rPr>
          <w:b/>
          <w:kern w:val="0"/>
        </w:rPr>
        <w:t>发展水经济赋能城市活力</w:t>
      </w:r>
      <w:r>
        <w:rPr>
          <w:rFonts w:hint="eastAsia"/>
          <w:b/>
          <w:kern w:val="0"/>
        </w:rPr>
        <w:t>。</w:t>
      </w:r>
      <w:r>
        <w:rPr>
          <w:bCs/>
          <w:kern w:val="0"/>
        </w:rPr>
        <w:t>以水资源、水环境、水生态、水文化及水域岸线空间的系统性保护与合理化利用为核心，</w:t>
      </w:r>
      <w:r>
        <w:t>推动形成多业态协同、多价值叠加的水经济发展新格局，为城市高质量发展注入持续动能</w:t>
      </w:r>
      <w:r>
        <w:rPr>
          <w:bCs/>
          <w:kern w:val="0"/>
        </w:rPr>
        <w:t>。提出激活滨水空间、复兴旅游通航、塑造魅力场景、培育绿色产业等方面的建设内容</w:t>
      </w:r>
      <w:r>
        <w:rPr>
          <w:bCs/>
        </w:rPr>
        <w:t>。</w:t>
      </w:r>
    </w:p>
    <w:p w14:paraId="75497E4A">
      <w:pPr>
        <w:pStyle w:val="14"/>
        <w:ind w:firstLine="643"/>
        <w:rPr>
          <w:b/>
          <w:kern w:val="0"/>
        </w:rPr>
      </w:pPr>
      <w:r>
        <w:rPr>
          <w:b/>
          <w:kern w:val="0"/>
        </w:rPr>
        <w:t>打造水生活提升宜居品质</w:t>
      </w:r>
      <w:r>
        <w:rPr>
          <w:rFonts w:hint="eastAsia"/>
          <w:b/>
          <w:kern w:val="0"/>
        </w:rPr>
        <w:t>。</w:t>
      </w:r>
      <w:r>
        <w:rPr>
          <w:bCs/>
        </w:rPr>
        <w:t>遵循弹性适应、分层利用原则，以强化景观连续性、提升空间可达性为核心。提出打造多彩变化的风景画廊、优化生态弹性的滨水岸线、构建安全舒适的滨水绿道、配套人性化的驿站设施等方面的建设内容。</w:t>
      </w:r>
    </w:p>
    <w:p w14:paraId="1F7EDCA4">
      <w:pPr>
        <w:widowControl/>
        <w:spacing w:line="560" w:lineRule="exact"/>
        <w:ind w:firstLine="643" w:firstLineChars="200"/>
        <w:jc w:val="left"/>
        <w:rPr>
          <w:rFonts w:hint="eastAsia" w:ascii="仿宋_GB2312" w:hAnsi="仿宋_GB2312" w:eastAsia="仿宋_GB2312" w:cs="仿宋_GB2312"/>
          <w:sz w:val="32"/>
          <w:szCs w:val="32"/>
        </w:rPr>
      </w:pPr>
      <w:r>
        <w:rPr>
          <w:rFonts w:hint="eastAsia" w:ascii="Times New Roman" w:hAnsi="Times New Roman" w:eastAsia="仿宋_GB2312"/>
          <w:b/>
          <w:kern w:val="0"/>
          <w:sz w:val="32"/>
          <w:szCs w:val="32"/>
        </w:rPr>
        <w:t>多元协同，健全体制机制。</w:t>
      </w:r>
      <w:r>
        <w:rPr>
          <w:rFonts w:ascii="Times New Roman" w:hAnsi="Times New Roman" w:eastAsia="仿宋_GB2312"/>
          <w:bCs/>
          <w:sz w:val="32"/>
          <w:szCs w:val="32"/>
        </w:rPr>
        <w:t>健全完善涉水用地共建共享机制，提升滨水公共开放空间活力及亲水游憩的舒适性。健全完善通州河湖生态资源调配机制，打通上下游河道连通的堵点卡点，确保自上游通过河道有水来、来好水。健全完善京津冀水务协调机制，加强与河北省廊坊市、天津市武清区在防洪减灾、应急救援、河湖生态、管理养护等方面合作。</w:t>
      </w:r>
    </w:p>
    <w:p w14:paraId="60E33E71">
      <w:pPr>
        <w:widowControl/>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五、规划</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ascii="黑体" w:hAnsi="黑体" w:eastAsia="黑体" w:cs="黑体"/>
          <w:sz w:val="32"/>
          <w:szCs w:val="32"/>
        </w:rPr>
        <w:t>水平年及范围</w:t>
      </w:r>
    </w:p>
    <w:p w14:paraId="7C29D8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本规划的现状水平年为2025年，规划水平年为2030年。规划范围为通州区全域（不含亦庄通州部分）。</w:t>
      </w:r>
    </w:p>
    <w:p w14:paraId="6C59C9B1">
      <w:pPr>
        <w:pStyle w:val="2"/>
      </w:pPr>
    </w:p>
    <w:p w14:paraId="4B9B7F37">
      <w:pPr>
        <w:spacing w:line="560" w:lineRule="exact"/>
        <w:ind w:firstLine="640" w:firstLineChars="200"/>
        <w:jc w:val="left"/>
        <w:rPr>
          <w:rFonts w:hint="eastAsia" w:ascii="仿宋_GB2312" w:hAnsi="仿宋_GB2312" w:eastAsia="仿宋_GB2312"/>
          <w:sz w:val="32"/>
          <w:szCs w:val="32"/>
        </w:rPr>
      </w:pPr>
    </w:p>
    <w:p w14:paraId="276C3AD2">
      <w:pPr>
        <w:wordWrap w:val="0"/>
        <w:spacing w:line="560" w:lineRule="exact"/>
        <w:ind w:right="315" w:rightChars="150" w:firstLine="640" w:firstLineChars="200"/>
        <w:jc w:val="right"/>
        <w:rPr>
          <w:rFonts w:hint="eastAsia" w:ascii="仿宋_GB2312" w:hAnsi="仿宋_GB2312" w:eastAsia="仿宋_GB2312"/>
          <w:sz w:val="32"/>
          <w:szCs w:val="32"/>
        </w:rPr>
      </w:pPr>
      <w:r>
        <w:rPr>
          <w:rFonts w:hint="eastAsia" w:ascii="仿宋_GB2312" w:hAnsi="仿宋_GB2312" w:eastAsia="仿宋_GB2312"/>
          <w:sz w:val="32"/>
          <w:szCs w:val="32"/>
        </w:rPr>
        <w:t>北京市通州区水务局</w:t>
      </w:r>
    </w:p>
    <w:p w14:paraId="7E195BF5">
      <w:pPr>
        <w:wordWrap w:val="0"/>
        <w:spacing w:line="560" w:lineRule="exact"/>
        <w:ind w:right="315" w:rightChars="150" w:firstLine="640" w:firstLineChars="200"/>
        <w:jc w:val="right"/>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2026年5月1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 xml:space="preserve">日  </w:t>
      </w:r>
    </w:p>
    <w:sectPr>
      <w:footerReference r:id="rId5" w:type="default"/>
      <w:pgSz w:w="11906" w:h="16838"/>
      <w:pgMar w:top="2098" w:right="1474" w:bottom="1984" w:left="1587" w:header="851" w:footer="141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AF8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3B40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73B40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E617F4"/>
    <w:rsid w:val="003C1138"/>
    <w:rsid w:val="006F2B7C"/>
    <w:rsid w:val="008E224F"/>
    <w:rsid w:val="009D0115"/>
    <w:rsid w:val="00C31851"/>
    <w:rsid w:val="00D9722F"/>
    <w:rsid w:val="04690A15"/>
    <w:rsid w:val="063D2F0C"/>
    <w:rsid w:val="074D1F6B"/>
    <w:rsid w:val="0C1053BE"/>
    <w:rsid w:val="11F203C2"/>
    <w:rsid w:val="128C0515"/>
    <w:rsid w:val="1E004AF3"/>
    <w:rsid w:val="1FE3647B"/>
    <w:rsid w:val="364B2A77"/>
    <w:rsid w:val="39EC57B0"/>
    <w:rsid w:val="3A802DEC"/>
    <w:rsid w:val="45BF1C90"/>
    <w:rsid w:val="52FE08FA"/>
    <w:rsid w:val="53833D79"/>
    <w:rsid w:val="5CD03307"/>
    <w:rsid w:val="5E0D4201"/>
    <w:rsid w:val="5FFFA6C5"/>
    <w:rsid w:val="63892462"/>
    <w:rsid w:val="655645C6"/>
    <w:rsid w:val="6B4D219F"/>
    <w:rsid w:val="6DAA68FE"/>
    <w:rsid w:val="6F173018"/>
    <w:rsid w:val="71CA4062"/>
    <w:rsid w:val="733817AF"/>
    <w:rsid w:val="74E67714"/>
    <w:rsid w:val="77427712"/>
    <w:rsid w:val="7BBB31DD"/>
    <w:rsid w:val="7BEE84A6"/>
    <w:rsid w:val="7EFDC8F3"/>
    <w:rsid w:val="965F97F1"/>
    <w:rsid w:val="BEE617F4"/>
    <w:rsid w:val="DFF77A17"/>
    <w:rsid w:val="EBFFF88E"/>
    <w:rsid w:val="EF9F284F"/>
    <w:rsid w:val="EFFBA79B"/>
    <w:rsid w:val="FBFE73EB"/>
    <w:rsid w:val="FFD89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annotation text"/>
    <w:basedOn w:val="1"/>
    <w:link w:val="16"/>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semiHidden/>
    <w:unhideWhenUsed/>
    <w:qFormat/>
    <w:uiPriority w:val="99"/>
    <w:pPr>
      <w:snapToGrid w:val="0"/>
      <w:jc w:val="left"/>
    </w:pPr>
    <w:rPr>
      <w:sz w:val="18"/>
      <w:szCs w:val="18"/>
    </w:rPr>
  </w:style>
  <w:style w:type="paragraph" w:styleId="8">
    <w:name w:val="annotation subject"/>
    <w:basedOn w:val="4"/>
    <w:next w:val="4"/>
    <w:link w:val="17"/>
    <w:qFormat/>
    <w:uiPriority w:val="0"/>
    <w:rPr>
      <w:b/>
      <w:bCs/>
    </w:rPr>
  </w:style>
  <w:style w:type="character" w:styleId="11">
    <w:name w:val="annotation reference"/>
    <w:basedOn w:val="10"/>
    <w:qFormat/>
    <w:uiPriority w:val="0"/>
    <w:rPr>
      <w:sz w:val="21"/>
      <w:szCs w:val="21"/>
    </w:rPr>
  </w:style>
  <w:style w:type="character" w:styleId="12">
    <w:name w:val="footnote reference"/>
    <w:basedOn w:val="10"/>
    <w:semiHidden/>
    <w:unhideWhenUsed/>
    <w:qFormat/>
    <w:uiPriority w:val="99"/>
    <w:rPr>
      <w:vertAlign w:val="superscript"/>
    </w:rPr>
  </w:style>
  <w:style w:type="paragraph" w:customStyle="1" w:styleId="13">
    <w:name w:val="04  公文-正文(无序)"/>
    <w:basedOn w:val="1"/>
    <w:qFormat/>
    <w:uiPriority w:val="0"/>
    <w:pPr>
      <w:snapToGrid w:val="0"/>
      <w:spacing w:line="560" w:lineRule="atLeast"/>
      <w:ind w:firstLine="200" w:firstLineChars="200"/>
    </w:pPr>
    <w:rPr>
      <w:rFonts w:ascii="Times New Roman" w:hAnsi="Times New Roman" w:eastAsia="仿宋"/>
      <w:sz w:val="32"/>
      <w:szCs w:val="28"/>
      <w:lang w:val="zh-CN"/>
    </w:rPr>
  </w:style>
  <w:style w:type="paragraph" w:customStyle="1" w:styleId="14">
    <w:name w:val="样式7"/>
    <w:basedOn w:val="13"/>
    <w:qFormat/>
    <w:uiPriority w:val="0"/>
    <w:pPr>
      <w:spacing w:line="600" w:lineRule="exact"/>
    </w:pPr>
    <w:rPr>
      <w:rFonts w:eastAsia="仿宋_GB2312"/>
      <w:szCs w:val="32"/>
      <w:lang w:val="en-US"/>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文字 字符"/>
    <w:basedOn w:val="10"/>
    <w:link w:val="4"/>
    <w:qFormat/>
    <w:uiPriority w:val="0"/>
    <w:rPr>
      <w:rFonts w:ascii="Calibri" w:hAnsi="Calibri" w:eastAsia="宋体" w:cs="Times New Roman"/>
      <w:kern w:val="2"/>
      <w:sz w:val="21"/>
      <w:szCs w:val="24"/>
    </w:rPr>
  </w:style>
  <w:style w:type="character" w:customStyle="1" w:styleId="17">
    <w:name w:val="批注主题 字符"/>
    <w:basedOn w:val="16"/>
    <w:link w:val="8"/>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2055</Words>
  <Characters>2079</Characters>
  <Lines>16</Lines>
  <Paragraphs>4</Paragraphs>
  <TotalTime>30</TotalTime>
  <ScaleCrop>false</ScaleCrop>
  <LinksUpToDate>false</LinksUpToDate>
  <CharactersWithSpaces>2082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2026-04-28T09:05:00Z</dcterms:created>
  <dc:creator>张智博</dc:creator>
  <cp:lastModifiedBy>sparrow</cp:lastModifiedBy>
  <dcterms:modified xsi:type="dcterms:W3CDTF">2026-05-18T09:07:00Z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9F1C123E671ED0C248B6EE69B8B3B19E</vt:lpwstr>
  </property>
  <property fmtid="{D5CDD505-2E9C-101B-9397-08002B2CF9AE}" pid="4" name="KSOTemplateDocerSaveRecord">
    <vt:lpwstr>eyJoZGlkIjoiN2M3ZTY2OGE4YWNhZWEyMjA2N2M3NDE4YTVkODhhOTUiLCJ1c2VySWQiOiI3OTUzMDM4OTQifQ==</vt:lpwstr>
  </property>
</Properties>
</file>