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64305">
      <w:pPr>
        <w:suppressAutoHyphens/>
        <w:overflowPunct w:val="0"/>
        <w:spacing w:line="560" w:lineRule="exact"/>
        <w:outlineLvl w:val="1"/>
        <w:rPr>
          <w:rFonts w:ascii="方正小标宋简体" w:hAnsi="方正小标宋简体" w:eastAsia="方正小标宋简体"/>
          <w:sz w:val="32"/>
          <w:szCs w:val="32"/>
        </w:rPr>
      </w:pPr>
      <w:r>
        <w:rPr>
          <w:rFonts w:hint="eastAsia" w:ascii="黑体" w:hAnsi="黑体" w:eastAsia="黑体"/>
          <w:sz w:val="32"/>
          <w:szCs w:val="32"/>
        </w:rPr>
        <w:t>附件2</w:t>
      </w:r>
    </w:p>
    <w:p w14:paraId="4E30648B">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w:t>
      </w:r>
      <w:bookmarkStart w:id="0" w:name="_GoBack"/>
      <w:bookmarkEnd w:id="0"/>
      <w:r>
        <w:rPr>
          <w:rFonts w:hint="eastAsia" w:ascii="方正小标宋简体" w:hAnsi="方正小标宋简体" w:eastAsia="方正小标宋简体"/>
          <w:sz w:val="44"/>
          <w:szCs w:val="44"/>
        </w:rPr>
        <w:t>北京市海淀区高质量体育赛事活动奖励办法》起草说明</w:t>
      </w:r>
    </w:p>
    <w:p w14:paraId="1DCEABD8">
      <w:pPr>
        <w:spacing w:line="560" w:lineRule="exact"/>
        <w:jc w:val="center"/>
        <w:rPr>
          <w:rFonts w:ascii="仿宋_GB2312" w:hAnsi="仿宋_GB2312" w:eastAsia="仿宋_GB2312"/>
          <w:sz w:val="32"/>
          <w:szCs w:val="32"/>
        </w:rPr>
      </w:pPr>
    </w:p>
    <w:p w14:paraId="6C67E34D">
      <w:pPr>
        <w:ind w:firstLine="640"/>
        <w:rPr>
          <w:rFonts w:ascii="黑体" w:hAnsi="黑体" w:eastAsia="黑体"/>
          <w:sz w:val="32"/>
        </w:rPr>
      </w:pPr>
      <w:r>
        <w:rPr>
          <w:rFonts w:ascii="黑体" w:hAnsi="黑体" w:eastAsia="黑体"/>
          <w:sz w:val="32"/>
        </w:rPr>
        <w:t>一、出台背景</w:t>
      </w:r>
    </w:p>
    <w:p w14:paraId="7A52E08E">
      <w:pPr>
        <w:spacing w:line="560" w:lineRule="exact"/>
        <w:ind w:firstLine="640" w:firstLineChars="200"/>
        <w:rPr>
          <w:rFonts w:ascii="仿宋_GB2312" w:hAnsi="等线" w:eastAsia="仿宋_GB2312"/>
          <w:sz w:val="32"/>
        </w:rPr>
      </w:pPr>
      <w:r>
        <w:rPr>
          <w:rFonts w:hint="eastAsia" w:ascii="仿宋_GB2312" w:hAnsi="等线" w:eastAsia="仿宋_GB2312"/>
          <w:sz w:val="32"/>
        </w:rPr>
        <w:t>为进一步做大做强我区高质量体育赛事品牌、推动体育产业提质增效，发挥体育赛事经济激活体育消费、带动产业融合、彰显城市形象的作用，解决高端赛事集聚不足、本土品牌培育缓慢、社会办赛动力不强等问题。区体育局在深入调研、广泛征求意见并借鉴先进地区经验基础上，拟定了《海淀区高质量体育赛事活动奖励办法》（以下简称《奖励办法》）。</w:t>
      </w:r>
    </w:p>
    <w:p w14:paraId="1711FD7F">
      <w:pPr>
        <w:spacing w:line="560" w:lineRule="exact"/>
        <w:ind w:firstLine="640" w:firstLineChars="200"/>
        <w:rPr>
          <w:rFonts w:ascii="黑体" w:hAnsi="黑体" w:eastAsia="黑体"/>
          <w:sz w:val="32"/>
        </w:rPr>
      </w:pPr>
      <w:r>
        <w:rPr>
          <w:rFonts w:hint="eastAsia" w:ascii="黑体" w:hAnsi="黑体" w:eastAsia="黑体"/>
          <w:sz w:val="32"/>
        </w:rPr>
        <w:t>二、拟定过程</w:t>
      </w:r>
    </w:p>
    <w:p w14:paraId="078C7043">
      <w:pPr>
        <w:overflowPunct w:val="0"/>
        <w:spacing w:line="560" w:lineRule="exact"/>
        <w:ind w:firstLine="640" w:firstLineChars="200"/>
        <w:rPr>
          <w:rFonts w:ascii="仿宋_GB2312" w:hAnsi="等线" w:eastAsia="仿宋_GB2312"/>
          <w:sz w:val="32"/>
          <w:szCs w:val="32"/>
          <w:highlight w:val="green"/>
        </w:rPr>
      </w:pPr>
      <w:r>
        <w:rPr>
          <w:rFonts w:hint="eastAsia" w:ascii="仿宋_GB2312" w:hAnsi="等线" w:eastAsia="仿宋_GB2312"/>
          <w:sz w:val="32"/>
        </w:rPr>
        <w:t>政策拟定过程中，我单位严格遵循现行法律法规和国家相关政策文件，</w:t>
      </w:r>
      <w:r>
        <w:rPr>
          <w:rFonts w:hint="eastAsia" w:ascii="仿宋_GB2312" w:hAnsi="仿宋_GB2312" w:eastAsia="仿宋_GB2312" w:cs="仿宋"/>
          <w:spacing w:val="4"/>
          <w:sz w:val="32"/>
          <w:szCs w:val="32"/>
        </w:rPr>
        <w:t>以《国务院办公厅关于加快发展体育竞赛表演产业的指导意见》</w:t>
      </w:r>
      <w:r>
        <w:rPr>
          <w:rFonts w:hint="eastAsia" w:ascii="仿宋_GB2312" w:hAnsi="仿宋_GB2312" w:eastAsia="仿宋_GB2312" w:cs="仿宋"/>
          <w:spacing w:val="4"/>
          <w:sz w:val="32"/>
          <w:szCs w:val="32"/>
          <w:lang w:eastAsia="zh-CN"/>
        </w:rPr>
        <w:t>《“十四五”体育发展规划》《国务院办公厅关于释放体育消费潜力进一步推进体育产业高质量发展的意见》《海淀区“十五五”时期体育事业高质量发展规划（征求意见稿）》《石景山区促进赛事经济高质量发展的若干措施（试行）》《成都市促进体育（产业）发展专项资金政策》</w:t>
      </w:r>
      <w:r>
        <w:rPr>
          <w:rFonts w:hint="eastAsia" w:ascii="仿宋_GB2312" w:hAnsi="仿宋_GB2312" w:eastAsia="仿宋_GB2312" w:cs="仿宋"/>
          <w:spacing w:val="4"/>
          <w:sz w:val="32"/>
          <w:szCs w:val="32"/>
          <w:highlight w:val="none"/>
        </w:rPr>
        <w:t>等</w:t>
      </w:r>
      <w:r>
        <w:rPr>
          <w:rFonts w:hint="eastAsia" w:ascii="仿宋_GB2312" w:hAnsi="仿宋_GB2312" w:eastAsia="仿宋_GB2312" w:cs="仿宋"/>
          <w:spacing w:val="4"/>
          <w:sz w:val="32"/>
          <w:szCs w:val="32"/>
          <w:lang w:val="en-US" w:eastAsia="zh-CN"/>
        </w:rPr>
        <w:t>文件</w:t>
      </w:r>
      <w:r>
        <w:rPr>
          <w:rFonts w:hint="eastAsia" w:ascii="仿宋_GB2312" w:hAnsi="仿宋_GB2312" w:eastAsia="仿宋_GB2312" w:cs="仿宋"/>
          <w:spacing w:val="4"/>
          <w:sz w:val="32"/>
          <w:szCs w:val="32"/>
        </w:rPr>
        <w:t>为主要依据</w:t>
      </w:r>
      <w:r>
        <w:rPr>
          <w:rFonts w:hint="eastAsia" w:ascii="仿宋_GB2312" w:hAnsi="仿宋_GB2312" w:eastAsia="仿宋_GB2312" w:cs="仿宋"/>
          <w:color w:val="000000"/>
          <w:spacing w:val="4"/>
          <w:sz w:val="32"/>
          <w:szCs w:val="32"/>
          <w:highlight w:val="none"/>
        </w:rPr>
        <w:t>，结合</w:t>
      </w:r>
      <w:r>
        <w:rPr>
          <w:rFonts w:hint="eastAsia" w:ascii="仿宋_GB2312" w:hAnsi="仿宋_GB2312" w:eastAsia="仿宋_GB2312" w:cs="仿宋"/>
          <w:color w:val="000000"/>
          <w:spacing w:val="4"/>
          <w:sz w:val="32"/>
          <w:szCs w:val="32"/>
          <w:highlight w:val="none"/>
          <w:lang w:val="en-US" w:eastAsia="zh-CN"/>
        </w:rPr>
        <w:t>海淀区体育赛事发展实际</w:t>
      </w:r>
      <w:r>
        <w:rPr>
          <w:rFonts w:hint="eastAsia" w:ascii="仿宋_GB2312" w:hAnsi="仿宋_GB2312" w:eastAsia="仿宋_GB2312" w:cs="仿宋"/>
          <w:color w:val="000000"/>
          <w:spacing w:val="4"/>
          <w:sz w:val="32"/>
          <w:szCs w:val="32"/>
          <w:highlight w:val="none"/>
        </w:rPr>
        <w:t>，研究制定了具体内容</w:t>
      </w:r>
      <w:r>
        <w:rPr>
          <w:rFonts w:hint="eastAsia" w:ascii="仿宋_GB2312" w:hAnsi="等线" w:eastAsia="仿宋_GB2312"/>
          <w:color w:val="000000"/>
          <w:sz w:val="32"/>
          <w:szCs w:val="32"/>
          <w:highlight w:val="none"/>
        </w:rPr>
        <w:t>。在政策导向上，</w:t>
      </w:r>
      <w:r>
        <w:rPr>
          <w:rFonts w:ascii="仿宋_GB2312" w:hAnsi="仿宋_GB2312" w:eastAsia="仿宋_GB2312" w:cs="仿宋"/>
          <w:color w:val="000000"/>
          <w:spacing w:val="7"/>
          <w:sz w:val="32"/>
          <w:szCs w:val="32"/>
          <w:highlight w:val="none"/>
        </w:rPr>
        <w:t>重点支持</w:t>
      </w:r>
      <w:r>
        <w:rPr>
          <w:rFonts w:hint="eastAsia" w:ascii="仿宋_GB2312" w:hAnsi="仿宋_GB2312" w:eastAsia="仿宋_GB2312" w:cs="仿宋"/>
          <w:color w:val="000000"/>
          <w:spacing w:val="7"/>
          <w:sz w:val="32"/>
          <w:szCs w:val="32"/>
          <w:highlight w:val="none"/>
        </w:rPr>
        <w:t>重大高端赛事引进落地、本土特色赛事品牌孵化培育、优质赛事IP常态化连续举办与深耕运营</w:t>
      </w:r>
      <w:r>
        <w:rPr>
          <w:rFonts w:hint="eastAsia" w:ascii="仿宋_GB2312" w:hAnsi="仿宋_GB2312" w:eastAsia="仿宋_GB2312" w:cs="仿宋"/>
          <w:color w:val="000000"/>
          <w:spacing w:val="7"/>
          <w:sz w:val="32"/>
          <w:szCs w:val="32"/>
          <w:highlight w:val="none"/>
          <w:lang w:eastAsia="zh-CN"/>
        </w:rPr>
        <w:t>，</w:t>
      </w:r>
      <w:r>
        <w:rPr>
          <w:rFonts w:hint="eastAsia" w:ascii="仿宋_GB2312" w:hAnsi="仿宋_GB2312" w:eastAsia="仿宋_GB2312" w:cs="仿宋"/>
          <w:color w:val="000000"/>
          <w:spacing w:val="7"/>
          <w:sz w:val="32"/>
          <w:szCs w:val="32"/>
          <w:highlight w:val="none"/>
        </w:rPr>
        <w:t>系统构建层级清晰、特色鲜明、竞争力强、具有区域高辨识度的海淀赛事政策支撑体系。</w:t>
      </w:r>
    </w:p>
    <w:p w14:paraId="11215BEF">
      <w:pPr>
        <w:spacing w:line="560" w:lineRule="exact"/>
        <w:ind w:firstLine="640" w:firstLineChars="200"/>
        <w:rPr>
          <w:rFonts w:ascii="黑体" w:hAnsi="黑体" w:eastAsia="黑体"/>
          <w:sz w:val="32"/>
        </w:rPr>
      </w:pPr>
      <w:r>
        <w:rPr>
          <w:rFonts w:hint="eastAsia" w:ascii="黑体" w:hAnsi="黑体" w:eastAsia="黑体"/>
          <w:sz w:val="32"/>
        </w:rPr>
        <w:t>三、主要内容</w:t>
      </w:r>
    </w:p>
    <w:p w14:paraId="78348F2A">
      <w:pPr>
        <w:spacing w:line="560" w:lineRule="exact"/>
        <w:ind w:firstLine="640" w:firstLineChars="200"/>
        <w:rPr>
          <w:rFonts w:ascii="仿宋_GB2312" w:hAnsi="等线" w:eastAsia="仿宋_GB2312"/>
          <w:sz w:val="32"/>
        </w:rPr>
      </w:pPr>
      <w:r>
        <w:rPr>
          <w:rFonts w:hint="eastAsia" w:ascii="仿宋_GB2312" w:hAnsi="等线" w:eastAsia="仿宋_GB2312"/>
          <w:sz w:val="32"/>
        </w:rPr>
        <w:t>《奖励办法》针对国际性、全国性、市级高质量、区内自有特色品牌四类体育赛事制定奖励标准，明确申报审核、绩效管理、监督检查等配套要求，与海淀区其他支持政策实行从高不重复原则。《奖励办法》分别对四类赛事的认定条件、奖励方式作出规定，2026年起连续举办的赛事，第三次通过申报审核可获额外连续办赛奖励。同时建立评分定奖励比例机制，从赛事级别、规模、影响力、投入四个维度综合评分，根据得分确定对应奖励比例，达到规定分数方可获得奖励。</w:t>
      </w:r>
    </w:p>
    <w:p w14:paraId="3FC9F446">
      <w:pPr>
        <w:spacing w:line="560" w:lineRule="exact"/>
        <w:ind w:firstLine="640" w:firstLineChars="200"/>
        <w:jc w:val="left"/>
        <w:rPr>
          <w:rFonts w:ascii="仿宋_GB2312" w:hAnsi="等线" w:eastAsia="仿宋_GB2312"/>
          <w:sz w:val="32"/>
        </w:rPr>
      </w:pPr>
    </w:p>
    <w:p w14:paraId="7D010A81">
      <w:pPr>
        <w:pStyle w:val="2"/>
      </w:pPr>
    </w:p>
    <w:p w14:paraId="2D69153C">
      <w:pPr>
        <w:spacing w:line="560" w:lineRule="exact"/>
        <w:ind w:firstLine="640" w:firstLineChars="200"/>
        <w:jc w:val="center"/>
        <w:rPr>
          <w:rFonts w:hint="default" w:ascii="仿宋_GB2312" w:hAnsi="等线" w:eastAsia="仿宋_GB2312"/>
          <w:sz w:val="32"/>
          <w:lang w:val="en-US" w:eastAsia="zh-CN"/>
        </w:rPr>
      </w:pPr>
      <w:r>
        <w:rPr>
          <w:rFonts w:hint="eastAsia" w:ascii="仿宋_GB2312" w:hAnsi="等线" w:eastAsia="仿宋_GB2312"/>
          <w:sz w:val="32"/>
          <w:lang w:val="en-US" w:eastAsia="zh-CN"/>
        </w:rPr>
        <w:t xml:space="preserve">                                 海淀区体育局</w:t>
      </w:r>
    </w:p>
    <w:p w14:paraId="3DC9FFEE">
      <w:pPr>
        <w:spacing w:line="560" w:lineRule="exact"/>
        <w:ind w:firstLine="640" w:firstLineChars="200"/>
        <w:jc w:val="right"/>
      </w:pPr>
      <w:r>
        <w:rPr>
          <w:rFonts w:hint="eastAsia" w:ascii="仿宋_GB2312" w:hAnsi="等线" w:eastAsia="仿宋_GB2312"/>
          <w:sz w:val="32"/>
        </w:rPr>
        <w:t>2026年5月</w:t>
      </w:r>
      <w:r>
        <w:rPr>
          <w:rFonts w:hint="eastAsia" w:ascii="仿宋_GB2312" w:hAnsi="等线" w:eastAsia="仿宋_GB2312"/>
          <w:sz w:val="32"/>
          <w:lang w:val="en-US" w:eastAsia="zh-CN"/>
        </w:rPr>
        <w:t>11</w:t>
      </w:r>
      <w:r>
        <w:rPr>
          <w:rFonts w:hint="eastAsia" w:ascii="仿宋_GB2312" w:hAnsi="等线" w:eastAsia="仿宋_GB2312"/>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CDA07-DF2E-439F-BE98-1A50396495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1AF12FE-7DC0-4560-9150-11F9C0AF4746}"/>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35F5D562-D8D3-44B3-A8F0-5D5EAED7C1D5}"/>
  </w:font>
  <w:font w:name="仿宋_GB2312">
    <w:panose1 w:val="02010609030101010101"/>
    <w:charset w:val="86"/>
    <w:family w:val="auto"/>
    <w:pitch w:val="default"/>
    <w:sig w:usb0="00000001" w:usb1="080E0000" w:usb2="00000000" w:usb3="00000000" w:csb0="00040000" w:csb1="00000000"/>
    <w:embedRegular r:id="rId4" w:fontKey="{9FB85178-2012-489A-99A3-1176CDF2D378}"/>
  </w:font>
  <w:font w:name="等线">
    <w:panose1 w:val="02010600030101010101"/>
    <w:charset w:val="86"/>
    <w:family w:val="auto"/>
    <w:pitch w:val="default"/>
    <w:sig w:usb0="A00002BF" w:usb1="38CF7CFA" w:usb2="00000016" w:usb3="00000000" w:csb0="0004000F" w:csb1="00000000"/>
    <w:embedRegular r:id="rId5" w:fontKey="{CAAD5C84-C0C8-4FF1-9B24-B03EF84A9BC0}"/>
  </w:font>
  <w:font w:name="仿宋">
    <w:panose1 w:val="02010609060101010101"/>
    <w:charset w:val="86"/>
    <w:family w:val="modern"/>
    <w:pitch w:val="default"/>
    <w:sig w:usb0="800002BF" w:usb1="38CF7CFA" w:usb2="00000016" w:usb3="00000000" w:csb0="00040001" w:csb1="00000000"/>
    <w:embedRegular r:id="rId6" w:fontKey="{544627DA-D7D3-4C68-A221-1502F6B8B5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7CD0695E"/>
    <w:rsid w:val="7CD0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Cambria" w:hAnsi="Cambria" w:eastAsia="宋体" w:cs="Times New Roman"/>
      <w:color w:val="366091"/>
      <w:sz w:val="48"/>
      <w:szCs w:val="4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2026-05-11T08:18:00Z</dcterms:created>
  <dc:creator>孙彤</dc:creator>
  <cp:lastModifiedBy>孙彤</cp:lastModifiedBy>
  <dcterms:modified xsi:type="dcterms:W3CDTF">2026-05-11T08:19:12Z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D066B67B8FD042F09433FB731387A2C7_11</vt:lpwstr>
  </property>
</Properties>
</file>