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EB54E">
      <w:pPr>
        <w:keepNext w:val="0"/>
        <w:keepLines w:val="0"/>
        <w:pageBreakBefore w:val="0"/>
        <w:suppressAutoHyphens/>
        <w:wordWrap/>
        <w:overflowPunct/>
        <w:topLinePunct w:val="0"/>
        <w:bidi w:val="0"/>
        <w:spacing w:line="560" w:lineRule="exact"/>
        <w:ind w:left="0" w:leftChars="0" w:right="0" w:rightChars="0"/>
        <w:jc w:val="both"/>
        <w:rPr>
          <w:rFonts w:hint="eastAsia" w:ascii="黑体" w:hAnsi="黑体" w:eastAsia="黑体" w:cs="黑体"/>
          <w:w w:val="95"/>
          <w:kern w:val="0"/>
          <w:sz w:val="32"/>
          <w:szCs w:val="32"/>
          <w:lang w:val="en-US" w:eastAsia="zh-CN"/>
        </w:rPr>
      </w:pPr>
      <w:r>
        <w:rPr>
          <w:rFonts w:hint="eastAsia" w:ascii="黑体" w:hAnsi="黑体" w:eastAsia="黑体" w:cs="黑体"/>
          <w:w w:val="95"/>
          <w:kern w:val="0"/>
          <w:sz w:val="32"/>
          <w:szCs w:val="32"/>
          <w:lang w:eastAsia="zh-CN"/>
        </w:rPr>
        <w:t>附件</w:t>
      </w:r>
      <w:r>
        <w:rPr>
          <w:rFonts w:hint="eastAsia" w:ascii="黑体" w:hAnsi="黑体" w:eastAsia="黑体" w:cs="黑体"/>
          <w:w w:val="95"/>
          <w:kern w:val="0"/>
          <w:sz w:val="32"/>
          <w:szCs w:val="32"/>
          <w:lang w:val="en-US" w:eastAsia="zh-CN"/>
        </w:rPr>
        <w:t>1</w:t>
      </w:r>
    </w:p>
    <w:p w14:paraId="4666FA12">
      <w:pPr>
        <w:keepNext w:val="0"/>
        <w:keepLines w:val="0"/>
        <w:pageBreakBefore w:val="0"/>
        <w:suppressAutoHyphens/>
        <w:wordWrap/>
        <w:overflowPunct/>
        <w:topLinePunct w:val="0"/>
        <w:bidi w:val="0"/>
        <w:spacing w:line="560" w:lineRule="exact"/>
        <w:ind w:left="0" w:leftChars="0" w:right="0" w:rightChars="0"/>
        <w:jc w:val="center"/>
        <w:rPr>
          <w:rFonts w:hint="eastAsia" w:ascii="方正小标宋简体" w:hAnsi="方正小标宋简体" w:eastAsia="方正小标宋简体" w:cs="方正小标宋简体"/>
          <w:w w:val="95"/>
          <w:kern w:val="0"/>
          <w:sz w:val="44"/>
          <w:szCs w:val="44"/>
        </w:rPr>
      </w:pPr>
      <w:r>
        <w:rPr>
          <w:rFonts w:hint="eastAsia" w:ascii="方正小标宋简体" w:hAnsi="方正小标宋简体" w:eastAsia="方正小标宋简体" w:cs="方正小标宋简体"/>
          <w:w w:val="95"/>
          <w:kern w:val="0"/>
          <w:sz w:val="44"/>
          <w:szCs w:val="44"/>
        </w:rPr>
        <w:t>海淀区高质量体育赛事活动奖励办法</w:t>
      </w:r>
    </w:p>
    <w:p w14:paraId="0F3CCFD7">
      <w:pPr>
        <w:keepNext w:val="0"/>
        <w:keepLines w:val="0"/>
        <w:pageBreakBefore w:val="0"/>
        <w:suppressAutoHyphens/>
        <w:wordWrap/>
        <w:overflowPunct/>
        <w:topLinePunct w:val="0"/>
        <w:bidi w:val="0"/>
        <w:spacing w:line="560" w:lineRule="exact"/>
        <w:ind w:left="0" w:leftChars="0" w:right="0" w:rightChars="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征求意见</w:t>
      </w:r>
      <w:r>
        <w:rPr>
          <w:rFonts w:hint="eastAsia" w:ascii="楷体_GB2312" w:hAnsi="楷体_GB2312" w:eastAsia="楷体_GB2312" w:cs="楷体_GB2312"/>
          <w:sz w:val="32"/>
          <w:szCs w:val="32"/>
        </w:rPr>
        <w:t>稿）</w:t>
      </w:r>
    </w:p>
    <w:p w14:paraId="653EB1F4">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jc w:val="center"/>
        <w:textAlignment w:val="baseline"/>
        <w:outlineLvl w:val="2"/>
        <w:rPr>
          <w:rFonts w:hint="eastAsia" w:ascii="黑体" w:hAnsi="黑体" w:eastAsia="黑体" w:cs="黑体"/>
          <w:snapToGrid w:val="0"/>
          <w:spacing w:val="-10"/>
          <w:kern w:val="0"/>
          <w:sz w:val="32"/>
          <w:szCs w:val="32"/>
        </w:rPr>
      </w:pPr>
    </w:p>
    <w:p w14:paraId="5C4B0FAD">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jc w:val="center"/>
        <w:textAlignment w:val="baseline"/>
        <w:outlineLvl w:val="2"/>
        <w:rPr>
          <w:rFonts w:ascii="黑体" w:hAnsi="黑体" w:eastAsia="黑体" w:cs="黑体"/>
          <w:snapToGrid w:val="0"/>
          <w:spacing w:val="-10"/>
          <w:kern w:val="0"/>
          <w:sz w:val="32"/>
          <w:szCs w:val="32"/>
        </w:rPr>
      </w:pPr>
      <w:r>
        <w:rPr>
          <w:rFonts w:hint="eastAsia" w:ascii="黑体" w:hAnsi="黑体" w:eastAsia="黑体" w:cs="黑体"/>
          <w:snapToGrid w:val="0"/>
          <w:spacing w:val="-10"/>
          <w:kern w:val="0"/>
          <w:sz w:val="32"/>
          <w:szCs w:val="32"/>
        </w:rPr>
        <w:t>第一章  总  则</w:t>
      </w:r>
    </w:p>
    <w:p w14:paraId="5E17574D">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3" w:firstLineChars="200"/>
        <w:textAlignment w:val="baseline"/>
        <w:rPr>
          <w:rFonts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spacing w:val="15"/>
          <w:kern w:val="0"/>
          <w:sz w:val="32"/>
          <w:szCs w:val="32"/>
        </w:rPr>
        <w:t>第一条</w:t>
      </w:r>
      <w:r>
        <w:rPr>
          <w:rFonts w:hint="eastAsia" w:ascii="仿宋_GB2312" w:hAnsi="仿宋_GB2312" w:eastAsia="仿宋_GB2312" w:cs="仿宋_GB2312"/>
          <w:snapToGrid w:val="0"/>
          <w:spacing w:val="15"/>
          <w:kern w:val="0"/>
          <w:sz w:val="32"/>
          <w:szCs w:val="32"/>
        </w:rPr>
        <w:t xml:space="preserve">  </w:t>
      </w:r>
      <w:bookmarkStart w:id="0" w:name="OLE_LINK5"/>
      <w:r>
        <w:rPr>
          <w:rFonts w:hint="eastAsia" w:ascii="仿宋_GB2312" w:hAnsi="仿宋_GB2312" w:eastAsia="仿宋_GB2312" w:cs="仿宋_GB2312"/>
          <w:snapToGrid w:val="0"/>
          <w:spacing w:val="15"/>
          <w:kern w:val="0"/>
          <w:sz w:val="32"/>
          <w:szCs w:val="32"/>
        </w:rPr>
        <w:t>为进一步</w:t>
      </w:r>
      <w:r>
        <w:rPr>
          <w:rFonts w:hint="eastAsia" w:ascii="仿宋_GB2312" w:hAnsi="仿宋_GB2312" w:eastAsia="仿宋_GB2312" w:cs="仿宋_GB2312"/>
          <w:snapToGrid w:val="0"/>
          <w:spacing w:val="2"/>
          <w:kern w:val="0"/>
          <w:sz w:val="32"/>
          <w:szCs w:val="32"/>
        </w:rPr>
        <w:t>打造海淀区体育赛事活动品牌，</w:t>
      </w:r>
      <w:r>
        <w:rPr>
          <w:rFonts w:hint="eastAsia" w:ascii="仿宋_GB2312" w:hAnsi="仿宋_GB2312" w:eastAsia="仿宋_GB2312" w:cs="仿宋_GB2312"/>
          <w:snapToGrid w:val="0"/>
          <w:spacing w:val="3"/>
          <w:kern w:val="0"/>
          <w:sz w:val="32"/>
          <w:szCs w:val="32"/>
        </w:rPr>
        <w:t>推动体育产业高质量发展，助力现代化强区和高品质海淀建设，依据本区体育发展实际，制定本</w:t>
      </w:r>
      <w:r>
        <w:rPr>
          <w:rFonts w:hint="eastAsia" w:ascii="仿宋_GB2312" w:hAnsi="仿宋_GB2312" w:eastAsia="仿宋_GB2312" w:cs="仿宋_GB2312"/>
          <w:snapToGrid w:val="0"/>
          <w:spacing w:val="-17"/>
          <w:kern w:val="0"/>
          <w:sz w:val="32"/>
          <w:szCs w:val="32"/>
        </w:rPr>
        <w:t>办法</w:t>
      </w:r>
      <w:bookmarkEnd w:id="0"/>
      <w:r>
        <w:rPr>
          <w:rFonts w:hint="eastAsia" w:ascii="仿宋_GB2312" w:hAnsi="仿宋_GB2312" w:eastAsia="仿宋_GB2312" w:cs="仿宋_GB2312"/>
          <w:snapToGrid w:val="0"/>
          <w:spacing w:val="-17"/>
          <w:kern w:val="0"/>
          <w:sz w:val="32"/>
          <w:szCs w:val="32"/>
        </w:rPr>
        <w:t>。</w:t>
      </w:r>
    </w:p>
    <w:p w14:paraId="11CA7A1D">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675" w:firstLineChars="200"/>
        <w:textAlignment w:val="baseline"/>
        <w:rPr>
          <w:rFonts w:ascii="仿宋_GB2312" w:hAnsi="仿宋_GB2312" w:eastAsia="仿宋_GB2312" w:cs="仿宋_GB2312"/>
          <w:snapToGrid w:val="0"/>
          <w:spacing w:val="10"/>
          <w:kern w:val="0"/>
          <w:sz w:val="32"/>
          <w:szCs w:val="32"/>
        </w:rPr>
      </w:pPr>
      <w:r>
        <w:rPr>
          <w:rFonts w:hint="eastAsia" w:ascii="仿宋_GB2312" w:hAnsi="仿宋_GB2312" w:eastAsia="仿宋_GB2312" w:cs="仿宋_GB2312"/>
          <w:b/>
          <w:bCs/>
          <w:snapToGrid w:val="0"/>
          <w:spacing w:val="8"/>
          <w:kern w:val="0"/>
          <w:sz w:val="32"/>
          <w:szCs w:val="32"/>
        </w:rPr>
        <w:t>第二条</w:t>
      </w:r>
      <w:r>
        <w:rPr>
          <w:rFonts w:hint="eastAsia" w:ascii="仿宋_GB2312" w:hAnsi="仿宋_GB2312" w:eastAsia="仿宋_GB2312" w:cs="仿宋_GB2312"/>
          <w:snapToGrid w:val="0"/>
          <w:spacing w:val="10"/>
          <w:kern w:val="0"/>
          <w:sz w:val="32"/>
          <w:szCs w:val="32"/>
        </w:rPr>
        <w:t xml:space="preserve">  本办法奖励</w:t>
      </w:r>
      <w:r>
        <w:rPr>
          <w:rFonts w:hint="eastAsia" w:ascii="仿宋_GB2312" w:hAnsi="仿宋_GB2312" w:eastAsia="仿宋_GB2312" w:cs="仿宋_GB2312"/>
          <w:snapToGrid w:val="0"/>
          <w:spacing w:val="15"/>
          <w:kern w:val="0"/>
          <w:sz w:val="32"/>
          <w:szCs w:val="32"/>
        </w:rPr>
        <w:t>对象为在海淀区合法经营、上一年度举办体育赛事活动的企业或其他社会组织，且申请奖励的体育赛事活动已在北京市竞赛管理中</w:t>
      </w:r>
      <w:r>
        <w:rPr>
          <w:rFonts w:hint="eastAsia" w:ascii="仿宋_GB2312" w:hAnsi="仿宋_GB2312" w:eastAsia="仿宋_GB2312" w:cs="仿宋_GB2312"/>
          <w:snapToGrid w:val="0"/>
          <w:spacing w:val="10"/>
          <w:kern w:val="0"/>
          <w:sz w:val="32"/>
          <w:szCs w:val="32"/>
        </w:rPr>
        <w:t>心平台登记备案。</w:t>
      </w:r>
    </w:p>
    <w:p w14:paraId="262C9C8C">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683"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b/>
          <w:bCs/>
          <w:snapToGrid w:val="0"/>
          <w:spacing w:val="10"/>
          <w:kern w:val="0"/>
          <w:sz w:val="32"/>
          <w:szCs w:val="32"/>
        </w:rPr>
        <w:t>第三条</w:t>
      </w:r>
      <w:r>
        <w:rPr>
          <w:rFonts w:hint="eastAsia" w:ascii="仿宋_GB2312" w:hAnsi="仿宋_GB2312" w:eastAsia="仿宋_GB2312" w:cs="仿宋_GB2312"/>
          <w:snapToGrid w:val="0"/>
          <w:spacing w:val="15"/>
          <w:kern w:val="0"/>
          <w:sz w:val="32"/>
          <w:szCs w:val="32"/>
        </w:rPr>
        <w:t xml:space="preserve"> </w:t>
      </w:r>
      <w:r>
        <w:rPr>
          <w:rFonts w:ascii="仿宋_GB2312" w:hAnsi="仿宋_GB2312" w:eastAsia="仿宋_GB2312" w:cs="仿宋_GB2312"/>
          <w:snapToGrid w:val="0"/>
          <w:spacing w:val="15"/>
          <w:kern w:val="0"/>
          <w:sz w:val="32"/>
          <w:szCs w:val="32"/>
        </w:rPr>
        <w:t xml:space="preserve"> </w:t>
      </w:r>
      <w:r>
        <w:rPr>
          <w:rFonts w:hint="eastAsia" w:ascii="仿宋_GB2312" w:hAnsi="仿宋_GB2312" w:eastAsia="仿宋_GB2312" w:cs="仿宋_GB2312"/>
          <w:snapToGrid w:val="0"/>
          <w:spacing w:val="15"/>
          <w:kern w:val="0"/>
          <w:sz w:val="32"/>
          <w:szCs w:val="32"/>
        </w:rPr>
        <w:t>本办法奖励范围为由社会力量参与举办的区级及以上各类高质量体育赛事，主要包括国际性体育赛事、全国性体育赛事、北京市高质量体育赛事及海淀区自有品牌赛事活动。全国性青少年、老年赛事不在本办法支持范围内；除国际性、全国性赛事外，各级政府部门、事业单位主办的赛事不在本办法支持范围内。</w:t>
      </w:r>
    </w:p>
    <w:p w14:paraId="2C515127">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3"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b/>
          <w:bCs/>
          <w:snapToGrid w:val="0"/>
          <w:spacing w:val="15"/>
          <w:kern w:val="0"/>
          <w:sz w:val="32"/>
          <w:szCs w:val="32"/>
        </w:rPr>
        <w:t>第四条</w:t>
      </w:r>
      <w:r>
        <w:rPr>
          <w:rFonts w:hint="eastAsia" w:ascii="仿宋_GB2312" w:hAnsi="仿宋_GB2312" w:eastAsia="仿宋_GB2312" w:cs="仿宋_GB2312"/>
          <w:snapToGrid w:val="0"/>
          <w:spacing w:val="15"/>
          <w:kern w:val="0"/>
          <w:sz w:val="32"/>
          <w:szCs w:val="32"/>
        </w:rPr>
        <w:t xml:space="preserve">  本办法所称赛事实际投入指赛事活动本身的直接投入，包括场地相关费用、设备设施费用、裁判等人员费用、宣传推广费用、赛事期间的后勤保障和安全医疗费用、其他可以证明与赛事有关的直接相关费用。赛事实际投入不包括办赛期间志愿者等人员费用（裁判员费用除外）及企业水电费、租金、人员工资等日常运营部分。</w:t>
      </w:r>
    </w:p>
    <w:p w14:paraId="46C25E3B">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jc w:val="center"/>
        <w:textAlignment w:val="baseline"/>
        <w:outlineLvl w:val="2"/>
        <w:rPr>
          <w:rFonts w:ascii="黑体" w:hAnsi="黑体" w:eastAsia="黑体" w:cs="黑体"/>
          <w:snapToGrid w:val="0"/>
          <w:spacing w:val="-10"/>
          <w:kern w:val="0"/>
          <w:sz w:val="32"/>
          <w:szCs w:val="32"/>
        </w:rPr>
      </w:pPr>
      <w:r>
        <w:rPr>
          <w:rFonts w:hint="eastAsia" w:ascii="黑体" w:hAnsi="黑体" w:eastAsia="黑体" w:cs="黑体"/>
          <w:snapToGrid w:val="0"/>
          <w:spacing w:val="-10"/>
          <w:kern w:val="0"/>
          <w:sz w:val="32"/>
          <w:szCs w:val="32"/>
        </w:rPr>
        <w:t xml:space="preserve">第二章  </w:t>
      </w:r>
      <w:bookmarkStart w:id="1" w:name="_Hlk223167144"/>
      <w:r>
        <w:rPr>
          <w:rFonts w:hint="eastAsia" w:ascii="黑体" w:hAnsi="黑体" w:eastAsia="黑体" w:cs="黑体"/>
          <w:snapToGrid w:val="0"/>
          <w:spacing w:val="-10"/>
          <w:kern w:val="0"/>
          <w:sz w:val="32"/>
          <w:szCs w:val="32"/>
        </w:rPr>
        <w:t>支持</w:t>
      </w:r>
      <w:bookmarkEnd w:id="1"/>
      <w:r>
        <w:rPr>
          <w:rFonts w:hint="eastAsia" w:ascii="黑体" w:hAnsi="黑体" w:eastAsia="黑体" w:cs="黑体"/>
          <w:snapToGrid w:val="0"/>
          <w:spacing w:val="-10"/>
          <w:kern w:val="0"/>
          <w:sz w:val="32"/>
          <w:szCs w:val="32"/>
        </w:rPr>
        <w:t>条件和标准</w:t>
      </w:r>
    </w:p>
    <w:p w14:paraId="214298C0">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683"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b/>
          <w:bCs/>
          <w:snapToGrid w:val="0"/>
          <w:spacing w:val="10"/>
          <w:kern w:val="0"/>
          <w:sz w:val="32"/>
          <w:szCs w:val="32"/>
        </w:rPr>
        <w:t>第五条</w:t>
      </w:r>
      <w:r>
        <w:rPr>
          <w:rFonts w:hint="eastAsia" w:ascii="仿宋_GB2312" w:hAnsi="仿宋_GB2312" w:eastAsia="仿宋_GB2312" w:cs="仿宋_GB2312"/>
          <w:snapToGrid w:val="0"/>
          <w:spacing w:val="10"/>
          <w:kern w:val="0"/>
          <w:sz w:val="32"/>
          <w:szCs w:val="32"/>
        </w:rPr>
        <w:t xml:space="preserve">  支持引办国际性体育赛事</w:t>
      </w:r>
      <w:r>
        <w:rPr>
          <w:rFonts w:hint="eastAsia" w:ascii="仿宋_GB2312" w:hAnsi="仿宋_GB2312" w:eastAsia="仿宋_GB2312" w:cs="仿宋_GB2312"/>
          <w:snapToGrid w:val="0"/>
          <w:spacing w:val="15"/>
          <w:kern w:val="0"/>
          <w:sz w:val="32"/>
          <w:szCs w:val="32"/>
        </w:rPr>
        <w:t>。</w:t>
      </w:r>
    </w:p>
    <w:p w14:paraId="17C3EA29">
      <w:pPr>
        <w:keepNext w:val="0"/>
        <w:keepLines w:val="0"/>
        <w:pageBreakBefore w:val="0"/>
        <w:suppressAutoHyphens/>
        <w:wordWrap/>
        <w:overflowPunct/>
        <w:topLinePunct w:val="0"/>
        <w:bidi w:val="0"/>
        <w:spacing w:line="560" w:lineRule="exact"/>
        <w:ind w:left="0" w:leftChars="0" w:right="0" w:rightChars="0" w:firstLine="640" w:firstLineChars="200"/>
        <w:rPr>
          <w:rFonts w:ascii="仿宋_GB2312" w:hAnsi="等线" w:eastAsia="仿宋_GB2312" w:cs="仿宋_GB2312"/>
          <w:sz w:val="32"/>
          <w:szCs w:val="32"/>
          <w:lang w:bidi="ar"/>
        </w:rPr>
      </w:pPr>
      <w:r>
        <w:rPr>
          <w:rFonts w:hint="eastAsia" w:ascii="仿宋_GB2312" w:hAnsi="等线" w:eastAsia="仿宋_GB2312" w:cs="仿宋_GB2312"/>
          <w:sz w:val="32"/>
          <w:szCs w:val="32"/>
          <w:lang w:bidi="ar"/>
        </w:rPr>
        <w:t xml:space="preserve">1.与国际体育组织签约，并在海淀区范围内举办的国际性单项体育赛事。  </w:t>
      </w:r>
    </w:p>
    <w:p w14:paraId="06B49BB8">
      <w:pPr>
        <w:keepNext w:val="0"/>
        <w:keepLines w:val="0"/>
        <w:pageBreakBefore w:val="0"/>
        <w:suppressAutoHyphens/>
        <w:wordWrap/>
        <w:overflowPunct/>
        <w:topLinePunct w:val="0"/>
        <w:bidi w:val="0"/>
        <w:spacing w:line="560" w:lineRule="exact"/>
        <w:ind w:left="0" w:leftChars="0" w:right="0" w:rightChars="0" w:firstLine="640" w:firstLineChars="200"/>
        <w:rPr>
          <w:rFonts w:ascii="仿宋_GB2312" w:hAnsi="等线" w:eastAsia="仿宋_GB2312" w:cs="仿宋_GB2312"/>
          <w:sz w:val="32"/>
          <w:szCs w:val="32"/>
          <w:lang w:bidi="ar"/>
        </w:rPr>
      </w:pPr>
      <w:r>
        <w:rPr>
          <w:rFonts w:hint="eastAsia" w:ascii="仿宋_GB2312" w:hAnsi="等线" w:eastAsia="仿宋_GB2312" w:cs="仿宋_GB2312"/>
          <w:sz w:val="32"/>
          <w:szCs w:val="32"/>
          <w:lang w:bidi="ar"/>
        </w:rPr>
        <w:t>2.国家级体育协会等赛事授权机构认定、备案、参与指导或作为技术认证单位的国际体育赛事。</w:t>
      </w:r>
    </w:p>
    <w:p w14:paraId="50F7C21C">
      <w:pPr>
        <w:keepNext w:val="0"/>
        <w:keepLines w:val="0"/>
        <w:pageBreakBefore w:val="0"/>
        <w:suppressAutoHyphens/>
        <w:wordWrap/>
        <w:overflowPunct/>
        <w:topLinePunct w:val="0"/>
        <w:bidi w:val="0"/>
        <w:spacing w:line="560" w:lineRule="exact"/>
        <w:ind w:left="0" w:leftChars="0" w:right="0" w:rightChars="0" w:firstLine="640" w:firstLineChars="200"/>
        <w:rPr>
          <w:rFonts w:ascii="仿宋_GB2312" w:hAnsi="等线" w:eastAsia="仿宋_GB2312" w:cs="仿宋_GB2312"/>
          <w:sz w:val="32"/>
          <w:szCs w:val="32"/>
          <w:lang w:bidi="ar"/>
        </w:rPr>
      </w:pPr>
      <w:r>
        <w:rPr>
          <w:rFonts w:hint="eastAsia" w:ascii="仿宋_GB2312" w:hAnsi="等线" w:eastAsia="仿宋_GB2312" w:cs="仿宋_GB2312"/>
          <w:sz w:val="32"/>
          <w:szCs w:val="32"/>
          <w:lang w:bidi="ar"/>
        </w:rPr>
        <w:t>3.参赛国家（地区）3个（含）以上，且世界排名前100名或知名选手至少3人参赛的单项赛事。</w:t>
      </w:r>
    </w:p>
    <w:p w14:paraId="71D6F6BE">
      <w:pPr>
        <w:keepNext w:val="0"/>
        <w:keepLines w:val="0"/>
        <w:pageBreakBefore w:val="0"/>
        <w:suppressAutoHyphens/>
        <w:wordWrap/>
        <w:overflowPunct/>
        <w:topLinePunct w:val="0"/>
        <w:bidi w:val="0"/>
        <w:spacing w:line="560" w:lineRule="exact"/>
        <w:ind w:left="0" w:leftChars="0" w:right="0" w:rightChars="0" w:firstLine="640" w:firstLineChars="200"/>
        <w:rPr>
          <w:rFonts w:ascii="仿宋_GB2312" w:hAnsi="等线" w:eastAsia="仿宋_GB2312" w:cs="仿宋_GB2312"/>
          <w:sz w:val="32"/>
          <w:szCs w:val="32"/>
        </w:rPr>
      </w:pPr>
      <w:r>
        <w:rPr>
          <w:rFonts w:hint="eastAsia" w:ascii="仿宋_GB2312" w:hAnsi="等线" w:eastAsia="仿宋_GB2312" w:cs="仿宋_GB2312"/>
          <w:sz w:val="32"/>
          <w:szCs w:val="32"/>
          <w:lang w:bidi="ar"/>
        </w:rPr>
        <w:t>符合以上任何一项，且经区体育主管部门认定的，将</w:t>
      </w:r>
      <w:r>
        <w:rPr>
          <w:rFonts w:hint="eastAsia" w:ascii="仿宋_GB2312" w:hAnsi="仿宋_GB2312" w:eastAsia="仿宋_GB2312" w:cs="仿宋_GB2312"/>
          <w:snapToGrid w:val="0"/>
          <w:spacing w:val="15"/>
          <w:kern w:val="0"/>
          <w:sz w:val="32"/>
          <w:szCs w:val="32"/>
        </w:rPr>
        <w:t>根据赛事级别、规模和影响力等因素，按不超过赛事实际投入的40%，给予每次不超过300万元奖励</w:t>
      </w:r>
      <w:r>
        <w:rPr>
          <w:rFonts w:hint="eastAsia" w:ascii="仿宋_GB2312" w:hAnsi="等线" w:eastAsia="仿宋_GB2312" w:cs="仿宋_GB2312"/>
          <w:sz w:val="32"/>
          <w:szCs w:val="32"/>
          <w:lang w:bidi="ar"/>
        </w:rPr>
        <w:t>。</w:t>
      </w:r>
      <w:r>
        <w:rPr>
          <w:rFonts w:hint="eastAsia" w:ascii="仿宋_GB2312" w:hAnsi="仿宋_GB2312" w:eastAsia="仿宋_GB2312" w:cs="仿宋_GB2312"/>
          <w:snapToGrid w:val="0"/>
          <w:spacing w:val="15"/>
          <w:kern w:val="0"/>
          <w:sz w:val="32"/>
          <w:szCs w:val="32"/>
        </w:rPr>
        <w:t>对自2026年起连续举办的赛事，在第三次申报支持并审核通过后，额外给予30万元连续办赛奖励。</w:t>
      </w:r>
    </w:p>
    <w:p w14:paraId="5543850F">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683" w:firstLineChars="200"/>
        <w:textAlignment w:val="baseline"/>
        <w:rPr>
          <w:rFonts w:ascii="仿宋_GB2312" w:hAnsi="仿宋_GB2312" w:eastAsia="仿宋_GB2312" w:cs="仿宋_GB2312"/>
          <w:snapToGrid w:val="0"/>
          <w:spacing w:val="10"/>
          <w:kern w:val="0"/>
          <w:sz w:val="32"/>
          <w:szCs w:val="32"/>
        </w:rPr>
      </w:pPr>
      <w:r>
        <w:rPr>
          <w:rFonts w:hint="eastAsia" w:ascii="仿宋_GB2312" w:hAnsi="仿宋_GB2312" w:eastAsia="仿宋_GB2312" w:cs="仿宋_GB2312"/>
          <w:b/>
          <w:bCs/>
          <w:snapToGrid w:val="0"/>
          <w:spacing w:val="10"/>
          <w:kern w:val="0"/>
          <w:sz w:val="32"/>
          <w:szCs w:val="32"/>
        </w:rPr>
        <w:t>第六条</w:t>
      </w:r>
      <w:r>
        <w:rPr>
          <w:rFonts w:hint="eastAsia" w:ascii="仿宋_GB2312" w:hAnsi="仿宋_GB2312" w:eastAsia="仿宋_GB2312" w:cs="仿宋_GB2312"/>
          <w:snapToGrid w:val="0"/>
          <w:spacing w:val="10"/>
          <w:kern w:val="0"/>
          <w:sz w:val="32"/>
          <w:szCs w:val="32"/>
        </w:rPr>
        <w:t xml:space="preserve"> </w:t>
      </w:r>
      <w:r>
        <w:rPr>
          <w:rFonts w:ascii="仿宋_GB2312" w:hAnsi="仿宋_GB2312" w:eastAsia="仿宋_GB2312" w:cs="仿宋_GB2312"/>
          <w:snapToGrid w:val="0"/>
          <w:spacing w:val="10"/>
          <w:kern w:val="0"/>
          <w:sz w:val="32"/>
          <w:szCs w:val="32"/>
        </w:rPr>
        <w:t xml:space="preserve"> </w:t>
      </w:r>
      <w:r>
        <w:rPr>
          <w:rFonts w:hint="eastAsia" w:ascii="仿宋_GB2312" w:hAnsi="仿宋_GB2312" w:eastAsia="仿宋_GB2312" w:cs="仿宋_GB2312"/>
          <w:snapToGrid w:val="0"/>
          <w:spacing w:val="10"/>
          <w:kern w:val="0"/>
          <w:sz w:val="32"/>
          <w:szCs w:val="32"/>
        </w:rPr>
        <w:t>支持引办全国性体育赛事。</w:t>
      </w:r>
    </w:p>
    <w:p w14:paraId="1F5514F6">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0"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snapToGrid w:val="0"/>
          <w:spacing w:val="15"/>
          <w:kern w:val="0"/>
          <w:sz w:val="32"/>
          <w:szCs w:val="32"/>
        </w:rPr>
        <w:t>1.国家体育总局（含各司局）及各项目管理中心、国家级体育协会等机构主办、认定、</w:t>
      </w:r>
      <w:r>
        <w:rPr>
          <w:rFonts w:hint="eastAsia" w:ascii="仿宋_GB2312" w:hAnsi="等线" w:eastAsia="仿宋_GB2312" w:cs="仿宋_GB2312"/>
          <w:sz w:val="32"/>
          <w:szCs w:val="32"/>
          <w:lang w:bidi="ar"/>
        </w:rPr>
        <w:t>备案、参与指导或作为技术认证单位的</w:t>
      </w:r>
      <w:r>
        <w:rPr>
          <w:rFonts w:hint="eastAsia" w:ascii="仿宋_GB2312" w:hAnsi="仿宋_GB2312" w:eastAsia="仿宋_GB2312" w:cs="仿宋_GB2312"/>
          <w:snapToGrid w:val="0"/>
          <w:spacing w:val="15"/>
          <w:kern w:val="0"/>
          <w:sz w:val="32"/>
          <w:szCs w:val="32"/>
        </w:rPr>
        <w:t>赛事。</w:t>
      </w:r>
    </w:p>
    <w:p w14:paraId="5F521D02">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0"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snapToGrid w:val="0"/>
          <w:spacing w:val="15"/>
          <w:kern w:val="0"/>
          <w:sz w:val="32"/>
          <w:szCs w:val="32"/>
        </w:rPr>
        <w:t>2.面向全国公开报名，参赛运动队（运动员）覆盖全国8个（含）以上省份（含港澳台地区），且北京市以外运动队（运动员）占30%（含）以上。</w:t>
      </w:r>
    </w:p>
    <w:p w14:paraId="7DB702AF">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0"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snapToGrid w:val="0"/>
          <w:spacing w:val="15"/>
          <w:kern w:val="0"/>
          <w:sz w:val="32"/>
          <w:szCs w:val="32"/>
        </w:rPr>
        <w:t>符合以上任何一项，且经区体育主管部门认定的，将根据赛事级别、规模和影响力等因素，按不超过赛事实际投入的40%，给予每次不超过200万元奖励。</w:t>
      </w:r>
      <w:bookmarkStart w:id="2" w:name="OLE_LINK2"/>
      <w:r>
        <w:rPr>
          <w:rFonts w:hint="eastAsia" w:ascii="仿宋_GB2312" w:hAnsi="仿宋_GB2312" w:eastAsia="仿宋_GB2312" w:cs="仿宋_GB2312"/>
          <w:snapToGrid w:val="0"/>
          <w:spacing w:val="15"/>
          <w:kern w:val="0"/>
          <w:sz w:val="32"/>
          <w:szCs w:val="32"/>
        </w:rPr>
        <w:t>对自2026年起连续举办的赛事，在第三次申报支持并审核通过后，额外给予20万元连续办赛奖励。</w:t>
      </w:r>
      <w:bookmarkEnd w:id="2"/>
    </w:p>
    <w:p w14:paraId="1B493610">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683" w:firstLineChars="200"/>
        <w:textAlignment w:val="baseline"/>
        <w:rPr>
          <w:rFonts w:ascii="仿宋_GB2312" w:hAnsi="仿宋_GB2312" w:eastAsia="仿宋_GB2312" w:cs="仿宋_GB2312"/>
          <w:snapToGrid w:val="0"/>
          <w:spacing w:val="10"/>
          <w:kern w:val="0"/>
          <w:sz w:val="32"/>
          <w:szCs w:val="32"/>
        </w:rPr>
      </w:pPr>
      <w:r>
        <w:rPr>
          <w:rFonts w:hint="eastAsia" w:ascii="仿宋_GB2312" w:hAnsi="仿宋_GB2312" w:eastAsia="仿宋_GB2312" w:cs="仿宋_GB2312"/>
          <w:b/>
          <w:bCs/>
          <w:snapToGrid w:val="0"/>
          <w:spacing w:val="10"/>
          <w:kern w:val="0"/>
          <w:sz w:val="32"/>
          <w:szCs w:val="32"/>
        </w:rPr>
        <w:t xml:space="preserve">第七条 </w:t>
      </w:r>
      <w:r>
        <w:rPr>
          <w:rFonts w:ascii="仿宋_GB2312" w:hAnsi="仿宋_GB2312" w:eastAsia="仿宋_GB2312" w:cs="仿宋_GB2312"/>
          <w:b/>
          <w:bCs/>
          <w:snapToGrid w:val="0"/>
          <w:spacing w:val="10"/>
          <w:kern w:val="0"/>
          <w:sz w:val="32"/>
          <w:szCs w:val="32"/>
        </w:rPr>
        <w:t xml:space="preserve"> </w:t>
      </w:r>
      <w:r>
        <w:rPr>
          <w:rFonts w:hint="eastAsia" w:ascii="仿宋_GB2312" w:hAnsi="仿宋_GB2312" w:eastAsia="仿宋_GB2312" w:cs="仿宋_GB2312"/>
          <w:snapToGrid w:val="0"/>
          <w:spacing w:val="10"/>
          <w:kern w:val="0"/>
          <w:sz w:val="32"/>
          <w:szCs w:val="32"/>
        </w:rPr>
        <w:t>支持承办市级高质量体育赛事。</w:t>
      </w:r>
    </w:p>
    <w:p w14:paraId="7CE89216">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0"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snapToGrid w:val="0"/>
          <w:spacing w:val="15"/>
          <w:kern w:val="0"/>
          <w:sz w:val="32"/>
          <w:szCs w:val="32"/>
        </w:rPr>
        <w:t>1.北京市体育局（含各处室）及各项目管理中心、市级体育协会等认定、</w:t>
      </w:r>
      <w:r>
        <w:rPr>
          <w:rFonts w:hint="eastAsia" w:ascii="仿宋_GB2312" w:hAnsi="等线" w:eastAsia="仿宋_GB2312" w:cs="仿宋_GB2312"/>
          <w:sz w:val="32"/>
          <w:szCs w:val="32"/>
          <w:lang w:bidi="ar"/>
        </w:rPr>
        <w:t>备案、参与指导或作为技术认证单位</w:t>
      </w:r>
      <w:r>
        <w:rPr>
          <w:rFonts w:hint="eastAsia" w:ascii="仿宋_GB2312" w:hAnsi="仿宋_GB2312" w:eastAsia="仿宋_GB2312" w:cs="仿宋_GB2312"/>
          <w:snapToGrid w:val="0"/>
          <w:spacing w:val="15"/>
          <w:kern w:val="0"/>
          <w:sz w:val="32"/>
          <w:szCs w:val="32"/>
        </w:rPr>
        <w:t>的体育赛事。</w:t>
      </w:r>
    </w:p>
    <w:p w14:paraId="1F19C1A2">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0"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snapToGrid w:val="0"/>
          <w:spacing w:val="15"/>
          <w:kern w:val="0"/>
          <w:sz w:val="32"/>
          <w:szCs w:val="32"/>
        </w:rPr>
        <w:t>2.面向全市公开报名，参赛人数或售票观众合计2000人及以上的北京市级高质量体育赛事活动。</w:t>
      </w:r>
    </w:p>
    <w:p w14:paraId="01528047">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0"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snapToGrid w:val="0"/>
          <w:spacing w:val="15"/>
          <w:kern w:val="0"/>
          <w:sz w:val="32"/>
          <w:szCs w:val="32"/>
        </w:rPr>
        <w:t>符合以上任何一项，且经区体育主管部门认定的，将根据赛事级别、规模和影响力等因素，按不超过赛事实际投入的40%，给予每次不超过100万元奖励。对自2026年起连续举办的赛事，在第三次申报支持并审核通过后，额外给予10万元连续办赛奖励。</w:t>
      </w:r>
    </w:p>
    <w:p w14:paraId="1CEE4685">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683" w:firstLineChars="200"/>
        <w:textAlignment w:val="baseline"/>
        <w:rPr>
          <w:rFonts w:ascii="仿宋_GB2312" w:hAnsi="仿宋_GB2312" w:eastAsia="仿宋_GB2312" w:cs="仿宋_GB2312"/>
          <w:snapToGrid w:val="0"/>
          <w:spacing w:val="10"/>
          <w:kern w:val="0"/>
          <w:sz w:val="32"/>
          <w:szCs w:val="32"/>
        </w:rPr>
      </w:pPr>
      <w:r>
        <w:rPr>
          <w:rFonts w:hint="eastAsia" w:ascii="仿宋_GB2312" w:hAnsi="仿宋_GB2312" w:eastAsia="仿宋_GB2312" w:cs="仿宋_GB2312"/>
          <w:b/>
          <w:bCs/>
          <w:snapToGrid w:val="0"/>
          <w:spacing w:val="10"/>
          <w:kern w:val="0"/>
          <w:sz w:val="32"/>
          <w:szCs w:val="32"/>
        </w:rPr>
        <w:t xml:space="preserve">第八条 </w:t>
      </w:r>
      <w:r>
        <w:rPr>
          <w:rFonts w:hint="eastAsia" w:ascii="仿宋_GB2312" w:hAnsi="仿宋_GB2312" w:eastAsia="仿宋_GB2312" w:cs="仿宋_GB2312"/>
          <w:snapToGrid w:val="0"/>
          <w:spacing w:val="10"/>
          <w:kern w:val="0"/>
          <w:sz w:val="32"/>
          <w:szCs w:val="32"/>
        </w:rPr>
        <w:t>支持创办区内自有特色品牌赛事。</w:t>
      </w:r>
    </w:p>
    <w:p w14:paraId="6CB53495">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0"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snapToGrid w:val="0"/>
          <w:spacing w:val="15"/>
          <w:kern w:val="0"/>
          <w:sz w:val="32"/>
          <w:szCs w:val="32"/>
        </w:rPr>
        <w:t>培育和支持一批符合海淀区体育产业发展规划、市场前景好、社会影响力大、品牌知名度高的原创品牌赛事。对于参赛人数或售票观众合计2000人及以上、连续举办2年(届)及以上的区内自有品牌赛事，根据赛事规模和影响力等因素，按不超过赛事实际投入的40%，给予每次不超过</w:t>
      </w:r>
      <w:r>
        <w:rPr>
          <w:rFonts w:ascii="仿宋_GB2312" w:hAnsi="仿宋_GB2312" w:eastAsia="仿宋_GB2312" w:cs="仿宋_GB2312"/>
          <w:snapToGrid w:val="0"/>
          <w:spacing w:val="15"/>
          <w:kern w:val="0"/>
          <w:sz w:val="32"/>
          <w:szCs w:val="32"/>
        </w:rPr>
        <w:t>50</w:t>
      </w:r>
      <w:r>
        <w:rPr>
          <w:rFonts w:hint="eastAsia" w:ascii="仿宋_GB2312" w:hAnsi="仿宋_GB2312" w:eastAsia="仿宋_GB2312" w:cs="仿宋_GB2312"/>
          <w:snapToGrid w:val="0"/>
          <w:spacing w:val="15"/>
          <w:kern w:val="0"/>
          <w:sz w:val="32"/>
          <w:szCs w:val="32"/>
        </w:rPr>
        <w:t>万元奖励。对自2026年起连续举办的赛事，在第三次申报支持并审核通过后，额外给予10万元连续办赛奖励。</w:t>
      </w:r>
    </w:p>
    <w:p w14:paraId="185B4177">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jc w:val="center"/>
        <w:textAlignment w:val="baseline"/>
        <w:outlineLvl w:val="2"/>
        <w:rPr>
          <w:rFonts w:ascii="黑体" w:hAnsi="黑体" w:eastAsia="黑体" w:cs="黑体"/>
          <w:snapToGrid w:val="0"/>
          <w:spacing w:val="-10"/>
          <w:kern w:val="0"/>
          <w:sz w:val="32"/>
          <w:szCs w:val="32"/>
        </w:rPr>
      </w:pPr>
      <w:r>
        <w:rPr>
          <w:rFonts w:hint="eastAsia" w:ascii="黑体" w:hAnsi="黑体" w:eastAsia="黑体" w:cs="黑体"/>
          <w:snapToGrid w:val="0"/>
          <w:spacing w:val="-10"/>
          <w:kern w:val="0"/>
          <w:sz w:val="32"/>
          <w:szCs w:val="32"/>
        </w:rPr>
        <w:t>第三章  申报和审核</w:t>
      </w:r>
    </w:p>
    <w:p w14:paraId="1CC12E2D">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3"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b/>
          <w:bCs/>
          <w:snapToGrid w:val="0"/>
          <w:spacing w:val="15"/>
          <w:kern w:val="0"/>
          <w:sz w:val="32"/>
          <w:szCs w:val="32"/>
        </w:rPr>
        <w:t>第九条</w:t>
      </w:r>
      <w:r>
        <w:rPr>
          <w:rFonts w:hint="eastAsia" w:ascii="仿宋_GB2312" w:hAnsi="仿宋_GB2312" w:eastAsia="仿宋_GB2312" w:cs="仿宋_GB2312"/>
          <w:snapToGrid w:val="0"/>
          <w:spacing w:val="15"/>
          <w:kern w:val="0"/>
          <w:sz w:val="32"/>
          <w:szCs w:val="32"/>
        </w:rPr>
        <w:t xml:space="preserve">  申报主体须同时具备以下条件：</w:t>
      </w:r>
    </w:p>
    <w:p w14:paraId="3FAE5C46">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0"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snapToGrid w:val="0"/>
          <w:spacing w:val="15"/>
          <w:kern w:val="0"/>
          <w:sz w:val="32"/>
          <w:szCs w:val="32"/>
        </w:rPr>
        <w:t>1.一项赛事只能有一个申报主体，申报主体与赛事承办(或运营)主体必须一致；同一项赛事有多个承办(或运营)主体的，申报主体应提供其他承办(或运营)参与主体同意其申报的证明材料。</w:t>
      </w:r>
    </w:p>
    <w:p w14:paraId="4A6C3DE6">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0"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snapToGrid w:val="0"/>
          <w:spacing w:val="15"/>
          <w:kern w:val="0"/>
          <w:sz w:val="32"/>
          <w:szCs w:val="32"/>
        </w:rPr>
        <w:t>2.申报主体财务管理制度健全，会计管理规范，财务状况良好，无违法违规行为，未存在失信被执行情况。</w:t>
      </w:r>
    </w:p>
    <w:p w14:paraId="1ACBD9FC">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0" w:firstLineChars="200"/>
        <w:textAlignment w:val="baseline"/>
        <w:rPr>
          <w:rFonts w:ascii="仿宋_GB2312" w:hAnsi="仿宋_GB2312" w:eastAsia="仿宋_GB2312" w:cs="仿宋_GB2312"/>
          <w:snapToGrid w:val="0"/>
          <w:spacing w:val="15"/>
          <w:kern w:val="0"/>
          <w:sz w:val="32"/>
          <w:szCs w:val="32"/>
        </w:rPr>
      </w:pPr>
      <w:r>
        <w:rPr>
          <w:rFonts w:ascii="仿宋_GB2312" w:hAnsi="仿宋_GB2312" w:eastAsia="仿宋_GB2312" w:cs="仿宋_GB2312"/>
          <w:snapToGrid w:val="0"/>
          <w:spacing w:val="15"/>
          <w:kern w:val="0"/>
          <w:sz w:val="32"/>
          <w:szCs w:val="32"/>
        </w:rPr>
        <w:t>3.</w:t>
      </w:r>
      <w:r>
        <w:rPr>
          <w:rFonts w:hint="eastAsia" w:ascii="仿宋_GB2312" w:hAnsi="仿宋_GB2312" w:eastAsia="仿宋_GB2312" w:cs="仿宋_GB2312"/>
          <w:snapToGrid w:val="0"/>
          <w:spacing w:val="15"/>
          <w:kern w:val="0"/>
          <w:sz w:val="32"/>
          <w:szCs w:val="32"/>
        </w:rPr>
        <w:t>符合当年度申报通知规定的其他条件。</w:t>
      </w:r>
    </w:p>
    <w:p w14:paraId="32C62CB8">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3"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b/>
          <w:bCs/>
          <w:snapToGrid w:val="0"/>
          <w:spacing w:val="15"/>
          <w:kern w:val="0"/>
          <w:sz w:val="32"/>
          <w:szCs w:val="32"/>
        </w:rPr>
        <w:t>第十条</w:t>
      </w:r>
      <w:r>
        <w:rPr>
          <w:rFonts w:hint="eastAsia" w:ascii="仿宋_GB2312" w:hAnsi="仿宋_GB2312" w:eastAsia="仿宋_GB2312" w:cs="仿宋_GB2312"/>
          <w:snapToGrid w:val="0"/>
          <w:spacing w:val="15"/>
          <w:kern w:val="0"/>
          <w:sz w:val="32"/>
          <w:szCs w:val="32"/>
        </w:rPr>
        <w:t xml:space="preserve">  申报主体及赛事项目存在下列情形的，不予申报或取消受奖励资格：</w:t>
      </w:r>
    </w:p>
    <w:p w14:paraId="7F879520">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0"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snapToGrid w:val="0"/>
          <w:spacing w:val="15"/>
          <w:kern w:val="0"/>
          <w:sz w:val="32"/>
          <w:szCs w:val="32"/>
        </w:rPr>
        <w:t>1.经信用审查，被列为失信主体的。</w:t>
      </w:r>
    </w:p>
    <w:p w14:paraId="55E76A4A">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0" w:firstLineChars="200"/>
        <w:textAlignment w:val="baseline"/>
        <w:rPr>
          <w:rFonts w:ascii="仿宋_GB2312" w:hAnsi="仿宋_GB2312" w:eastAsia="仿宋_GB2312" w:cs="仿宋_GB2312"/>
          <w:snapToGrid w:val="0"/>
          <w:spacing w:val="15"/>
          <w:kern w:val="0"/>
          <w:sz w:val="32"/>
          <w:szCs w:val="32"/>
        </w:rPr>
      </w:pPr>
      <w:r>
        <w:rPr>
          <w:rFonts w:ascii="仿宋_GB2312" w:hAnsi="仿宋_GB2312" w:eastAsia="仿宋_GB2312" w:cs="仿宋_GB2312"/>
          <w:snapToGrid w:val="0"/>
          <w:spacing w:val="15"/>
          <w:kern w:val="0"/>
          <w:sz w:val="32"/>
          <w:szCs w:val="32"/>
        </w:rPr>
        <w:t>2.</w:t>
      </w:r>
      <w:r>
        <w:rPr>
          <w:rFonts w:hint="eastAsia" w:ascii="仿宋_GB2312" w:hAnsi="仿宋_GB2312" w:eastAsia="仿宋_GB2312" w:cs="仿宋_GB2312"/>
          <w:snapToGrid w:val="0"/>
          <w:spacing w:val="15"/>
          <w:kern w:val="0"/>
          <w:sz w:val="32"/>
          <w:szCs w:val="32"/>
        </w:rPr>
        <w:t>同一项目已获得其他区级财政资金支持的。</w:t>
      </w:r>
    </w:p>
    <w:p w14:paraId="45387A6C">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0" w:firstLineChars="200"/>
        <w:textAlignment w:val="baseline"/>
        <w:rPr>
          <w:rFonts w:ascii="仿宋_GB2312" w:hAnsi="仿宋_GB2312" w:eastAsia="仿宋_GB2312" w:cs="仿宋_GB2312"/>
          <w:snapToGrid w:val="0"/>
          <w:spacing w:val="15"/>
          <w:kern w:val="0"/>
          <w:sz w:val="32"/>
          <w:szCs w:val="32"/>
        </w:rPr>
      </w:pPr>
      <w:r>
        <w:rPr>
          <w:rFonts w:ascii="仿宋_GB2312" w:hAnsi="仿宋_GB2312" w:eastAsia="仿宋_GB2312" w:cs="仿宋_GB2312"/>
          <w:snapToGrid w:val="0"/>
          <w:spacing w:val="15"/>
          <w:kern w:val="0"/>
          <w:sz w:val="32"/>
          <w:szCs w:val="32"/>
        </w:rPr>
        <w:t>3</w:t>
      </w:r>
      <w:r>
        <w:rPr>
          <w:rFonts w:hint="eastAsia" w:ascii="仿宋_GB2312" w:hAnsi="仿宋_GB2312" w:eastAsia="仿宋_GB2312" w:cs="仿宋_GB2312"/>
          <w:snapToGrid w:val="0"/>
          <w:spacing w:val="15"/>
          <w:kern w:val="0"/>
          <w:sz w:val="32"/>
          <w:szCs w:val="32"/>
        </w:rPr>
        <w:t>.申报主体未按要求提供财务和税务等相关资料。</w:t>
      </w:r>
    </w:p>
    <w:p w14:paraId="7A54995D">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0" w:firstLineChars="200"/>
        <w:textAlignment w:val="baseline"/>
        <w:rPr>
          <w:rFonts w:ascii="仿宋_GB2312" w:hAnsi="仿宋_GB2312" w:eastAsia="仿宋_GB2312" w:cs="仿宋_GB2312"/>
          <w:snapToGrid w:val="0"/>
          <w:spacing w:val="15"/>
          <w:kern w:val="0"/>
          <w:sz w:val="32"/>
          <w:szCs w:val="32"/>
        </w:rPr>
      </w:pPr>
      <w:r>
        <w:rPr>
          <w:rFonts w:ascii="仿宋_GB2312" w:hAnsi="仿宋_GB2312" w:eastAsia="仿宋_GB2312" w:cs="仿宋_GB2312"/>
          <w:snapToGrid w:val="0"/>
          <w:spacing w:val="15"/>
          <w:kern w:val="0"/>
          <w:sz w:val="32"/>
          <w:szCs w:val="32"/>
        </w:rPr>
        <w:t>4</w:t>
      </w:r>
      <w:r>
        <w:rPr>
          <w:rFonts w:hint="eastAsia" w:ascii="仿宋_GB2312" w:hAnsi="仿宋_GB2312" w:eastAsia="仿宋_GB2312" w:cs="仿宋_GB2312"/>
          <w:snapToGrid w:val="0"/>
          <w:spacing w:val="15"/>
          <w:kern w:val="0"/>
          <w:sz w:val="32"/>
          <w:szCs w:val="32"/>
        </w:rPr>
        <w:t>.申报主体与实际办赛主体不一致，或知识产权、所有权、承办权有争议的。</w:t>
      </w:r>
    </w:p>
    <w:p w14:paraId="14534B8E">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0" w:firstLineChars="200"/>
        <w:textAlignment w:val="baseline"/>
        <w:rPr>
          <w:rFonts w:ascii="仿宋_GB2312" w:hAnsi="仿宋_GB2312" w:eastAsia="仿宋_GB2312" w:cs="仿宋_GB2312"/>
          <w:snapToGrid w:val="0"/>
          <w:spacing w:val="15"/>
          <w:kern w:val="0"/>
          <w:sz w:val="32"/>
          <w:szCs w:val="32"/>
        </w:rPr>
      </w:pPr>
      <w:r>
        <w:rPr>
          <w:rFonts w:ascii="仿宋_GB2312" w:hAnsi="仿宋_GB2312" w:eastAsia="仿宋_GB2312" w:cs="仿宋_GB2312"/>
          <w:snapToGrid w:val="0"/>
          <w:spacing w:val="15"/>
          <w:kern w:val="0"/>
          <w:sz w:val="32"/>
          <w:szCs w:val="32"/>
        </w:rPr>
        <w:t>5</w:t>
      </w:r>
      <w:r>
        <w:rPr>
          <w:rFonts w:hint="eastAsia" w:ascii="仿宋_GB2312" w:hAnsi="仿宋_GB2312" w:eastAsia="仿宋_GB2312" w:cs="仿宋_GB2312"/>
          <w:snapToGrid w:val="0"/>
          <w:spacing w:val="15"/>
          <w:kern w:val="0"/>
          <w:sz w:val="32"/>
          <w:szCs w:val="32"/>
        </w:rPr>
        <w:t>.赛事举办场地超出海淀区行政区域范围。</w:t>
      </w:r>
    </w:p>
    <w:p w14:paraId="7B6846E3">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0" w:firstLineChars="200"/>
        <w:textAlignment w:val="baseline"/>
        <w:rPr>
          <w:rFonts w:ascii="仿宋_GB2312" w:hAnsi="仿宋_GB2312" w:eastAsia="仿宋_GB2312" w:cs="仿宋_GB2312"/>
          <w:snapToGrid w:val="0"/>
          <w:spacing w:val="15"/>
          <w:kern w:val="0"/>
          <w:sz w:val="32"/>
          <w:szCs w:val="32"/>
        </w:rPr>
      </w:pPr>
      <w:r>
        <w:rPr>
          <w:rFonts w:ascii="仿宋_GB2312" w:hAnsi="仿宋_GB2312" w:eastAsia="仿宋_GB2312" w:cs="仿宋_GB2312"/>
          <w:snapToGrid w:val="0"/>
          <w:spacing w:val="15"/>
          <w:kern w:val="0"/>
          <w:sz w:val="32"/>
          <w:szCs w:val="32"/>
        </w:rPr>
        <w:t>6</w:t>
      </w:r>
      <w:r>
        <w:rPr>
          <w:rFonts w:hint="eastAsia" w:ascii="仿宋_GB2312" w:hAnsi="仿宋_GB2312" w:eastAsia="仿宋_GB2312" w:cs="仿宋_GB2312"/>
          <w:snapToGrid w:val="0"/>
          <w:spacing w:val="15"/>
          <w:kern w:val="0"/>
          <w:sz w:val="32"/>
          <w:szCs w:val="32"/>
        </w:rPr>
        <w:t>.存在关门办赛情况，未向社会和群众有序开放观赛。</w:t>
      </w:r>
    </w:p>
    <w:p w14:paraId="5C9540ED">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0" w:firstLineChars="200"/>
        <w:textAlignment w:val="baseline"/>
        <w:rPr>
          <w:rFonts w:ascii="仿宋_GB2312" w:hAnsi="仿宋_GB2312" w:eastAsia="仿宋_GB2312" w:cs="仿宋_GB2312"/>
          <w:snapToGrid w:val="0"/>
          <w:spacing w:val="15"/>
          <w:kern w:val="0"/>
          <w:sz w:val="32"/>
          <w:szCs w:val="32"/>
        </w:rPr>
      </w:pPr>
      <w:r>
        <w:rPr>
          <w:rFonts w:ascii="仿宋_GB2312" w:hAnsi="仿宋_GB2312" w:eastAsia="仿宋_GB2312" w:cs="仿宋_GB2312"/>
          <w:snapToGrid w:val="0"/>
          <w:spacing w:val="15"/>
          <w:kern w:val="0"/>
          <w:sz w:val="32"/>
          <w:szCs w:val="32"/>
        </w:rPr>
        <w:t>7</w:t>
      </w:r>
      <w:r>
        <w:rPr>
          <w:rFonts w:hint="eastAsia" w:ascii="仿宋_GB2312" w:hAnsi="仿宋_GB2312" w:eastAsia="仿宋_GB2312" w:cs="仿宋_GB2312"/>
          <w:snapToGrid w:val="0"/>
          <w:spacing w:val="15"/>
          <w:kern w:val="0"/>
          <w:sz w:val="32"/>
          <w:szCs w:val="32"/>
        </w:rPr>
        <w:t>.赛事因组织管理问题，造成区级及以上主流媒体负面报道、引发3人及以上群体性投诉等较大社会负面影响，或出现较大安全事故或意外的。</w:t>
      </w:r>
    </w:p>
    <w:p w14:paraId="6D818F7E">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3"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b/>
          <w:bCs/>
          <w:snapToGrid w:val="0"/>
          <w:spacing w:val="15"/>
          <w:kern w:val="0"/>
          <w:sz w:val="32"/>
          <w:szCs w:val="32"/>
        </w:rPr>
        <w:t>第十一条</w:t>
      </w:r>
      <w:r>
        <w:rPr>
          <w:rFonts w:hint="eastAsia" w:ascii="仿宋_GB2312" w:hAnsi="仿宋_GB2312" w:eastAsia="仿宋_GB2312" w:cs="仿宋_GB2312"/>
          <w:snapToGrid w:val="0"/>
          <w:spacing w:val="15"/>
          <w:kern w:val="0"/>
          <w:sz w:val="32"/>
          <w:szCs w:val="32"/>
        </w:rPr>
        <w:t xml:space="preserve">  同一申报主体同一年度内举办多项同级别(分国际性赛事、全国性赛事、自主特色品牌赛事三个级别)且同项目体育赛事的，同级别赛事每年度内只奖励1项。同一赛事每年举办多次的，每年度内只奖励1次。同一赛事原则上最多奖励三次。</w:t>
      </w:r>
    </w:p>
    <w:p w14:paraId="0C4BA23E">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3"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b/>
          <w:bCs/>
          <w:snapToGrid w:val="0"/>
          <w:spacing w:val="15"/>
          <w:kern w:val="0"/>
          <w:sz w:val="32"/>
          <w:szCs w:val="32"/>
        </w:rPr>
        <w:t>第十二条</w:t>
      </w:r>
      <w:r>
        <w:rPr>
          <w:rFonts w:hint="eastAsia" w:ascii="仿宋_GB2312" w:hAnsi="仿宋_GB2312" w:eastAsia="仿宋_GB2312" w:cs="仿宋_GB2312"/>
          <w:snapToGrid w:val="0"/>
          <w:spacing w:val="15"/>
          <w:kern w:val="0"/>
          <w:sz w:val="32"/>
          <w:szCs w:val="32"/>
        </w:rPr>
        <w:t xml:space="preserve">  申报和评审流程。</w:t>
      </w:r>
    </w:p>
    <w:p w14:paraId="5E144D81">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0"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snapToGrid w:val="0"/>
          <w:spacing w:val="15"/>
          <w:kern w:val="0"/>
          <w:sz w:val="32"/>
          <w:szCs w:val="32"/>
        </w:rPr>
        <w:t>1.区体育局每年在海淀区人民政府门户网站上发布通知，明确所需提交的申报材料、申报指南等相关要求。</w:t>
      </w:r>
    </w:p>
    <w:p w14:paraId="189B7D82">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0"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snapToGrid w:val="0"/>
          <w:spacing w:val="15"/>
          <w:kern w:val="0"/>
          <w:sz w:val="32"/>
          <w:szCs w:val="32"/>
        </w:rPr>
        <w:t>2.申报主体应当按照当年度申报通知要求，及时申报并向区体育局提交真实、完整、有效的申报材料，申报主体对申报材料的真实性、完整性和合法性负责。</w:t>
      </w:r>
    </w:p>
    <w:p w14:paraId="14225DBB">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0"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snapToGrid w:val="0"/>
          <w:spacing w:val="15"/>
          <w:kern w:val="0"/>
          <w:sz w:val="32"/>
          <w:szCs w:val="32"/>
        </w:rPr>
        <w:t>3.区体育局组织专家成立评审小组，会同</w:t>
      </w:r>
      <w:r>
        <w:rPr>
          <w:rFonts w:hint="eastAsia" w:ascii="仿宋_GB2312" w:hAnsi="仿宋_GB2312" w:eastAsia="仿宋_GB2312" w:cs="仿宋_GB2312"/>
          <w:snapToGrid w:val="0"/>
          <w:spacing w:val="15"/>
          <w:kern w:val="0"/>
          <w:sz w:val="32"/>
          <w:szCs w:val="32"/>
          <w:lang w:eastAsia="zh-CN"/>
        </w:rPr>
        <w:t>财政部门</w:t>
      </w:r>
      <w:r>
        <w:rPr>
          <w:rFonts w:hint="eastAsia" w:ascii="仿宋_GB2312" w:hAnsi="仿宋_GB2312" w:eastAsia="仿宋_GB2312" w:cs="仿宋_GB2312"/>
          <w:snapToGrid w:val="0"/>
          <w:spacing w:val="15"/>
          <w:kern w:val="0"/>
          <w:sz w:val="32"/>
          <w:szCs w:val="32"/>
        </w:rPr>
        <w:t>组织专家评审会，对申报主体提交的申报材料进行初审。</w:t>
      </w:r>
    </w:p>
    <w:p w14:paraId="0945E5E6">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0"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snapToGrid w:val="0"/>
          <w:spacing w:val="15"/>
          <w:kern w:val="0"/>
          <w:sz w:val="32"/>
          <w:szCs w:val="32"/>
        </w:rPr>
        <w:t>4.对初审合格的项目，区体育局委托第三方机构对申报材料特别是财务数据进行核查，确定符合条件的拟奖励赛事名单，对不符合申报条件的申报对象不予受理。</w:t>
      </w:r>
    </w:p>
    <w:p w14:paraId="642AAAFB">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0"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snapToGrid w:val="0"/>
          <w:spacing w:val="15"/>
          <w:kern w:val="0"/>
          <w:sz w:val="32"/>
          <w:szCs w:val="32"/>
        </w:rPr>
        <w:t>5.区体育局综合考虑赛事级别、规模、影响力和投入四个因素，通过委托第三方机构核查，对拟奖励赛事项目进行评分。其中，赛事级别占50%、赛事规模占20%、赛事影响力占20%、赛事投入占10%。根据评分高低和年度资金总量分类分档确定赛事奖励名单及资金分配方案，待区体育局、区财政局审议通过后，上报至区政府常务会或区长专题会审议。</w:t>
      </w:r>
    </w:p>
    <w:p w14:paraId="14712054">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0"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snapToGrid w:val="0"/>
          <w:spacing w:val="15"/>
          <w:kern w:val="0"/>
          <w:sz w:val="32"/>
          <w:szCs w:val="32"/>
        </w:rPr>
        <w:t>区体育局在评审及核查过程中，有权要求申报主体对存疑的申报材料补充说明或提供佐证文件；申报主体未在区体育局规定的3个工作日内补充完善的，视为自动放弃申报资格。</w:t>
      </w:r>
    </w:p>
    <w:p w14:paraId="1C893C7C">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0"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snapToGrid w:val="0"/>
          <w:spacing w:val="15"/>
          <w:kern w:val="0"/>
          <w:sz w:val="32"/>
          <w:szCs w:val="32"/>
        </w:rPr>
        <w:t>评分结果60分（含）以上的，可给予奖励；评分结果60分以下的，不予奖励。评分与奖励比例的关系：</w:t>
      </w:r>
    </w:p>
    <w:p w14:paraId="30E2BA57">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0"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snapToGrid w:val="0"/>
          <w:spacing w:val="15"/>
          <w:kern w:val="0"/>
          <w:sz w:val="32"/>
          <w:szCs w:val="32"/>
        </w:rPr>
        <w:t>（1）90分≤评分，</w:t>
      </w:r>
      <w:bookmarkStart w:id="3" w:name="OLE_LINK7"/>
      <w:r>
        <w:rPr>
          <w:rFonts w:hint="eastAsia" w:ascii="仿宋_GB2312" w:hAnsi="仿宋_GB2312" w:eastAsia="仿宋_GB2312" w:cs="仿宋_GB2312"/>
          <w:snapToGrid w:val="0"/>
          <w:spacing w:val="15"/>
          <w:kern w:val="0"/>
          <w:sz w:val="32"/>
          <w:szCs w:val="32"/>
        </w:rPr>
        <w:t>按赛事</w:t>
      </w:r>
      <w:bookmarkEnd w:id="3"/>
      <w:r>
        <w:rPr>
          <w:rFonts w:hint="eastAsia" w:ascii="仿宋_GB2312" w:hAnsi="仿宋_GB2312" w:eastAsia="仿宋_GB2312" w:cs="仿宋_GB2312"/>
          <w:snapToGrid w:val="0"/>
          <w:spacing w:val="15"/>
          <w:kern w:val="0"/>
          <w:sz w:val="32"/>
          <w:szCs w:val="32"/>
        </w:rPr>
        <w:t>实际投入40%奖励；</w:t>
      </w:r>
    </w:p>
    <w:p w14:paraId="0617E9AC">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0" w:firstLineChars="200"/>
        <w:textAlignment w:val="baseline"/>
        <w:rPr>
          <w:rFonts w:ascii="仿宋_GB2312" w:hAnsi="仿宋_GB2312" w:eastAsia="仿宋_GB2312" w:cs="仿宋_GB2312"/>
          <w:snapToGrid w:val="0"/>
          <w:spacing w:val="15"/>
          <w:kern w:val="0"/>
          <w:sz w:val="32"/>
          <w:szCs w:val="32"/>
        </w:rPr>
      </w:pPr>
      <w:bookmarkStart w:id="4" w:name="OLE_LINK6"/>
      <w:r>
        <w:rPr>
          <w:rFonts w:hint="eastAsia" w:ascii="仿宋_GB2312" w:hAnsi="仿宋_GB2312" w:eastAsia="仿宋_GB2312" w:cs="仿宋_GB2312"/>
          <w:snapToGrid w:val="0"/>
          <w:spacing w:val="15"/>
          <w:kern w:val="0"/>
          <w:sz w:val="32"/>
          <w:szCs w:val="32"/>
        </w:rPr>
        <w:t>（2）80分≤评分＜90分</w:t>
      </w:r>
      <w:bookmarkEnd w:id="4"/>
      <w:r>
        <w:rPr>
          <w:rFonts w:hint="eastAsia" w:ascii="仿宋_GB2312" w:hAnsi="仿宋_GB2312" w:eastAsia="仿宋_GB2312" w:cs="仿宋_GB2312"/>
          <w:snapToGrid w:val="0"/>
          <w:spacing w:val="15"/>
          <w:kern w:val="0"/>
          <w:sz w:val="32"/>
          <w:szCs w:val="32"/>
        </w:rPr>
        <w:t>，按赛事实际投入30%奖励；</w:t>
      </w:r>
    </w:p>
    <w:p w14:paraId="65DE8A5C">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0"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snapToGrid w:val="0"/>
          <w:spacing w:val="15"/>
          <w:kern w:val="0"/>
          <w:sz w:val="32"/>
          <w:szCs w:val="32"/>
        </w:rPr>
        <w:t>（3）70分≤评分＜80分，按赛事实际投入25%奖励；</w:t>
      </w:r>
    </w:p>
    <w:p w14:paraId="63838539">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0"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snapToGrid w:val="0"/>
          <w:spacing w:val="15"/>
          <w:kern w:val="0"/>
          <w:sz w:val="32"/>
          <w:szCs w:val="32"/>
        </w:rPr>
        <w:t>（4）60分≤评分＜70分，按赛事实际投入20%奖励。</w:t>
      </w:r>
    </w:p>
    <w:p w14:paraId="4D7850D3">
      <w:pPr>
        <w:keepNext w:val="0"/>
        <w:keepLines w:val="0"/>
        <w:pageBreakBefore w:val="0"/>
        <w:suppressAutoHyphens/>
        <w:kinsoku w:val="0"/>
        <w:wordWrap/>
        <w:overflowPunct/>
        <w:topLinePunct w:val="0"/>
        <w:autoSpaceDE w:val="0"/>
        <w:autoSpaceDN w:val="0"/>
        <w:bidi w:val="0"/>
        <w:adjustRightInd w:val="0"/>
        <w:snapToGrid w:val="0"/>
        <w:spacing w:line="560" w:lineRule="exact"/>
        <w:ind w:left="0" w:leftChars="0" w:right="0" w:rightChars="0" w:firstLine="700" w:firstLineChars="200"/>
        <w:jc w:val="left"/>
        <w:textAlignment w:val="baseline"/>
        <w:rPr>
          <w:rFonts w:ascii="Arial" w:hAnsi="Arial" w:eastAsia="Arial" w:cs="Arial"/>
          <w:snapToGrid w:val="0"/>
          <w:kern w:val="0"/>
          <w:sz w:val="21"/>
          <w:szCs w:val="21"/>
        </w:rPr>
      </w:pPr>
      <w:r>
        <w:rPr>
          <w:rFonts w:hint="eastAsia" w:ascii="仿宋_GB2312" w:hAnsi="仿宋_GB2312" w:eastAsia="仿宋_GB2312" w:cs="仿宋_GB2312"/>
          <w:snapToGrid w:val="0"/>
          <w:spacing w:val="15"/>
          <w:kern w:val="0"/>
          <w:sz w:val="32"/>
          <w:szCs w:val="32"/>
        </w:rPr>
        <w:t>6.评审结果在海淀区人民政府门户网站上公示，公示时间不少于五个工作日</w:t>
      </w:r>
      <w:r>
        <w:rPr>
          <w:rFonts w:hint="eastAsia" w:ascii="仿宋_GB2312" w:hAnsi="仿宋_GB2312" w:eastAsia="仿宋_GB2312" w:cs="仿宋_GB2312"/>
          <w:snapToGrid w:val="0"/>
          <w:spacing w:val="15"/>
          <w:kern w:val="0"/>
          <w:sz w:val="32"/>
          <w:szCs w:val="32"/>
          <w:lang w:eastAsia="zh-CN"/>
        </w:rPr>
        <w:t>；</w:t>
      </w:r>
      <w:r>
        <w:rPr>
          <w:rFonts w:hint="eastAsia" w:ascii="仿宋_GB2312" w:hAnsi="仿宋_GB2312" w:eastAsia="仿宋_GB2312" w:cs="仿宋_GB2312"/>
          <w:snapToGrid w:val="0"/>
          <w:spacing w:val="15"/>
          <w:kern w:val="0"/>
          <w:sz w:val="32"/>
          <w:szCs w:val="32"/>
        </w:rPr>
        <w:t>公示期内任何单位或个人对评审结果提出异议的，由区体育局负责核查并反馈处理结果；公示期满后，对结果公示无异议的项目，履行资金拨付程序。</w:t>
      </w:r>
    </w:p>
    <w:p w14:paraId="0B70E9CB">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jc w:val="center"/>
        <w:textAlignment w:val="baseline"/>
        <w:outlineLvl w:val="2"/>
        <w:rPr>
          <w:rFonts w:ascii="黑体" w:hAnsi="黑体" w:eastAsia="黑体" w:cs="黑体"/>
          <w:snapToGrid w:val="0"/>
          <w:spacing w:val="-10"/>
          <w:kern w:val="0"/>
          <w:sz w:val="32"/>
          <w:szCs w:val="32"/>
        </w:rPr>
      </w:pPr>
      <w:r>
        <w:rPr>
          <w:rFonts w:hint="eastAsia" w:ascii="黑体" w:hAnsi="黑体" w:eastAsia="黑体" w:cs="黑体"/>
          <w:snapToGrid w:val="0"/>
          <w:spacing w:val="-10"/>
          <w:kern w:val="0"/>
          <w:sz w:val="32"/>
          <w:szCs w:val="32"/>
        </w:rPr>
        <w:t>第四章  绩效管理和监督检查</w:t>
      </w:r>
    </w:p>
    <w:p w14:paraId="30DF2C61">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3" w:firstLineChars="200"/>
        <w:textAlignment w:val="baseline"/>
        <w:rPr>
          <w:rFonts w:ascii="仿宋_GB2312" w:hAnsi="仿宋_GB2312" w:eastAsia="仿宋_GB2312" w:cs="仿宋_GB2312"/>
          <w:snapToGrid w:val="0"/>
          <w:spacing w:val="15"/>
          <w:kern w:val="0"/>
          <w:sz w:val="32"/>
          <w:szCs w:val="32"/>
        </w:rPr>
      </w:pPr>
      <w:bookmarkStart w:id="5" w:name="OLE_LINK8"/>
      <w:r>
        <w:rPr>
          <w:rFonts w:hint="eastAsia" w:ascii="仿宋_GB2312" w:hAnsi="仿宋_GB2312" w:eastAsia="仿宋_GB2312" w:cs="仿宋_GB2312"/>
          <w:b/>
          <w:bCs/>
          <w:snapToGrid w:val="0"/>
          <w:spacing w:val="15"/>
          <w:kern w:val="0"/>
          <w:sz w:val="32"/>
          <w:szCs w:val="32"/>
        </w:rPr>
        <w:t>第十三条</w:t>
      </w:r>
      <w:r>
        <w:rPr>
          <w:rFonts w:hint="eastAsia" w:ascii="仿宋_GB2312" w:hAnsi="仿宋_GB2312" w:eastAsia="仿宋_GB2312" w:cs="仿宋_GB2312"/>
          <w:snapToGrid w:val="0"/>
          <w:spacing w:val="15"/>
          <w:kern w:val="0"/>
          <w:sz w:val="32"/>
          <w:szCs w:val="32"/>
        </w:rPr>
        <w:t xml:space="preserve">  区体育局负责具体实施资金绩效管理工作，合理制定预算绩效目标，确保预算绩效目标如期实现。</w:t>
      </w:r>
    </w:p>
    <w:p w14:paraId="3EB864B1">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3"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b/>
          <w:bCs/>
          <w:snapToGrid w:val="0"/>
          <w:spacing w:val="15"/>
          <w:kern w:val="0"/>
          <w:sz w:val="32"/>
          <w:szCs w:val="32"/>
        </w:rPr>
        <w:t>第十四条</w:t>
      </w:r>
      <w:r>
        <w:rPr>
          <w:rFonts w:hint="eastAsia" w:ascii="仿宋_GB2312" w:hAnsi="仿宋_GB2312" w:eastAsia="仿宋_GB2312" w:cs="仿宋_GB2312"/>
          <w:snapToGrid w:val="0"/>
          <w:spacing w:val="15"/>
          <w:kern w:val="0"/>
          <w:sz w:val="32"/>
          <w:szCs w:val="32"/>
        </w:rPr>
        <w:t xml:space="preserve">  区财政局适时组织或委托第三方机构，对奖励资金使用绩效进行抽查和评价，并对资金政策执行、预算编制、使用管理和绩效等实施监督。绩效评价和监督检查结果作为政策调整和下一年度奖励资金分配的重要依据。</w:t>
      </w:r>
    </w:p>
    <w:p w14:paraId="281BF100">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3" w:firstLineChars="200"/>
        <w:textAlignment w:val="baseline"/>
        <w:rPr>
          <w:rFonts w:ascii="仿宋_GB2312" w:hAnsi="仿宋_GB2312" w:eastAsia="仿宋_GB2312" w:cs="仿宋_GB2312"/>
          <w:snapToGrid w:val="0"/>
          <w:spacing w:val="15"/>
          <w:kern w:val="0"/>
          <w:sz w:val="32"/>
          <w:szCs w:val="32"/>
        </w:rPr>
      </w:pPr>
      <w:r>
        <w:rPr>
          <w:rFonts w:hint="eastAsia" w:ascii="仿宋_GB2312" w:hAnsi="仿宋_GB2312" w:eastAsia="仿宋_GB2312" w:cs="仿宋_GB2312"/>
          <w:b/>
          <w:bCs/>
          <w:snapToGrid w:val="0"/>
          <w:spacing w:val="15"/>
          <w:kern w:val="0"/>
          <w:sz w:val="32"/>
          <w:szCs w:val="32"/>
        </w:rPr>
        <w:t>第十五条</w:t>
      </w:r>
      <w:r>
        <w:rPr>
          <w:rFonts w:hint="eastAsia" w:ascii="仿宋_GB2312" w:hAnsi="仿宋_GB2312" w:eastAsia="仿宋_GB2312" w:cs="仿宋_GB2312"/>
          <w:snapToGrid w:val="0"/>
          <w:spacing w:val="15"/>
          <w:kern w:val="0"/>
          <w:sz w:val="32"/>
          <w:szCs w:val="32"/>
        </w:rPr>
        <w:t xml:space="preserve">  对违反财经法律法规，骗取奖励金等行为，撤销奖励资格，追回全部款项，三年内不得再次申报奖励金。对于虚报、冒领等违反财经法律法规行为的，按照有关法律法规进行处理；构成犯罪的，将依法移送司法机关处理。</w:t>
      </w:r>
    </w:p>
    <w:bookmarkEnd w:id="5"/>
    <w:p w14:paraId="13B2D1A4">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jc w:val="center"/>
        <w:textAlignment w:val="baseline"/>
        <w:outlineLvl w:val="2"/>
        <w:rPr>
          <w:rFonts w:ascii="黑体" w:hAnsi="黑体" w:eastAsia="黑体" w:cs="黑体"/>
          <w:snapToGrid w:val="0"/>
          <w:spacing w:val="-10"/>
          <w:kern w:val="0"/>
          <w:sz w:val="32"/>
          <w:szCs w:val="32"/>
        </w:rPr>
      </w:pPr>
      <w:r>
        <w:rPr>
          <w:rFonts w:hint="eastAsia" w:ascii="黑体" w:hAnsi="黑体" w:eastAsia="黑体" w:cs="黑体"/>
          <w:snapToGrid w:val="0"/>
          <w:spacing w:val="-10"/>
          <w:kern w:val="0"/>
          <w:sz w:val="32"/>
          <w:szCs w:val="32"/>
        </w:rPr>
        <w:t>第五章  附  则</w:t>
      </w:r>
    </w:p>
    <w:p w14:paraId="7407B09C">
      <w:pPr>
        <w:keepNext w:val="0"/>
        <w:keepLines w:val="0"/>
        <w:pageBreakBefore w:val="0"/>
        <w:widowControl/>
        <w:suppressAutoHyphens/>
        <w:wordWrap/>
        <w:overflowPunct/>
        <w:topLinePunct w:val="0"/>
        <w:autoSpaceDE w:val="0"/>
        <w:autoSpaceDN w:val="0"/>
        <w:bidi w:val="0"/>
        <w:adjustRightInd w:val="0"/>
        <w:snapToGrid w:val="0"/>
        <w:spacing w:line="560" w:lineRule="exact"/>
        <w:ind w:left="0" w:leftChars="0" w:right="0" w:rightChars="0" w:firstLine="703" w:firstLineChars="200"/>
        <w:textAlignment w:val="baseline"/>
        <w:rPr>
          <w:rFonts w:hint="eastAsia" w:ascii="仿宋_GB2312" w:hAnsi="仿宋" w:eastAsia="仿宋_GB2312" w:cs="Arial"/>
          <w:sz w:val="32"/>
          <w:szCs w:val="32"/>
        </w:rPr>
      </w:pPr>
      <w:r>
        <w:rPr>
          <w:rFonts w:hint="eastAsia" w:ascii="仿宋_GB2312" w:hAnsi="仿宋_GB2312" w:eastAsia="仿宋_GB2312" w:cs="仿宋_GB2312"/>
          <w:b/>
          <w:bCs/>
          <w:snapToGrid w:val="0"/>
          <w:spacing w:val="15"/>
          <w:kern w:val="0"/>
          <w:sz w:val="32"/>
          <w:szCs w:val="32"/>
        </w:rPr>
        <w:t>第十六条</w:t>
      </w:r>
      <w:r>
        <w:rPr>
          <w:rFonts w:hint="eastAsia" w:ascii="仿宋_GB2312" w:hAnsi="仿宋_GB2312" w:eastAsia="仿宋_GB2312" w:cs="仿宋_GB2312"/>
          <w:snapToGrid w:val="0"/>
          <w:spacing w:val="15"/>
          <w:kern w:val="0"/>
          <w:sz w:val="32"/>
          <w:szCs w:val="32"/>
        </w:rPr>
        <w:t xml:space="preserve">  </w:t>
      </w:r>
      <w:r>
        <w:rPr>
          <w:rFonts w:hint="eastAsia" w:ascii="仿宋_GB2312" w:hAnsi="仿宋" w:eastAsia="仿宋_GB2312" w:cs="Arial"/>
          <w:sz w:val="32"/>
          <w:szCs w:val="32"/>
        </w:rPr>
        <w:t>本办法自发布之日起实施，试行期1年，执行期2年。试行期间，如遇国家、北京市、海淀区重大政策调整，本办法将依法依规及时进行评估并作出相应调整。</w:t>
      </w:r>
      <w:r>
        <w:rPr>
          <w:rFonts w:hint="eastAsia" w:ascii="仿宋_GB2312" w:hAnsi="仿宋_GB2312" w:eastAsia="仿宋_GB2312" w:cs="仿宋_GB2312"/>
          <w:snapToGrid w:val="0"/>
          <w:spacing w:val="15"/>
          <w:kern w:val="0"/>
          <w:sz w:val="32"/>
          <w:szCs w:val="32"/>
        </w:rPr>
        <w:t>本办法由海淀区体育局负责解释</w:t>
      </w:r>
      <w:r>
        <w:rPr>
          <w:rFonts w:hint="eastAsia" w:ascii="仿宋_GB2312" w:hAnsi="仿宋" w:eastAsia="仿宋_GB2312" w:cs="Arial"/>
          <w:sz w:val="32"/>
          <w:szCs w:val="32"/>
        </w:rPr>
        <w:t>。执行期结</w:t>
      </w:r>
      <w:r>
        <w:rPr>
          <w:rFonts w:hint="eastAsia" w:ascii="仿宋_GB2312" w:hAnsi="仿宋" w:eastAsia="仿宋_GB2312" w:cs="Arial"/>
          <w:sz w:val="32"/>
          <w:szCs w:val="32"/>
          <w:lang w:eastAsia="zh-CN"/>
        </w:rPr>
        <w:t>束后</w:t>
      </w:r>
      <w:r>
        <w:rPr>
          <w:rFonts w:hint="eastAsia" w:ascii="仿宋_GB2312" w:hAnsi="仿宋" w:eastAsia="仿宋_GB2312" w:cs="Arial"/>
          <w:sz w:val="32"/>
          <w:szCs w:val="32"/>
        </w:rPr>
        <w:t>，将根据实际情况进行修订。</w:t>
      </w:r>
    </w:p>
    <w:p w14:paraId="3B88A207">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519CE76-3DEB-4ACC-A5BB-3BA2BC4DFCF4}"/>
  </w:font>
  <w:font w:name="黑体">
    <w:panose1 w:val="02010609060101010101"/>
    <w:charset w:val="86"/>
    <w:family w:val="auto"/>
    <w:pitch w:val="default"/>
    <w:sig w:usb0="800002BF" w:usb1="38CF7CFA" w:usb2="00000016" w:usb3="00000000" w:csb0="00040001" w:csb1="00000000"/>
    <w:embedRegular r:id="rId2" w:fontKey="{EDD65969-5368-4A2A-8F31-4ACFBE7337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688A24D6-6219-4F0B-8F08-0B1009B509D0}"/>
  </w:font>
  <w:font w:name="Cambria">
    <w:panose1 w:val="02040503050406030204"/>
    <w:charset w:val="00"/>
    <w:family w:val="auto"/>
    <w:pitch w:val="default"/>
    <w:sig w:usb0="E00006FF" w:usb1="420024FF" w:usb2="02000000" w:usb3="00000000" w:csb0="2000019F" w:csb1="00000000"/>
  </w:font>
  <w:font w:name="方正小标宋简体">
    <w:panose1 w:val="02000000000000000000"/>
    <w:charset w:val="86"/>
    <w:family w:val="auto"/>
    <w:pitch w:val="default"/>
    <w:sig w:usb0="00000001" w:usb1="080E0000" w:usb2="00000000" w:usb3="00000000" w:csb0="00040000" w:csb1="00000000"/>
    <w:embedRegular r:id="rId4" w:fontKey="{CA41C2FA-4B84-4F4E-B5B3-3D047C769CD7}"/>
  </w:font>
  <w:font w:name="楷体_GB2312">
    <w:panose1 w:val="02010609030101010101"/>
    <w:charset w:val="86"/>
    <w:family w:val="modern"/>
    <w:pitch w:val="default"/>
    <w:sig w:usb0="00000001" w:usb1="080E0000" w:usb2="00000000" w:usb3="00000000" w:csb0="00040000" w:csb1="00000000"/>
    <w:embedRegular r:id="rId5" w:fontKey="{4C8EB47D-B12F-44F8-8E61-F6BB162FB00B}"/>
  </w:font>
  <w:font w:name="仿宋_GB2312">
    <w:panose1 w:val="02010609030101010101"/>
    <w:charset w:val="86"/>
    <w:family w:val="auto"/>
    <w:pitch w:val="default"/>
    <w:sig w:usb0="00000001" w:usb1="080E0000" w:usb2="00000000" w:usb3="00000000" w:csb0="00040000" w:csb1="00000000"/>
    <w:embedRegular r:id="rId6" w:fontKey="{7473AC7F-4611-49ED-9A9A-CC52CDF54FEA}"/>
  </w:font>
  <w:font w:name="等线">
    <w:panose1 w:val="02010600030101010101"/>
    <w:charset w:val="86"/>
    <w:family w:val="auto"/>
    <w:pitch w:val="default"/>
    <w:sig w:usb0="A00002BF" w:usb1="38CF7CFA" w:usb2="00000016" w:usb3="00000000" w:csb0="0004000F" w:csb1="00000000"/>
    <w:embedRegular r:id="rId7" w:fontKey="{09CB64D0-DCE9-47CC-8338-2B91219F2494}"/>
  </w:font>
  <w:font w:name="仿宋">
    <w:panose1 w:val="02010609060101010101"/>
    <w:charset w:val="86"/>
    <w:family w:val="modern"/>
    <w:pitch w:val="default"/>
    <w:sig w:usb0="800002BF" w:usb1="38CF7CFA" w:usb2="00000016" w:usb3="00000000" w:csb0="00040001" w:csb1="00000000"/>
    <w:embedRegular r:id="rId8" w:fontKey="{198F1A38-B291-4217-A286-3177E871B8D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YzFhMGNiNWM4NTJmYjVlYjgyODg0ZDA5YWE1YTMifQ=="/>
  </w:docVars>
  <w:rsids>
    <w:rsidRoot w:val="65EA5DC2"/>
    <w:rsid w:val="65EA5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9"/>
    <w:pPr>
      <w:keepNext/>
      <w:keepLines/>
      <w:spacing w:before="480" w:after="80"/>
      <w:outlineLvl w:val="0"/>
    </w:pPr>
    <w:rPr>
      <w:rFonts w:ascii="Cambria" w:hAnsi="Cambria" w:eastAsia="宋体" w:cs="Times New Roman"/>
      <w:color w:val="366091"/>
      <w:sz w:val="48"/>
      <w:szCs w:val="4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2026-05-11T08:17:00Z</dcterms:created>
  <dc:creator>孙彤</dc:creator>
  <cp:lastModifiedBy>孙彤</cp:lastModifiedBy>
  <dcterms:modified xsi:type="dcterms:W3CDTF">2026-05-11T08:18:12Z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C55E0FBAAF234DFA9D065B1962DA9DE2_11</vt:lpwstr>
  </property>
</Properties>
</file>