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ED4FF">
      <w:pPr>
        <w:suppressAutoHyphens/>
        <w:overflowPunct w:val="0"/>
        <w:spacing w:line="560" w:lineRule="exact"/>
        <w:outlineLvl w:val="1"/>
        <w:rPr>
          <w:rFonts w:ascii="黑体" w:hAnsi="黑体" w:eastAsia="黑体"/>
          <w:sz w:val="36"/>
          <w:szCs w:val="52"/>
        </w:rPr>
      </w:pPr>
      <w:r>
        <w:rPr>
          <w:rFonts w:hint="eastAsia" w:ascii="黑体" w:hAnsi="黑体" w:eastAsia="黑体"/>
          <w:sz w:val="36"/>
          <w:szCs w:val="52"/>
        </w:rPr>
        <w:t>附件2</w:t>
      </w:r>
    </w:p>
    <w:p w14:paraId="6970276A">
      <w:pPr>
        <w:spacing w:line="560" w:lineRule="exact"/>
        <w:jc w:val="center"/>
        <w:rPr>
          <w:rFonts w:ascii="方正小标宋简体" w:hAnsi="方正小标宋简体" w:eastAsia="方正小标宋简体"/>
          <w:sz w:val="44"/>
          <w:szCs w:val="44"/>
        </w:rPr>
      </w:pPr>
    </w:p>
    <w:p w14:paraId="5C773921">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《北京中关村综合保税区保税维修业务监管方案（征求意见稿）》起草说明</w:t>
      </w:r>
    </w:p>
    <w:p w14:paraId="560D1E70">
      <w:pPr>
        <w:spacing w:line="560" w:lineRule="exact"/>
        <w:jc w:val="center"/>
        <w:rPr>
          <w:rFonts w:ascii="仿宋_GB2312" w:hAnsi="仿宋_GB2312" w:eastAsia="仿宋_GB2312"/>
          <w:sz w:val="32"/>
          <w:szCs w:val="32"/>
        </w:rPr>
      </w:pPr>
    </w:p>
    <w:p w14:paraId="12754F8C">
      <w:pPr>
        <w:ind w:firstLine="640"/>
        <w:rPr>
          <w:rFonts w:ascii="黑体" w:hAnsi="黑体" w:eastAsia="黑体"/>
          <w:sz w:val="32"/>
          <w14:ligatures w14:val="standardContextual"/>
        </w:rPr>
      </w:pPr>
      <w:r>
        <w:rPr>
          <w:rFonts w:ascii="黑体" w:hAnsi="黑体" w:eastAsia="黑体"/>
          <w:sz w:val="32"/>
          <w14:ligatures w14:val="standardContextual"/>
        </w:rPr>
        <w:t>一、出台背景</w:t>
      </w:r>
    </w:p>
    <w:p w14:paraId="397978F0">
      <w:pPr>
        <w:spacing w:line="560" w:lineRule="exact"/>
        <w:ind w:firstLine="640" w:firstLineChars="200"/>
        <w:rPr>
          <w:rFonts w:ascii="仿宋_GB2312" w:hAnsi="等线" w:eastAsia="仿宋_GB2312"/>
          <w:sz w:val="32"/>
          <w14:ligatures w14:val="standardContextual"/>
        </w:rPr>
      </w:pPr>
      <w:r>
        <w:rPr>
          <w:rFonts w:hint="eastAsia" w:ascii="仿宋_GB2312" w:hAnsi="等线" w:eastAsia="仿宋_GB2312"/>
          <w:sz w:val="32"/>
          <w14:ligatures w14:val="standardContextual"/>
        </w:rPr>
        <w:t>为深入贯彻落实国家关于促进综合保税区高质量发展和高水平开放的决策部署，进一步推动保税维修新业态规范健康发展，充分发挥北京中关村综合保税区“研发创新”特色优势，我单位牵头研究起草了《北京中关村综合保税区保税维修业务监管方案（征求意见稿）》（以下简称《监管方案》）。</w:t>
      </w:r>
    </w:p>
    <w:p w14:paraId="042174AF">
      <w:pPr>
        <w:spacing w:line="560" w:lineRule="exact"/>
        <w:ind w:firstLine="640" w:firstLineChars="200"/>
        <w:rPr>
          <w:rFonts w:ascii="黑体" w:hAnsi="黑体" w:eastAsia="黑体"/>
          <w:sz w:val="32"/>
          <w14:ligatures w14:val="standardContextual"/>
        </w:rPr>
      </w:pPr>
      <w:r>
        <w:rPr>
          <w:rFonts w:hint="eastAsia" w:ascii="黑体" w:hAnsi="黑体" w:eastAsia="黑体"/>
          <w:sz w:val="32"/>
          <w14:ligatures w14:val="standardContextual"/>
        </w:rPr>
        <w:t>二、拟定过程</w:t>
      </w:r>
    </w:p>
    <w:p w14:paraId="1285FF25">
      <w:pPr>
        <w:overflowPunct w:val="0"/>
        <w:spacing w:line="560" w:lineRule="exact"/>
        <w:ind w:firstLine="640" w:firstLineChars="200"/>
        <w:rPr>
          <w:rFonts w:ascii="仿宋_GB2312" w:hAnsi="等线" w:eastAsia="仿宋_GB2312"/>
          <w:sz w:val="32"/>
          <w:szCs w:val="32"/>
          <w14:ligatures w14:val="standardContextual"/>
        </w:rPr>
      </w:pPr>
      <w:r>
        <w:rPr>
          <w:rFonts w:hint="eastAsia" w:ascii="仿宋_GB2312" w:hAnsi="等线" w:eastAsia="仿宋_GB2312"/>
          <w:sz w:val="32"/>
          <w14:ligatures w14:val="standardContextual"/>
        </w:rPr>
        <w:t>政策拟定过程中，我</w:t>
      </w:r>
      <w:bookmarkStart w:id="0" w:name="_GoBack"/>
      <w:bookmarkEnd w:id="0"/>
      <w:r>
        <w:rPr>
          <w:rFonts w:hint="eastAsia" w:ascii="仿宋_GB2312" w:hAnsi="等线" w:eastAsia="仿宋_GB2312"/>
          <w:sz w:val="32"/>
          <w14:ligatures w14:val="standardContextual"/>
        </w:rPr>
        <w:t>单位严格遵循现行法律法规和国家相关政策文件，</w:t>
      </w:r>
      <w:r>
        <w:rPr>
          <w:rFonts w:hint="eastAsia" w:ascii="仿宋_GB2312" w:hAnsi="仿宋_GB2312" w:eastAsia="仿宋_GB2312" w:cs="仿宋"/>
          <w:spacing w:val="4"/>
          <w:sz w:val="32"/>
          <w:szCs w:val="32"/>
        </w:rPr>
        <w:t>以《</w:t>
      </w:r>
      <w:r>
        <w:rPr>
          <w:rFonts w:ascii="仿宋_GB2312" w:hAnsi="仿宋_GB2312" w:eastAsia="仿宋_GB2312" w:cs="仿宋"/>
          <w:spacing w:val="4"/>
          <w:sz w:val="32"/>
          <w:szCs w:val="32"/>
        </w:rPr>
        <w:t>商务部</w:t>
      </w:r>
      <w:r>
        <w:rPr>
          <w:rFonts w:hint="eastAsia" w:ascii="仿宋_GB2312" w:hAnsi="仿宋_GB2312" w:eastAsia="仿宋_GB2312" w:cs="仿宋"/>
          <w:spacing w:val="4"/>
          <w:sz w:val="32"/>
          <w:szCs w:val="32"/>
        </w:rPr>
        <w:t>、</w:t>
      </w:r>
      <w:r>
        <w:rPr>
          <w:rFonts w:ascii="仿宋_GB2312" w:hAnsi="仿宋_GB2312" w:eastAsia="仿宋_GB2312" w:cs="仿宋"/>
          <w:spacing w:val="4"/>
          <w:sz w:val="32"/>
          <w:szCs w:val="32"/>
        </w:rPr>
        <w:t>生态环境部</w:t>
      </w:r>
      <w:r>
        <w:rPr>
          <w:rFonts w:hint="eastAsia" w:ascii="仿宋_GB2312" w:hAnsi="仿宋_GB2312" w:eastAsia="仿宋_GB2312" w:cs="仿宋"/>
          <w:spacing w:val="4"/>
          <w:sz w:val="32"/>
          <w:szCs w:val="32"/>
        </w:rPr>
        <w:t>、</w:t>
      </w:r>
      <w:r>
        <w:rPr>
          <w:rFonts w:ascii="仿宋_GB2312" w:hAnsi="仿宋_GB2312" w:eastAsia="仿宋_GB2312" w:cs="仿宋"/>
          <w:spacing w:val="4"/>
          <w:sz w:val="32"/>
          <w:szCs w:val="32"/>
        </w:rPr>
        <w:t>海关总署</w:t>
      </w:r>
      <w:r>
        <w:rPr>
          <w:rFonts w:hint="eastAsia" w:ascii="仿宋_GB2312" w:hAnsi="仿宋_GB2312" w:eastAsia="仿宋_GB2312" w:cs="仿宋"/>
          <w:spacing w:val="4"/>
          <w:sz w:val="32"/>
          <w:szCs w:val="32"/>
        </w:rPr>
        <w:t>关于公布</w:t>
      </w:r>
      <w:r>
        <w:rPr>
          <w:rFonts w:ascii="仿宋_GB2312" w:hAnsi="仿宋_GB2312" w:eastAsia="仿宋_GB2312" w:cs="仿宋"/>
          <w:spacing w:val="4"/>
          <w:sz w:val="32"/>
          <w:szCs w:val="32"/>
        </w:rPr>
        <w:t>第四批综合保税区维修产品目录</w:t>
      </w:r>
      <w:r>
        <w:rPr>
          <w:rFonts w:hint="eastAsia" w:ascii="仿宋_GB2312" w:hAnsi="仿宋_GB2312" w:eastAsia="仿宋_GB2312" w:cs="仿宋"/>
          <w:spacing w:val="4"/>
          <w:sz w:val="32"/>
          <w:szCs w:val="32"/>
        </w:rPr>
        <w:t>》（</w:t>
      </w:r>
      <w:r>
        <w:rPr>
          <w:rFonts w:ascii="仿宋_GB2312" w:hAnsi="仿宋_GB2312" w:eastAsia="仿宋_GB2312" w:cs="仿宋"/>
          <w:spacing w:val="4"/>
          <w:sz w:val="32"/>
          <w:szCs w:val="32"/>
        </w:rPr>
        <w:t>公告2025年第82号</w:t>
      </w:r>
      <w:r>
        <w:rPr>
          <w:rFonts w:hint="eastAsia" w:ascii="仿宋_GB2312" w:hAnsi="仿宋_GB2312" w:eastAsia="仿宋_GB2312" w:cs="仿宋"/>
          <w:spacing w:val="4"/>
          <w:sz w:val="32"/>
          <w:szCs w:val="32"/>
        </w:rPr>
        <w:t>）、《生态环境部、商务部、国家发展和改革委员会、海关总署关于全面禁止进口固体废物有关事项的公告》</w:t>
      </w:r>
      <w:r>
        <w:rPr>
          <w:rFonts w:ascii="仿宋_GB2312" w:hAnsi="仿宋_GB2312" w:eastAsia="仿宋_GB2312" w:cs="仿宋"/>
          <w:spacing w:val="4"/>
          <w:sz w:val="32"/>
          <w:szCs w:val="32"/>
        </w:rPr>
        <w:t>(公告2020年第53号)</w:t>
      </w:r>
      <w:r>
        <w:rPr>
          <w:rFonts w:hint="eastAsia" w:ascii="仿宋_GB2312" w:hAnsi="仿宋_GB2312" w:eastAsia="仿宋_GB2312" w:cs="仿宋"/>
          <w:spacing w:val="4"/>
          <w:sz w:val="32"/>
          <w:szCs w:val="32"/>
        </w:rPr>
        <w:t>、《海关总署关于海关特殊监管区域内保税维修业务有关监管问题的公告》</w:t>
      </w:r>
      <w:r>
        <w:rPr>
          <w:rFonts w:ascii="仿宋_GB2312" w:hAnsi="仿宋_GB2312" w:eastAsia="仿宋_GB2312" w:cs="仿宋"/>
          <w:spacing w:val="4"/>
          <w:sz w:val="32"/>
          <w:szCs w:val="32"/>
        </w:rPr>
        <w:t>(公告2015年第59号)</w:t>
      </w:r>
      <w:r>
        <w:rPr>
          <w:rFonts w:hint="eastAsia" w:ascii="仿宋_GB2312" w:hAnsi="仿宋_GB2312" w:eastAsia="仿宋_GB2312" w:cs="仿宋"/>
          <w:spacing w:val="4"/>
          <w:sz w:val="32"/>
          <w:szCs w:val="32"/>
        </w:rPr>
        <w:t>等</w:t>
      </w:r>
      <w:r>
        <w:rPr>
          <w:rFonts w:ascii="仿宋_GB2312" w:hAnsi="仿宋_GB2312" w:eastAsia="仿宋_GB2312" w:cs="仿宋"/>
          <w:spacing w:val="4"/>
          <w:sz w:val="32"/>
          <w:szCs w:val="32"/>
        </w:rPr>
        <w:t>规定</w:t>
      </w:r>
      <w:r>
        <w:rPr>
          <w:rFonts w:hint="eastAsia" w:ascii="仿宋_GB2312" w:hAnsi="仿宋_GB2312" w:eastAsia="仿宋_GB2312" w:cs="仿宋"/>
          <w:spacing w:val="4"/>
          <w:sz w:val="32"/>
          <w:szCs w:val="32"/>
        </w:rPr>
        <w:t>为主要依据，结合中关村综保区功能定位和产业发展实际，研究制定了具体内容</w:t>
      </w:r>
      <w:r>
        <w:rPr>
          <w:rFonts w:hint="eastAsia" w:ascii="仿宋_GB2312" w:hAnsi="等线" w:eastAsia="仿宋_GB2312"/>
          <w:sz w:val="32"/>
          <w:szCs w:val="32"/>
          <w14:ligatures w14:val="standardContextual"/>
        </w:rPr>
        <w:t>。在政策导向上，</w:t>
      </w:r>
      <w:r>
        <w:rPr>
          <w:rFonts w:ascii="仿宋_GB2312" w:hAnsi="仿宋_GB2312" w:eastAsia="仿宋_GB2312" w:cs="仿宋"/>
          <w:spacing w:val="7"/>
          <w:sz w:val="32"/>
          <w:szCs w:val="32"/>
        </w:rPr>
        <w:t>重点支持与</w:t>
      </w:r>
      <w:r>
        <w:rPr>
          <w:rFonts w:ascii="仿宋_GB2312" w:hAnsi="仿宋_GB2312" w:eastAsia="仿宋_GB2312" w:cs="仿宋"/>
          <w:spacing w:val="12"/>
          <w:sz w:val="32"/>
          <w:szCs w:val="32"/>
        </w:rPr>
        <w:t>中关村综保</w:t>
      </w:r>
      <w:r>
        <w:rPr>
          <w:rFonts w:hint="eastAsia" w:ascii="仿宋_GB2312" w:hAnsi="仿宋_GB2312" w:eastAsia="仿宋_GB2312" w:cs="仿宋"/>
          <w:spacing w:val="12"/>
          <w:sz w:val="32"/>
          <w:szCs w:val="32"/>
        </w:rPr>
        <w:t>区</w:t>
      </w:r>
      <w:r>
        <w:rPr>
          <w:rFonts w:ascii="仿宋_GB2312" w:hAnsi="仿宋_GB2312" w:eastAsia="仿宋_GB2312" w:cs="仿宋"/>
          <w:spacing w:val="7"/>
          <w:sz w:val="32"/>
          <w:szCs w:val="32"/>
        </w:rPr>
        <w:t>保税研发、科技创新产业生态紧密关联的高端医疗器械</w:t>
      </w:r>
      <w:r>
        <w:rPr>
          <w:rFonts w:hint="eastAsia" w:ascii="仿宋_GB2312" w:hAnsi="仿宋_GB2312" w:eastAsia="仿宋_GB2312" w:cs="仿宋"/>
          <w:spacing w:val="7"/>
          <w:sz w:val="32"/>
          <w:szCs w:val="32"/>
        </w:rPr>
        <w:t>、</w:t>
      </w:r>
      <w:r>
        <w:rPr>
          <w:rFonts w:ascii="仿宋_GB2312" w:hAnsi="仿宋_GB2312" w:eastAsia="仿宋_GB2312" w:cs="仿宋"/>
          <w:spacing w:val="7"/>
          <w:sz w:val="32"/>
          <w:szCs w:val="32"/>
        </w:rPr>
        <w:t>集成电路装备、精密科学仪器、人工智能硬件等高技术、高附加值产品的保税维修业务</w:t>
      </w:r>
      <w:r>
        <w:rPr>
          <w:rFonts w:hint="eastAsia" w:ascii="仿宋_GB2312" w:hAnsi="仿宋_GB2312" w:eastAsia="仿宋_GB2312" w:cs="仿宋"/>
          <w:spacing w:val="7"/>
          <w:sz w:val="32"/>
          <w:szCs w:val="32"/>
        </w:rPr>
        <w:t>，着力培育具有中关村特色的保税维修新业态</w:t>
      </w:r>
      <w:r>
        <w:rPr>
          <w:rFonts w:hint="eastAsia" w:ascii="仿宋_GB2312" w:hAnsi="等线" w:eastAsia="仿宋_GB2312"/>
          <w:sz w:val="32"/>
          <w:szCs w:val="32"/>
          <w14:ligatures w14:val="standardContextual"/>
        </w:rPr>
        <w:t>。</w:t>
      </w:r>
    </w:p>
    <w:p w14:paraId="3999F04E">
      <w:pPr>
        <w:spacing w:line="560" w:lineRule="exact"/>
        <w:ind w:firstLine="640" w:firstLineChars="200"/>
        <w:rPr>
          <w:rFonts w:ascii="黑体" w:hAnsi="黑体" w:eastAsia="黑体"/>
          <w:sz w:val="32"/>
          <w14:ligatures w14:val="standardContextual"/>
        </w:rPr>
      </w:pPr>
      <w:r>
        <w:rPr>
          <w:rFonts w:hint="eastAsia" w:ascii="黑体" w:hAnsi="黑体" w:eastAsia="黑体"/>
          <w:sz w:val="32"/>
          <w14:ligatures w14:val="standardContextual"/>
        </w:rPr>
        <w:t>三、主要内容</w:t>
      </w:r>
    </w:p>
    <w:p w14:paraId="61A4AD36">
      <w:pPr>
        <w:spacing w:line="560" w:lineRule="exact"/>
        <w:ind w:firstLine="640" w:firstLineChars="200"/>
        <w:rPr>
          <w:rFonts w:ascii="仿宋_GB2312" w:hAnsi="等线" w:eastAsia="仿宋_GB2312"/>
          <w:sz w:val="32"/>
          <w14:ligatures w14:val="standardContextual"/>
        </w:rPr>
      </w:pPr>
      <w:r>
        <w:rPr>
          <w:rFonts w:ascii="仿宋_GB2312" w:hAnsi="等线" w:eastAsia="仿宋_GB2312"/>
          <w:sz w:val="32"/>
          <w14:ligatures w14:val="standardContextual"/>
        </w:rPr>
        <w:t>《</w:t>
      </w:r>
      <w:r>
        <w:rPr>
          <w:rFonts w:hint="eastAsia" w:ascii="仿宋_GB2312" w:hAnsi="等线" w:eastAsia="仿宋_GB2312"/>
          <w:sz w:val="32"/>
          <w14:ligatures w14:val="standardContextual"/>
        </w:rPr>
        <w:t>监管方案</w:t>
      </w:r>
      <w:r>
        <w:rPr>
          <w:rFonts w:ascii="仿宋_GB2312" w:hAnsi="等线" w:eastAsia="仿宋_GB2312"/>
          <w:sz w:val="32"/>
          <w14:ligatures w14:val="standardContextual"/>
        </w:rPr>
        <w:t>》从</w:t>
      </w:r>
      <w:r>
        <w:rPr>
          <w:rFonts w:hint="eastAsia" w:ascii="仿宋_GB2312" w:hAnsi="等线" w:eastAsia="仿宋_GB2312"/>
          <w:sz w:val="32"/>
          <w14:ligatures w14:val="standardContextual"/>
        </w:rPr>
        <w:t>业务范围与特色、企业主体责任、资质认定与监管方案、</w:t>
      </w:r>
      <w:r>
        <w:rPr>
          <w:rFonts w:hint="eastAsia" w:ascii="仿宋_GB2312" w:hAnsi="仿宋_GB2312" w:eastAsia="仿宋_GB2312" w:cs="仿宋"/>
          <w:spacing w:val="-1"/>
          <w:sz w:val="32"/>
          <w:szCs w:val="32"/>
        </w:rPr>
        <w:t>海关监管要求、</w:t>
      </w:r>
      <w:r>
        <w:rPr>
          <w:rFonts w:hint="eastAsia" w:ascii="仿宋_GB2312" w:hAnsi="仿宋_GB2312" w:eastAsia="仿宋_GB2312" w:cs="仿宋"/>
          <w:spacing w:val="2"/>
          <w:sz w:val="32"/>
          <w:szCs w:val="32"/>
        </w:rPr>
        <w:t>固体废物管理、</w:t>
      </w:r>
      <w:r>
        <w:rPr>
          <w:rFonts w:hint="eastAsia" w:ascii="仿宋_GB2312" w:hAnsi="仿宋_GB2312" w:eastAsia="仿宋_GB2312" w:cs="仿宋"/>
          <w:spacing w:val="1"/>
          <w:sz w:val="32"/>
          <w:szCs w:val="32"/>
        </w:rPr>
        <w:t>监督评估与退出等方面进行了明确，覆盖了保税维修业务准入、过程监管、废物处置、动态退出的全链条管理要求。方案既严格落实上位政策法规，又充分结合中关村综保区“研发创新”定位，体现规范管理与鼓励创新并重的导向</w:t>
      </w:r>
      <w:r>
        <w:rPr>
          <w:rFonts w:hint="eastAsia" w:ascii="仿宋_GB2312" w:hAnsi="等线" w:eastAsia="仿宋_GB2312"/>
          <w:sz w:val="32"/>
          <w14:ligatures w14:val="standardContextual"/>
        </w:rPr>
        <w:t>。</w:t>
      </w:r>
    </w:p>
    <w:p w14:paraId="0595D866">
      <w:pPr>
        <w:spacing w:line="560" w:lineRule="exact"/>
        <w:ind w:firstLine="640" w:firstLineChars="200"/>
        <w:jc w:val="left"/>
        <w:rPr>
          <w:rFonts w:ascii="仿宋_GB2312" w:hAnsi="等线" w:eastAsia="仿宋_GB2312"/>
          <w:sz w:val="32"/>
          <w14:ligatures w14:val="standardContextual"/>
        </w:rPr>
      </w:pPr>
    </w:p>
    <w:p w14:paraId="609B641F">
      <w:pPr>
        <w:spacing w:line="560" w:lineRule="exact"/>
        <w:ind w:firstLine="640" w:firstLineChars="200"/>
        <w:jc w:val="right"/>
        <w:rPr>
          <w:rFonts w:ascii="仿宋_GB2312" w:hAnsi="等线" w:eastAsia="仿宋_GB2312"/>
          <w:sz w:val="32"/>
          <w14:ligatures w14:val="standardContextual"/>
        </w:rPr>
      </w:pPr>
      <w:r>
        <w:rPr>
          <w:rFonts w:hint="eastAsia" w:ascii="仿宋_GB2312" w:hAnsi="等线" w:eastAsia="仿宋_GB2312"/>
          <w:sz w:val="32"/>
          <w14:ligatures w14:val="standardContextual"/>
        </w:rPr>
        <w:t>中关村科学城管理委员会</w:t>
      </w:r>
    </w:p>
    <w:p w14:paraId="445CD367">
      <w:pPr>
        <w:spacing w:line="560" w:lineRule="exact"/>
        <w:ind w:firstLine="640" w:firstLineChars="200"/>
        <w:jc w:val="right"/>
        <w:rPr>
          <w:rFonts w:ascii="仿宋_GB2312" w:hAnsi="等线" w:eastAsia="仿宋_GB2312"/>
          <w:sz w:val="32"/>
          <w14:ligatures w14:val="standardContextual"/>
        </w:rPr>
      </w:pPr>
      <w:r>
        <w:rPr>
          <w:rFonts w:hint="eastAsia" w:ascii="仿宋_GB2312" w:hAnsi="等线" w:eastAsia="仿宋_GB2312"/>
          <w:sz w:val="32"/>
          <w14:ligatures w14:val="standardContextual"/>
        </w:rPr>
        <w:t>2026年5月8日</w:t>
      </w:r>
    </w:p>
    <w:p w14:paraId="741EBA33">
      <w:pPr>
        <w:spacing w:line="560" w:lineRule="exact"/>
        <w:ind w:firstLine="640" w:firstLineChars="200"/>
        <w:rPr>
          <w:rFonts w:ascii="仿宋_GB2312" w:hAnsi="仿宋_GB2312" w:eastAsia="仿宋_GB2312"/>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0"/>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6B"/>
    <w:rsid w:val="000B0DE3"/>
    <w:rsid w:val="0021100F"/>
    <w:rsid w:val="00241F98"/>
    <w:rsid w:val="002554EA"/>
    <w:rsid w:val="002F739D"/>
    <w:rsid w:val="00355D6B"/>
    <w:rsid w:val="003E3E68"/>
    <w:rsid w:val="0048314A"/>
    <w:rsid w:val="00532BF1"/>
    <w:rsid w:val="007266FF"/>
    <w:rsid w:val="00754538"/>
    <w:rsid w:val="00914C5A"/>
    <w:rsid w:val="00980608"/>
    <w:rsid w:val="009A760C"/>
    <w:rsid w:val="00C571B9"/>
    <w:rsid w:val="00CA625A"/>
    <w:rsid w:val="00D13EFF"/>
    <w:rsid w:val="00E2712D"/>
    <w:rsid w:val="00EF3767"/>
    <w:rsid w:val="00F00A76"/>
    <w:rsid w:val="767D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rPr>
      <w:rFonts w:asciiTheme="minorHAnsi" w:hAnsiTheme="minorHAnsi" w:eastAsiaTheme="minorEastAsia" w:cstheme="minorBidi"/>
    </w:r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Char1"/>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681</Characters>
  <Lines>4</Lines>
  <Paragraphs>1</Paragraphs>
  <TotalTime>10</TotalTime>
  <ScaleCrop>false</ScaleCrop>
  <LinksUpToDate>false</LinksUpToDate>
  <CharactersWithSpaces>681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2026-04-28T03:11:00Z</dcterms:created>
  <dc:creator>vv6293</dc:creator>
  <cp:lastModifiedBy>简简单单</cp:lastModifiedBy>
  <dcterms:modified xsi:type="dcterms:W3CDTF">2026-05-09T01:46:22Z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eyJoZGlkIjoiZTMyZDViNjY2YjBhMGI5ZGRmYTY5ZDk5NmMyM2I4OTIiLCJ1c2VySWQiOiIxMDQ1MDU5MTQwIn0=</vt:lpwstr>
  </property>
  <property fmtid="{D5CDD505-2E9C-101B-9397-08002B2CF9AE}" pid="3" name="KSOProductBuildVer">
    <vt:lpwstr>2052-12.1.0.25865</vt:lpwstr>
  </property>
  <property fmtid="{D5CDD505-2E9C-101B-9397-08002B2CF9AE}" pid="4" name="ICV">
    <vt:lpwstr>7FEA764317D84266AF330FE522DE195D_12</vt:lpwstr>
  </property>
</Properties>
</file>