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51C5D">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关于《顺义区关于加强点状配套设施用地</w:t>
      </w:r>
    </w:p>
    <w:p w14:paraId="6B500E3B">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rPr>
        <w:t>管理促进乡村振兴的实施细则</w:t>
      </w:r>
      <w:r>
        <w:rPr>
          <w:rFonts w:hint="eastAsia" w:ascii="方正小标宋简体" w:hAnsi="方正小标宋简体" w:eastAsia="方正小标宋简体" w:cs="方正小标宋简体"/>
          <w:sz w:val="44"/>
          <w:szCs w:val="52"/>
          <w:lang w:eastAsia="zh-CN"/>
        </w:rPr>
        <w:t>（征求</w:t>
      </w:r>
    </w:p>
    <w:p w14:paraId="3BA543A0">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lang w:eastAsia="zh-CN"/>
        </w:rPr>
        <w:t>意见稿）</w:t>
      </w:r>
      <w:r>
        <w:rPr>
          <w:rFonts w:hint="eastAsia" w:ascii="方正小标宋简体" w:hAnsi="方正小标宋简体" w:eastAsia="方正小标宋简体" w:cs="方正小标宋简体"/>
          <w:sz w:val="44"/>
          <w:szCs w:val="52"/>
        </w:rPr>
        <w:t>》的起草说明</w:t>
      </w:r>
    </w:p>
    <w:p w14:paraId="4A337547">
      <w:pPr>
        <w:keepNext w:val="0"/>
        <w:keepLines w:val="0"/>
        <w:pageBreakBefore w:val="0"/>
        <w:kinsoku/>
        <w:wordWrap/>
        <w:overflowPunct/>
        <w:topLinePunct w:val="0"/>
        <w:autoSpaceDE/>
        <w:autoSpaceDN/>
        <w:bidi w:val="0"/>
        <w:adjustRightInd/>
        <w:snapToGrid/>
        <w:spacing w:line="554" w:lineRule="exact"/>
        <w:ind w:firstLine="640" w:firstLineChars="200"/>
        <w:rPr>
          <w:rFonts w:hint="eastAsia" w:ascii="仿宋_GB2312" w:hAnsi="仿宋_GB2312" w:eastAsia="仿宋_GB2312" w:cs="仿宋_GB2312"/>
          <w:sz w:val="32"/>
          <w:szCs w:val="40"/>
        </w:rPr>
      </w:pPr>
    </w:p>
    <w:p w14:paraId="5345E4A4">
      <w:pPr>
        <w:keepNext w:val="0"/>
        <w:keepLines w:val="0"/>
        <w:pageBreakBefore w:val="0"/>
        <w:kinsoku/>
        <w:wordWrap/>
        <w:overflowPunct/>
        <w:topLinePunct w:val="0"/>
        <w:autoSpaceDE/>
        <w:autoSpaceDN/>
        <w:bidi w:val="0"/>
        <w:adjustRightInd/>
        <w:snapToGrid/>
        <w:spacing w:line="554" w:lineRule="exact"/>
        <w:ind w:firstLine="640" w:firstLineChars="200"/>
        <w:rPr>
          <w:rFonts w:hint="eastAsia" w:ascii="黑体" w:hAnsi="黑体" w:eastAsia="黑体" w:cs="黑体"/>
          <w:b w:val="0"/>
          <w:bCs w:val="0"/>
          <w:sz w:val="32"/>
          <w:szCs w:val="40"/>
        </w:rPr>
      </w:pPr>
      <w:r>
        <w:rPr>
          <w:rFonts w:hint="eastAsia" w:ascii="黑体" w:hAnsi="黑体" w:eastAsia="黑体" w:cs="黑体"/>
          <w:b w:val="0"/>
          <w:bCs w:val="0"/>
          <w:sz w:val="32"/>
          <w:szCs w:val="40"/>
        </w:rPr>
        <w:t>一、起草背景及依据</w:t>
      </w:r>
    </w:p>
    <w:p w14:paraId="6D35AFB5">
      <w:pPr>
        <w:keepNext w:val="0"/>
        <w:keepLines w:val="0"/>
        <w:pageBreakBefore w:val="0"/>
        <w:kinsoku/>
        <w:wordWrap/>
        <w:overflowPunct/>
        <w:topLinePunct w:val="0"/>
        <w:autoSpaceDE/>
        <w:autoSpaceDN/>
        <w:bidi w:val="0"/>
        <w:adjustRightInd/>
        <w:snapToGrid/>
        <w:spacing w:line="554"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贯彻落实《关于加强点状配套设施用地管理促进乡村振兴的指导意见》（京规自发〔2026〕2号）、《关于提升乡村地区规划实施效能打通项目落地“最后一公里”的指导意见》（京规自发〔2026〕1号）等有关文件精神，切实保障我区乡村产业融合发展的合理用地需求，规范点状配套设施用地管理，提升土地集约利用效率，区农业农村局会同区规自分局、区文旅局、区经信局、区园林绿化局等部门，结合我区实际，研究制定了本实施细则。</w:t>
      </w:r>
    </w:p>
    <w:p w14:paraId="67FD0019">
      <w:pPr>
        <w:keepNext w:val="0"/>
        <w:keepLines w:val="0"/>
        <w:pageBreakBefore w:val="0"/>
        <w:kinsoku/>
        <w:wordWrap/>
        <w:overflowPunct/>
        <w:topLinePunct w:val="0"/>
        <w:autoSpaceDE/>
        <w:autoSpaceDN/>
        <w:bidi w:val="0"/>
        <w:adjustRightInd/>
        <w:snapToGrid/>
        <w:spacing w:line="554" w:lineRule="exact"/>
        <w:ind w:firstLine="640" w:firstLineChars="200"/>
        <w:rPr>
          <w:rFonts w:hint="eastAsia" w:ascii="黑体" w:hAnsi="黑体" w:eastAsia="黑体" w:cs="黑体"/>
          <w:b w:val="0"/>
          <w:bCs w:val="0"/>
          <w:sz w:val="32"/>
          <w:szCs w:val="40"/>
        </w:rPr>
      </w:pPr>
      <w:r>
        <w:rPr>
          <w:rFonts w:hint="eastAsia" w:ascii="黑体" w:hAnsi="黑体" w:eastAsia="黑体" w:cs="黑体"/>
          <w:b w:val="0"/>
          <w:bCs w:val="0"/>
          <w:sz w:val="32"/>
          <w:szCs w:val="40"/>
        </w:rPr>
        <w:t>二、目标任务</w:t>
      </w:r>
    </w:p>
    <w:p w14:paraId="6787BCAD">
      <w:pPr>
        <w:keepNext w:val="0"/>
        <w:keepLines w:val="0"/>
        <w:pageBreakBefore w:val="0"/>
        <w:kinsoku/>
        <w:wordWrap/>
        <w:overflowPunct/>
        <w:topLinePunct w:val="0"/>
        <w:autoSpaceDE/>
        <w:autoSpaceDN/>
        <w:bidi w:val="0"/>
        <w:adjustRightInd/>
        <w:snapToGrid/>
        <w:spacing w:line="554"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通过本细则的实施，建立健全点状配套设施用地的准入、审批、建设</w:t>
      </w:r>
      <w:r>
        <w:rPr>
          <w:rFonts w:hint="eastAsia" w:ascii="仿宋_GB2312" w:hAnsi="仿宋_GB2312" w:eastAsia="仿宋_GB2312" w:cs="仿宋_GB2312"/>
          <w:sz w:val="32"/>
          <w:szCs w:val="40"/>
          <w:lang w:eastAsia="zh-CN"/>
        </w:rPr>
        <w:t>等</w:t>
      </w:r>
      <w:r>
        <w:rPr>
          <w:rFonts w:hint="eastAsia" w:ascii="仿宋_GB2312" w:hAnsi="仿宋_GB2312" w:eastAsia="仿宋_GB2312" w:cs="仿宋_GB2312"/>
          <w:sz w:val="32"/>
          <w:szCs w:val="40"/>
        </w:rPr>
        <w:t>管理机制，推动乡村产业项目合规落地，促进土地节约集约利用，支持农业、林业、文旅等新产业新业态发展，助力乡村全面振兴。</w:t>
      </w:r>
    </w:p>
    <w:p w14:paraId="1C6BB589">
      <w:pPr>
        <w:keepNext w:val="0"/>
        <w:keepLines w:val="0"/>
        <w:pageBreakBefore w:val="0"/>
        <w:kinsoku/>
        <w:wordWrap/>
        <w:overflowPunct/>
        <w:topLinePunct w:val="0"/>
        <w:autoSpaceDE/>
        <w:autoSpaceDN/>
        <w:bidi w:val="0"/>
        <w:adjustRightInd/>
        <w:snapToGrid/>
        <w:spacing w:line="554" w:lineRule="exact"/>
        <w:ind w:firstLine="640" w:firstLineChars="200"/>
        <w:rPr>
          <w:rFonts w:hint="eastAsia" w:ascii="仿宋_GB2312" w:hAnsi="仿宋_GB2312" w:eastAsia="仿宋_GB2312" w:cs="仿宋_GB2312"/>
          <w:b/>
          <w:bCs/>
          <w:sz w:val="32"/>
          <w:szCs w:val="40"/>
          <w:lang w:val="en-US" w:eastAsia="zh-CN"/>
        </w:rPr>
      </w:pPr>
      <w:r>
        <w:rPr>
          <w:rFonts w:hint="eastAsia" w:ascii="黑体" w:hAnsi="黑体" w:eastAsia="黑体" w:cs="黑体"/>
          <w:b w:val="0"/>
          <w:bCs w:val="0"/>
          <w:sz w:val="32"/>
          <w:szCs w:val="40"/>
        </w:rPr>
        <w:t>三、主要内容</w:t>
      </w:r>
    </w:p>
    <w:p w14:paraId="7E1B5D11">
      <w:pPr>
        <w:keepNext w:val="0"/>
        <w:keepLines w:val="0"/>
        <w:pageBreakBefore w:val="0"/>
        <w:kinsoku/>
        <w:wordWrap/>
        <w:overflowPunct/>
        <w:topLinePunct w:val="0"/>
        <w:autoSpaceDE/>
        <w:autoSpaceDN/>
        <w:bidi w:val="0"/>
        <w:adjustRightInd/>
        <w:snapToGrid/>
        <w:spacing w:line="554"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《实施细则》共分为四部分，主要内容包括：</w:t>
      </w:r>
    </w:p>
    <w:p w14:paraId="12478288">
      <w:pPr>
        <w:keepNext w:val="0"/>
        <w:keepLines w:val="0"/>
        <w:pageBreakBefore w:val="0"/>
        <w:kinsoku/>
        <w:wordWrap/>
        <w:overflowPunct/>
        <w:topLinePunct w:val="0"/>
        <w:autoSpaceDE/>
        <w:autoSpaceDN/>
        <w:bidi w:val="0"/>
        <w:adjustRightInd/>
        <w:snapToGrid/>
        <w:spacing w:line="554"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一是</w:t>
      </w:r>
      <w:r>
        <w:rPr>
          <w:rFonts w:hint="eastAsia" w:ascii="仿宋_GB2312" w:hAnsi="仿宋_GB2312" w:eastAsia="仿宋_GB2312" w:cs="仿宋_GB2312"/>
          <w:sz w:val="32"/>
          <w:szCs w:val="40"/>
        </w:rPr>
        <w:t>适用范围：明确适用于在产业园区、城镇开发边界和村庄建设边界外选址的点状配套设施用地，分为建设用地类和非建设用地类。</w:t>
      </w:r>
      <w:r>
        <w:rPr>
          <w:rFonts w:hint="eastAsia" w:ascii="仿宋_GB2312" w:hAnsi="仿宋_GB2312" w:eastAsia="仿宋_GB2312" w:cs="仿宋_GB2312"/>
          <w:sz w:val="32"/>
          <w:szCs w:val="40"/>
          <w:lang w:eastAsia="zh-CN"/>
        </w:rPr>
        <w:t>二是</w:t>
      </w:r>
      <w:r>
        <w:rPr>
          <w:rFonts w:hint="eastAsia" w:ascii="仿宋_GB2312" w:hAnsi="仿宋_GB2312" w:eastAsia="仿宋_GB2312" w:cs="仿宋_GB2312"/>
          <w:sz w:val="32"/>
          <w:szCs w:val="40"/>
        </w:rPr>
        <w:t>准入标准及规模管控：细化科技现代农林业、农林产品加工及仓储物流、农林产品展销、休闲农业和乡村旅游等四类用地的功能引导和建设标准，明确用地规模、建筑高度、容积率等控制指标。</w:t>
      </w:r>
      <w:r>
        <w:rPr>
          <w:rFonts w:hint="eastAsia" w:ascii="仿宋_GB2312" w:hAnsi="仿宋_GB2312" w:eastAsia="仿宋_GB2312" w:cs="仿宋_GB2312"/>
          <w:sz w:val="32"/>
          <w:szCs w:val="40"/>
          <w:lang w:eastAsia="zh-CN"/>
        </w:rPr>
        <w:t>三是</w:t>
      </w:r>
      <w:r>
        <w:rPr>
          <w:rFonts w:hint="eastAsia" w:ascii="仿宋_GB2312" w:hAnsi="仿宋_GB2312" w:eastAsia="仿宋_GB2312" w:cs="仿宋_GB2312"/>
          <w:sz w:val="32"/>
          <w:szCs w:val="40"/>
        </w:rPr>
        <w:t>实施办法：区分建设用地类和非建设用地类，分别规定项目谋划、储备、联审、规综编制、立项、用地许可、施工许可、验收登记等全流程操作程序。</w:t>
      </w:r>
      <w:r>
        <w:rPr>
          <w:rFonts w:hint="eastAsia" w:ascii="仿宋_GB2312" w:hAnsi="仿宋_GB2312" w:eastAsia="仿宋_GB2312" w:cs="仿宋_GB2312"/>
          <w:sz w:val="32"/>
          <w:szCs w:val="40"/>
          <w:lang w:eastAsia="zh-CN"/>
        </w:rPr>
        <w:t>四是</w:t>
      </w:r>
      <w:r>
        <w:rPr>
          <w:rFonts w:hint="eastAsia" w:ascii="仿宋_GB2312" w:hAnsi="仿宋_GB2312" w:eastAsia="仿宋_GB2312" w:cs="仿宋_GB2312"/>
          <w:sz w:val="32"/>
          <w:szCs w:val="40"/>
        </w:rPr>
        <w:t>保障机制：明确各部门职责分工，建立全周期监管制度，强化负面清单管控，严禁变相房地产开发。</w:t>
      </w:r>
    </w:p>
    <w:p w14:paraId="44710AC4">
      <w:pPr>
        <w:keepNext w:val="0"/>
        <w:keepLines w:val="0"/>
        <w:pageBreakBefore w:val="0"/>
        <w:kinsoku/>
        <w:wordWrap/>
        <w:overflowPunct/>
        <w:topLinePunct w:val="0"/>
        <w:autoSpaceDE/>
        <w:autoSpaceDN/>
        <w:bidi w:val="0"/>
        <w:adjustRightInd/>
        <w:snapToGrid/>
        <w:spacing w:line="554" w:lineRule="exact"/>
        <w:ind w:firstLine="640" w:firstLineChars="200"/>
        <w:rPr>
          <w:rFonts w:hint="eastAsia" w:ascii="黑体" w:hAnsi="黑体" w:eastAsia="黑体" w:cs="黑体"/>
          <w:b w:val="0"/>
          <w:bCs w:val="0"/>
          <w:sz w:val="32"/>
          <w:szCs w:val="40"/>
        </w:rPr>
      </w:pPr>
      <w:r>
        <w:rPr>
          <w:rFonts w:hint="eastAsia" w:ascii="黑体" w:hAnsi="黑体" w:eastAsia="黑体" w:cs="黑体"/>
          <w:b w:val="0"/>
          <w:bCs w:val="0"/>
          <w:sz w:val="32"/>
          <w:szCs w:val="40"/>
        </w:rPr>
        <w:t>四、创新特点</w:t>
      </w:r>
    </w:p>
    <w:p w14:paraId="5829DBB9">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在全面落实市级指导意见基础上，我区结合区域发展实际，对产业业态内容进行了进一步细化：将建设用地类项目划分为科技现代农业、农产品加工及仓储物流、农产品展销、休闲农业和乡村旅游四大类，并逐类列举可纳入支持的具体配套设施清单。例如，科技现代农业中明确支持种业研发中心、智慧农业调度中心、农机库房等设施，休闲农业和乡村旅游中明确支持游客集散中心、乡村文创工坊、特色餐饮、露营地、小型剧场等场所。</w:t>
      </w:r>
      <w:r>
        <w:rPr>
          <w:rFonts w:hint="eastAsia" w:ascii="仿宋_GB2312" w:hAnsi="仿宋_GB2312" w:eastAsia="仿宋_GB2312" w:cs="仿宋_GB2312"/>
          <w:sz w:val="32"/>
          <w:szCs w:val="40"/>
          <w:lang w:eastAsia="zh-CN"/>
        </w:rPr>
        <w:t>通过方案细化，</w:t>
      </w:r>
      <w:r>
        <w:rPr>
          <w:rFonts w:hint="eastAsia" w:ascii="仿宋_GB2312" w:hAnsi="仿宋_GB2312" w:eastAsia="仿宋_GB2312" w:cs="仿宋_GB2312"/>
          <w:sz w:val="32"/>
          <w:szCs w:val="40"/>
        </w:rPr>
        <w:t>使政策指向更加清晰，有效解决了基层“什么能建、什么不能建”的操作性难题。</w:t>
      </w:r>
    </w:p>
    <w:p w14:paraId="7DE9CCC9">
      <w:pPr>
        <w:keepNext w:val="0"/>
        <w:keepLines w:val="0"/>
        <w:pageBreakBefore w:val="0"/>
        <w:kinsoku/>
        <w:wordWrap/>
        <w:overflowPunct/>
        <w:topLinePunct w:val="0"/>
        <w:autoSpaceDE/>
        <w:autoSpaceDN/>
        <w:bidi w:val="0"/>
        <w:adjustRightInd/>
        <w:snapToGrid/>
        <w:spacing w:line="554" w:lineRule="exact"/>
        <w:ind w:firstLine="640" w:firstLineChars="200"/>
        <w:rPr>
          <w:rFonts w:hint="default" w:ascii="黑体" w:hAnsi="黑体" w:eastAsia="黑体" w:cs="黑体"/>
          <w:b w:val="0"/>
          <w:bCs w:val="0"/>
          <w:sz w:val="32"/>
          <w:szCs w:val="40"/>
          <w:lang w:val="en-US" w:eastAsia="zh-CN"/>
        </w:rPr>
      </w:pPr>
      <w:r>
        <w:rPr>
          <w:rFonts w:hint="eastAsia" w:ascii="黑体" w:hAnsi="黑体" w:eastAsia="黑体" w:cs="黑体"/>
          <w:b w:val="0"/>
          <w:bCs w:val="0"/>
          <w:sz w:val="32"/>
          <w:szCs w:val="40"/>
        </w:rPr>
        <w:t>五、涉及范围</w:t>
      </w:r>
    </w:p>
    <w:p w14:paraId="605F0850">
      <w:pPr>
        <w:keepNext w:val="0"/>
        <w:keepLines w:val="0"/>
        <w:pageBreakBefore w:val="0"/>
        <w:kinsoku/>
        <w:wordWrap/>
        <w:overflowPunct/>
        <w:topLinePunct w:val="0"/>
        <w:autoSpaceDE/>
        <w:autoSpaceDN/>
        <w:bidi w:val="0"/>
        <w:adjustRightInd/>
        <w:snapToGrid/>
        <w:spacing w:line="554" w:lineRule="exact"/>
        <w:ind w:firstLine="640" w:firstLineChars="200"/>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涉及在顺义区范围内，确需在产业园区、城镇开发边界和村庄建设边界外选址建设的各类点状配套设施用地项目，包括建设用地类和非建设用地类。</w:t>
      </w:r>
    </w:p>
    <w:p w14:paraId="20290D02">
      <w:pPr>
        <w:keepNext w:val="0"/>
        <w:keepLines w:val="0"/>
        <w:pageBreakBefore w:val="0"/>
        <w:kinsoku/>
        <w:wordWrap/>
        <w:overflowPunct/>
        <w:topLinePunct w:val="0"/>
        <w:autoSpaceDE/>
        <w:autoSpaceDN/>
        <w:bidi w:val="0"/>
        <w:adjustRightInd/>
        <w:snapToGrid/>
        <w:spacing w:line="554" w:lineRule="exact"/>
        <w:ind w:firstLine="640" w:firstLineChars="200"/>
        <w:rPr>
          <w:rFonts w:hint="eastAsia" w:ascii="仿宋_GB2312" w:hAnsi="仿宋_GB2312" w:eastAsia="仿宋_GB2312" w:cs="仿宋_GB2312"/>
          <w:b/>
          <w:bCs/>
          <w:sz w:val="32"/>
          <w:szCs w:val="40"/>
        </w:rPr>
      </w:pPr>
      <w:r>
        <w:rPr>
          <w:rFonts w:hint="eastAsia" w:ascii="黑体" w:hAnsi="黑体" w:eastAsia="黑体" w:cs="黑体"/>
          <w:b w:val="0"/>
          <w:bCs w:val="0"/>
          <w:sz w:val="32"/>
          <w:szCs w:val="40"/>
        </w:rPr>
        <w:t>六、新旧政策差异</w:t>
      </w:r>
    </w:p>
    <w:p w14:paraId="64699BF9">
      <w:pPr>
        <w:pStyle w:val="3"/>
        <w:keepNext w:val="0"/>
        <w:keepLines w:val="0"/>
        <w:pageBreakBefore w:val="0"/>
        <w:widowControl/>
        <w:kinsoku/>
        <w:wordWrap/>
        <w:overflowPunct/>
        <w:topLinePunct w:val="0"/>
        <w:autoSpaceDE/>
        <w:autoSpaceDN/>
        <w:bidi w:val="0"/>
        <w:adjustRightInd/>
        <w:snapToGrid/>
        <w:spacing w:line="554" w:lineRule="exact"/>
        <w:ind w:firstLine="640" w:firstLineChars="200"/>
        <w:jc w:val="both"/>
        <w:textAlignment w:val="baseline"/>
      </w:pPr>
      <w:r>
        <w:rPr>
          <w:rFonts w:hint="eastAsia" w:ascii="仿宋_GB2312" w:hAnsi="仿宋_GB2312" w:eastAsia="仿宋_GB2312" w:cs="仿宋_GB2312"/>
          <w:b w:val="0"/>
          <w:bCs/>
          <w:sz w:val="32"/>
          <w:szCs w:val="32"/>
          <w:lang w:eastAsia="zh-CN"/>
        </w:rPr>
        <w:t>本《实施细则</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kern w:val="2"/>
          <w:sz w:val="32"/>
          <w:szCs w:val="32"/>
          <w:lang w:val="en-US" w:eastAsia="zh-CN" w:bidi="ar-SA"/>
        </w:rPr>
        <w:t>为新制定政策。</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FCCB3"/>
    <w:rsid w:val="77FCCA23"/>
    <w:rsid w:val="7EFFCCBE"/>
    <w:rsid w:val="7FDD2ED1"/>
    <w:rsid w:val="FBBFCF60"/>
    <w:rsid w:val="FBE8D2EC"/>
    <w:rsid w:val="FFBFC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640" w:lineRule="exact"/>
      <w:jc w:val="center"/>
    </w:pPr>
    <w:rPr>
      <w:rFonts w:ascii="宋体" w:hAnsi="宋体" w:eastAsia="宋体"/>
      <w:b/>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2026-05-08T17:17:00Z</dcterms:created>
  <dc:creator>WPS_1694162740</dc:creator>
  <cp:lastModifiedBy>user</cp:lastModifiedBy>
  <dcterms:modified xsi:type="dcterms:W3CDTF">2026-05-08T09:50:52Z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B7378162A474112615E8FB69E01AC01E_41</vt:lpwstr>
  </property>
</Properties>
</file>