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jc w:val="both"/>
        <w:rPr>
          <w:rFonts w:hint="eastAsia" w:ascii="方正小标宋简体" w:hAnsi="方正小标宋简体" w:eastAsia="方正小标宋简体" w:cs="方正小标宋简体"/>
          <w:sz w:val="44"/>
          <w:szCs w:val="44"/>
          <w:lang w:val="en-US" w:eastAsia="zh-CN" w:bidi="ar"/>
        </w:rPr>
      </w:pPr>
    </w:p>
    <w:p>
      <w:pPr>
        <w:ind w:firstLine="0" w:firstLineChars="0"/>
        <w:jc w:val="center"/>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bidi="ar"/>
        </w:rPr>
        <w:t>丰台区促进旅游住宿品牌高质量发展若干措施（征求意见稿）</w:t>
      </w:r>
    </w:p>
    <w:p>
      <w:pPr>
        <w:ind w:firstLine="640"/>
        <w:rPr>
          <w:rFonts w:hint="eastAsia"/>
          <w:sz w:val="32"/>
          <w:szCs w:val="32"/>
        </w:rPr>
      </w:pPr>
      <w:bookmarkStart w:id="0" w:name="_GoBack"/>
      <w:bookmarkEnd w:id="0"/>
      <w:r>
        <w:rPr>
          <w:rFonts w:hint="eastAsia"/>
          <w:sz w:val="32"/>
          <w:szCs w:val="32"/>
          <w:lang w:bidi="ar"/>
        </w:rPr>
        <w:t xml:space="preserve"> </w:t>
      </w:r>
    </w:p>
    <w:p>
      <w:pPr>
        <w:ind w:firstLine="640"/>
        <w:rPr>
          <w:rFonts w:hint="eastAsia"/>
          <w:sz w:val="32"/>
          <w:szCs w:val="32"/>
        </w:rPr>
      </w:pPr>
      <w:r>
        <w:rPr>
          <w:rFonts w:hint="eastAsia"/>
          <w:sz w:val="32"/>
          <w:szCs w:val="32"/>
          <w:lang w:bidi="ar"/>
        </w:rPr>
        <w:t>为进一步促进全区住宿业创新发展、转型升级，</w:t>
      </w:r>
      <w:r>
        <w:rPr>
          <w:rFonts w:hint="eastAsia"/>
          <w:sz w:val="32"/>
          <w:szCs w:val="32"/>
          <w:lang w:val="en-US" w:eastAsia="zh-CN" w:bidi="ar"/>
        </w:rPr>
        <w:t>推动</w:t>
      </w:r>
      <w:r>
        <w:rPr>
          <w:rFonts w:hint="eastAsia"/>
          <w:sz w:val="32"/>
          <w:szCs w:val="32"/>
          <w:lang w:bidi="ar"/>
        </w:rPr>
        <w:t>住宿业规模化、品质化、规范化发展，依据《北京市文化和旅游局关于实施旅游住宿品牌重点项目支持政策的通知》等政策，结合全区实际，制定以下政策。</w:t>
      </w:r>
    </w:p>
    <w:p>
      <w:pPr>
        <w:pStyle w:val="3"/>
        <w:keepNext w:val="0"/>
        <w:keepLines w:val="0"/>
        <w:pageBreakBefore w:val="0"/>
        <w:widowControl/>
        <w:kinsoku/>
        <w:wordWrap/>
        <w:overflowPunct/>
        <w:topLinePunct w:val="0"/>
        <w:autoSpaceDE/>
        <w:autoSpaceDN w:val="0"/>
        <w:bidi w:val="0"/>
        <w:adjustRightInd/>
        <w:snapToGrid/>
        <w:textAlignment w:val="auto"/>
        <w:rPr>
          <w:rFonts w:hint="eastAsia" w:eastAsia="宋体"/>
          <w:sz w:val="32"/>
          <w:szCs w:val="32"/>
        </w:rPr>
      </w:pPr>
      <w:r>
        <w:rPr>
          <w:rFonts w:hint="eastAsia" w:ascii="黑体" w:cs="黑体"/>
          <w:sz w:val="32"/>
          <w:szCs w:val="32"/>
        </w:rPr>
        <w:t>一、扶持政策</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default"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支持酒店投资建设</w:t>
      </w:r>
    </w:p>
    <w:p>
      <w:pPr>
        <w:keepNext w:val="0"/>
        <w:keepLines w:val="0"/>
        <w:pageBreakBefore w:val="0"/>
        <w:widowControl w:val="0"/>
        <w:kinsoku/>
        <w:wordWrap/>
        <w:overflowPunct/>
        <w:topLinePunct w:val="0"/>
        <w:autoSpaceDE/>
        <w:autoSpaceDN w:val="0"/>
        <w:bidi w:val="0"/>
        <w:adjustRightInd/>
        <w:snapToGrid/>
        <w:ind w:firstLine="640"/>
        <w:textAlignment w:val="auto"/>
        <w:outlineLvl w:val="1"/>
        <w:rPr>
          <w:rStyle w:val="12"/>
          <w:rFonts w:hint="eastAsia" w:ascii="仿宋_GB2312" w:hAnsi="仿宋_GB2312" w:eastAsia="仿宋_GB2312" w:cs="仿宋_GB2312"/>
          <w:b w:val="0"/>
          <w:kern w:val="2"/>
          <w:sz w:val="32"/>
          <w:szCs w:val="32"/>
          <w:lang w:val="en-US" w:eastAsia="zh-CN" w:bidi="ar"/>
        </w:rPr>
      </w:pPr>
      <w:r>
        <w:rPr>
          <w:rStyle w:val="12"/>
          <w:rFonts w:hint="eastAsia" w:ascii="仿宋_GB2312" w:hAnsi="仿宋_GB2312" w:eastAsia="仿宋_GB2312" w:cs="仿宋_GB2312"/>
          <w:b w:val="0"/>
          <w:kern w:val="2"/>
          <w:sz w:val="32"/>
          <w:szCs w:val="32"/>
          <w:lang w:val="en-US" w:eastAsia="zh-CN" w:bidi="ar"/>
        </w:rPr>
        <w:t>1</w:t>
      </w:r>
      <w:r>
        <w:rPr>
          <w:rStyle w:val="12"/>
          <w:rFonts w:hint="eastAsia" w:cs="仿宋_GB2312"/>
          <w:b w:val="0"/>
          <w:kern w:val="2"/>
          <w:sz w:val="32"/>
          <w:szCs w:val="32"/>
          <w:lang w:val="en-US" w:eastAsia="zh-CN" w:bidi="ar"/>
        </w:rPr>
        <w:t>、</w:t>
      </w:r>
      <w:r>
        <w:rPr>
          <w:rStyle w:val="12"/>
          <w:rFonts w:hint="eastAsia" w:ascii="仿宋_GB2312" w:hAnsi="仿宋_GB2312" w:eastAsia="仿宋_GB2312" w:cs="仿宋_GB2312"/>
          <w:b w:val="0"/>
          <w:kern w:val="2"/>
          <w:sz w:val="32"/>
          <w:szCs w:val="32"/>
          <w:lang w:val="en-US" w:eastAsia="zh-CN" w:bidi="ar"/>
        </w:rPr>
        <w:t>对区内投资新建的酒店形成固定资产投资500万元以上（不含土地款和房地产项目），按照固定投资额的2%给予投资方一次性奖励，最高不超过100万元。</w:t>
      </w:r>
    </w:p>
    <w:p>
      <w:pPr>
        <w:keepNext w:val="0"/>
        <w:keepLines w:val="0"/>
        <w:pageBreakBefore w:val="0"/>
        <w:widowControl w:val="0"/>
        <w:kinsoku/>
        <w:wordWrap/>
        <w:overflowPunct/>
        <w:topLinePunct w:val="0"/>
        <w:autoSpaceDE/>
        <w:autoSpaceDN w:val="0"/>
        <w:bidi w:val="0"/>
        <w:adjustRightInd/>
        <w:snapToGrid/>
        <w:ind w:firstLine="640"/>
        <w:textAlignment w:val="auto"/>
        <w:outlineLvl w:val="1"/>
        <w:rPr>
          <w:rStyle w:val="12"/>
          <w:rFonts w:hint="eastAsia" w:ascii="仿宋_GB2312" w:hAnsi="仿宋_GB2312" w:eastAsia="仿宋_GB2312" w:cs="仿宋_GB2312"/>
          <w:b w:val="0"/>
          <w:kern w:val="2"/>
          <w:sz w:val="32"/>
          <w:szCs w:val="32"/>
          <w:lang w:val="en-US" w:eastAsia="zh-CN" w:bidi="ar"/>
        </w:rPr>
      </w:pPr>
      <w:r>
        <w:rPr>
          <w:rStyle w:val="12"/>
          <w:rFonts w:hint="eastAsia" w:ascii="仿宋_GB2312" w:hAnsi="仿宋_GB2312" w:eastAsia="仿宋_GB2312" w:cs="仿宋_GB2312"/>
          <w:b w:val="0"/>
          <w:kern w:val="2"/>
          <w:sz w:val="32"/>
          <w:szCs w:val="32"/>
          <w:lang w:val="en-US" w:eastAsia="zh-CN" w:bidi="ar"/>
        </w:rPr>
        <w:t>2</w:t>
      </w:r>
      <w:r>
        <w:rPr>
          <w:rStyle w:val="12"/>
          <w:rFonts w:hint="eastAsia" w:cs="仿宋_GB2312"/>
          <w:b w:val="0"/>
          <w:kern w:val="2"/>
          <w:sz w:val="32"/>
          <w:szCs w:val="32"/>
          <w:lang w:val="en-US" w:eastAsia="zh-CN" w:bidi="ar"/>
        </w:rPr>
        <w:t>、</w:t>
      </w:r>
      <w:r>
        <w:rPr>
          <w:rStyle w:val="12"/>
          <w:rFonts w:hint="eastAsia" w:ascii="仿宋_GB2312" w:hAnsi="仿宋_GB2312" w:eastAsia="仿宋_GB2312" w:cs="仿宋_GB2312"/>
          <w:b w:val="0"/>
          <w:kern w:val="2"/>
          <w:sz w:val="32"/>
          <w:szCs w:val="32"/>
          <w:lang w:val="en-US" w:eastAsia="zh-CN" w:bidi="ar"/>
        </w:rPr>
        <w:t>对新注册运营机构利用区内存量物业进行整体改造，达到五星级酒店标准（年内完成纳统上规），在正常运营后一年内营业额达到3000万元、5000万元、1亿元的企业，分别给予运营机构30万元、50万元、100万元的一次性奖励。</w:t>
      </w:r>
    </w:p>
    <w:p>
      <w:pPr>
        <w:keepNext w:val="0"/>
        <w:keepLines w:val="0"/>
        <w:pageBreakBefore w:val="0"/>
        <w:widowControl w:val="0"/>
        <w:kinsoku/>
        <w:wordWrap/>
        <w:overflowPunct/>
        <w:topLinePunct w:val="0"/>
        <w:autoSpaceDE/>
        <w:autoSpaceDN w:val="0"/>
        <w:bidi w:val="0"/>
        <w:adjustRightInd/>
        <w:snapToGrid/>
        <w:ind w:firstLine="640"/>
        <w:textAlignment w:val="auto"/>
        <w:outlineLvl w:val="1"/>
        <w:rPr>
          <w:rStyle w:val="12"/>
          <w:rFonts w:hint="eastAsia" w:ascii="仿宋_GB2312" w:hAnsi="仿宋_GB2312" w:eastAsia="仿宋_GB2312" w:cs="仿宋_GB2312"/>
          <w:b w:val="0"/>
          <w:kern w:val="2"/>
          <w:sz w:val="32"/>
          <w:szCs w:val="32"/>
          <w:lang w:val="en-US" w:eastAsia="zh-CN" w:bidi="ar"/>
        </w:rPr>
      </w:pPr>
      <w:r>
        <w:rPr>
          <w:rStyle w:val="12"/>
          <w:rFonts w:hint="eastAsia" w:ascii="仿宋_GB2312" w:hAnsi="仿宋_GB2312" w:eastAsia="仿宋_GB2312" w:cs="仿宋_GB2312"/>
          <w:b w:val="0"/>
          <w:kern w:val="2"/>
          <w:sz w:val="32"/>
          <w:szCs w:val="32"/>
          <w:lang w:val="en-US" w:eastAsia="zh-CN" w:bidi="ar"/>
        </w:rPr>
        <w:t>3</w:t>
      </w:r>
      <w:r>
        <w:rPr>
          <w:rStyle w:val="12"/>
          <w:rFonts w:hint="eastAsia" w:cs="仿宋_GB2312"/>
          <w:b w:val="0"/>
          <w:kern w:val="2"/>
          <w:sz w:val="32"/>
          <w:szCs w:val="32"/>
          <w:lang w:val="en-US" w:eastAsia="zh-CN" w:bidi="ar"/>
        </w:rPr>
        <w:t>、</w:t>
      </w:r>
      <w:r>
        <w:rPr>
          <w:rStyle w:val="12"/>
          <w:rFonts w:hint="eastAsia" w:ascii="仿宋_GB2312" w:hAnsi="仿宋_GB2312" w:eastAsia="仿宋_GB2312" w:cs="仿宋_GB2312"/>
          <w:b w:val="0"/>
          <w:kern w:val="2"/>
          <w:sz w:val="32"/>
          <w:szCs w:val="32"/>
          <w:lang w:val="en-US" w:eastAsia="zh-CN" w:bidi="ar"/>
        </w:rPr>
        <w:t>支持境外投资者实施增资、新建、股权收购等权益性投资。对外商投资企业当年实缴合同外资总额在50万美元、100万美元、150万美元及以上的（不含土地款和房地产项目），分别按实缴合同外资总额的1.5%、2%、2.5%给予奖励，每家企业最高不超过100万元人民币。</w:t>
      </w:r>
    </w:p>
    <w:p>
      <w:pPr>
        <w:pStyle w:val="2"/>
        <w:ind w:left="0" w:leftChars="0" w:firstLine="640" w:firstLineChars="200"/>
        <w:rPr>
          <w:rFonts w:hint="eastAsia" w:ascii="仿宋_GB2312" w:hAnsi="仿宋_GB2312" w:eastAsia="仿宋_GB2312" w:cs="仿宋_GB2312"/>
          <w:sz w:val="32"/>
          <w:szCs w:val="32"/>
          <w:lang w:val="en-US" w:eastAsia="zh-CN"/>
        </w:rPr>
      </w:pPr>
      <w:r>
        <w:rPr>
          <w:rStyle w:val="12"/>
          <w:rFonts w:hint="eastAsia" w:ascii="仿宋_GB2312" w:hAnsi="仿宋_GB2312" w:eastAsia="仿宋_GB2312" w:cs="仿宋_GB2312"/>
          <w:b w:val="0"/>
          <w:kern w:val="2"/>
          <w:sz w:val="32"/>
          <w:szCs w:val="32"/>
          <w:lang w:val="en-US" w:eastAsia="zh-CN" w:bidi="ar"/>
        </w:rPr>
        <w:t>4、支持住宿企业聚焦品质化、便利化、绿色化、融合化、国际化及“平急两用”发展方向，实施改造升级和设备设施更新。对申报年度改造升级投资额达到500万元、1000万元、1500万元及以上的酒店项目，按照不超出改造升级投资额的2%、2.5%、3%给予最高不超过50万元支持。</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highlight w:val="none"/>
          <w:lang w:val="en-US" w:eastAsia="zh-CN" w:bidi="ar-SA"/>
        </w:rPr>
      </w:pPr>
      <w:r>
        <w:rPr>
          <w:rStyle w:val="15"/>
          <w:rFonts w:hint="eastAsia" w:ascii="楷体_GB2312" w:hAnsi="楷体_GB2312" w:eastAsia="楷体_GB2312" w:cs="楷体_GB2312"/>
          <w:b w:val="0"/>
          <w:bCs/>
          <w:kern w:val="2"/>
          <w:highlight w:val="none"/>
          <w:lang w:val="en-US" w:eastAsia="zh-CN" w:bidi="ar-SA"/>
        </w:rPr>
        <w:t>支持标准化建设</w:t>
      </w:r>
    </w:p>
    <w:p>
      <w:pPr>
        <w:rPr>
          <w:rFonts w:hint="eastAsia"/>
          <w:highlight w:val="none"/>
          <w:lang w:val="en-US" w:eastAsia="zh-CN"/>
        </w:rPr>
      </w:pPr>
      <w:r>
        <w:rPr>
          <w:rFonts w:hint="eastAsia"/>
          <w:highlight w:val="none"/>
          <w:lang w:val="en-US" w:eastAsia="zh-CN"/>
        </w:rPr>
        <w:t>支持住宿企业参加星级旅游饭店、精品旅游饭店、绿色旅游饭店、主题酒店等标准化评定。对申报年度新获评四星级旅游饭店、精品旅游饭店的，分别给予最高20万元支持；对新获评银树叶绿色旅游饭店、银羽级主题酒店的，分别给予最高10万元支持。</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highlight w:val="none"/>
          <w:lang w:val="en-US" w:eastAsia="zh-CN" w:bidi="ar-SA"/>
        </w:rPr>
      </w:pPr>
      <w:r>
        <w:rPr>
          <w:rStyle w:val="15"/>
          <w:rFonts w:hint="eastAsia" w:ascii="楷体_GB2312" w:hAnsi="楷体_GB2312" w:eastAsia="楷体_GB2312" w:cs="楷体_GB2312"/>
          <w:b w:val="0"/>
          <w:bCs/>
          <w:kern w:val="2"/>
          <w:highlight w:val="none"/>
          <w:lang w:val="en-US" w:eastAsia="zh-CN" w:bidi="ar-SA"/>
        </w:rPr>
        <w:t>鼓励融合发展</w:t>
      </w:r>
    </w:p>
    <w:p>
      <w:pPr>
        <w:rPr>
          <w:rFonts w:hint="eastAsia"/>
          <w:highlight w:val="none"/>
          <w:lang w:val="en-US" w:eastAsia="zh-CN"/>
        </w:rPr>
      </w:pPr>
      <w:r>
        <w:rPr>
          <w:rFonts w:hint="default"/>
          <w:highlight w:val="none"/>
          <w:lang w:val="en-US" w:eastAsia="zh-CN"/>
        </w:rPr>
        <w:t>支持住宿业与文化、购物、餐饮、景区等业态的融合发展，推动“</w:t>
      </w:r>
      <w:r>
        <w:rPr>
          <w:rFonts w:hint="eastAsia"/>
          <w:highlight w:val="none"/>
          <w:lang w:val="en-US" w:eastAsia="zh-CN"/>
        </w:rPr>
        <w:t>酒店</w:t>
      </w:r>
      <w:r>
        <w:rPr>
          <w:rFonts w:hint="default"/>
          <w:highlight w:val="none"/>
          <w:lang w:val="en-US" w:eastAsia="zh-CN"/>
        </w:rPr>
        <w:t>+门票”“</w:t>
      </w:r>
      <w:r>
        <w:rPr>
          <w:rFonts w:hint="eastAsia"/>
          <w:highlight w:val="none"/>
          <w:lang w:val="en-US" w:eastAsia="zh-CN"/>
        </w:rPr>
        <w:t>酒店</w:t>
      </w:r>
      <w:r>
        <w:rPr>
          <w:rFonts w:hint="default"/>
          <w:highlight w:val="none"/>
          <w:lang w:val="en-US" w:eastAsia="zh-CN"/>
        </w:rPr>
        <w:t>+演艺”“</w:t>
      </w:r>
      <w:r>
        <w:rPr>
          <w:rFonts w:hint="eastAsia"/>
          <w:highlight w:val="none"/>
          <w:lang w:val="en-US" w:eastAsia="zh-CN"/>
        </w:rPr>
        <w:t>酒店</w:t>
      </w:r>
      <w:r>
        <w:rPr>
          <w:rFonts w:hint="default"/>
          <w:highlight w:val="none"/>
          <w:lang w:val="en-US" w:eastAsia="zh-CN"/>
        </w:rPr>
        <w:t>+美食”“</w:t>
      </w:r>
      <w:r>
        <w:rPr>
          <w:rFonts w:hint="eastAsia"/>
          <w:highlight w:val="none"/>
          <w:lang w:val="en-US" w:eastAsia="zh-CN"/>
        </w:rPr>
        <w:t>酒店</w:t>
      </w:r>
      <w:r>
        <w:rPr>
          <w:rFonts w:hint="default"/>
          <w:highlight w:val="none"/>
          <w:lang w:val="en-US" w:eastAsia="zh-CN"/>
        </w:rPr>
        <w:t>+购物”</w:t>
      </w:r>
      <w:r>
        <w:rPr>
          <w:rFonts w:hint="eastAsia"/>
          <w:highlight w:val="none"/>
          <w:lang w:val="en-US" w:eastAsia="zh-CN"/>
        </w:rPr>
        <w:t>“酒店+体育赛事”</w:t>
      </w:r>
      <w:r>
        <w:rPr>
          <w:rFonts w:hint="default"/>
          <w:highlight w:val="none"/>
          <w:lang w:val="en-US" w:eastAsia="zh-CN"/>
        </w:rPr>
        <w:t>等联动销售。鼓励住宿业与文化机构、文旅企业等加强合作，创新发展一批“</w:t>
      </w:r>
      <w:r>
        <w:rPr>
          <w:rFonts w:hint="eastAsia"/>
          <w:highlight w:val="none"/>
          <w:lang w:val="en-US" w:eastAsia="zh-CN"/>
        </w:rPr>
        <w:t>酒店</w:t>
      </w:r>
      <w:r>
        <w:rPr>
          <w:rFonts w:hint="default"/>
          <w:highlight w:val="none"/>
          <w:lang w:val="en-US" w:eastAsia="zh-CN"/>
        </w:rPr>
        <w:t>+国学”“</w:t>
      </w:r>
      <w:r>
        <w:rPr>
          <w:rFonts w:hint="eastAsia"/>
          <w:highlight w:val="none"/>
          <w:lang w:val="en-US" w:eastAsia="zh-CN"/>
        </w:rPr>
        <w:t>酒店</w:t>
      </w:r>
      <w:r>
        <w:rPr>
          <w:rFonts w:hint="default"/>
          <w:highlight w:val="none"/>
          <w:lang w:val="en-US" w:eastAsia="zh-CN"/>
        </w:rPr>
        <w:t>+微演艺”“</w:t>
      </w:r>
      <w:r>
        <w:rPr>
          <w:rFonts w:hint="eastAsia"/>
          <w:highlight w:val="none"/>
          <w:lang w:val="en-US" w:eastAsia="zh-CN"/>
        </w:rPr>
        <w:t>酒店</w:t>
      </w:r>
      <w:r>
        <w:rPr>
          <w:rFonts w:hint="default"/>
          <w:highlight w:val="none"/>
          <w:lang w:val="en-US" w:eastAsia="zh-CN"/>
        </w:rPr>
        <w:t>+</w:t>
      </w:r>
      <w:r>
        <w:rPr>
          <w:rFonts w:hint="eastAsia"/>
          <w:highlight w:val="none"/>
          <w:lang w:val="en-US" w:eastAsia="zh-CN"/>
        </w:rPr>
        <w:t>文创</w:t>
      </w:r>
      <w:r>
        <w:rPr>
          <w:rFonts w:hint="default"/>
          <w:highlight w:val="none"/>
          <w:lang w:val="en-US" w:eastAsia="zh-CN"/>
        </w:rPr>
        <w:t>”“</w:t>
      </w:r>
      <w:r>
        <w:rPr>
          <w:rFonts w:hint="eastAsia"/>
          <w:highlight w:val="none"/>
          <w:lang w:val="en-US" w:eastAsia="zh-CN"/>
        </w:rPr>
        <w:t>酒店</w:t>
      </w:r>
      <w:r>
        <w:rPr>
          <w:rFonts w:hint="default"/>
          <w:highlight w:val="none"/>
          <w:lang w:val="en-US" w:eastAsia="zh-CN"/>
        </w:rPr>
        <w:t>+文化”等主题特色酒店，丰富酒店</w:t>
      </w:r>
      <w:r>
        <w:rPr>
          <w:rFonts w:hint="eastAsia"/>
          <w:highlight w:val="none"/>
          <w:lang w:val="en-US" w:eastAsia="zh-CN"/>
        </w:rPr>
        <w:t>消费场景</w:t>
      </w:r>
      <w:r>
        <w:rPr>
          <w:rFonts w:hint="default"/>
          <w:highlight w:val="none"/>
          <w:lang w:val="en-US" w:eastAsia="zh-CN"/>
        </w:rPr>
        <w:t>，逐步形成差异化住宿市场格局。</w:t>
      </w:r>
      <w:r>
        <w:rPr>
          <w:rFonts w:hint="eastAsia"/>
          <w:lang w:val="en-US" w:eastAsia="zh-CN"/>
        </w:rPr>
        <w:t>经认定，按联动销售产品或融合消费场景营收额的5%给予补贴，单项产品补贴费用不超过10万元，每个主体单位年度奖励金额不超过50万元。</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default"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鼓励</w:t>
      </w:r>
      <w:r>
        <w:rPr>
          <w:rStyle w:val="15"/>
          <w:rFonts w:hint="default" w:ascii="楷体_GB2312" w:hAnsi="楷体_GB2312" w:eastAsia="楷体_GB2312" w:cs="楷体_GB2312"/>
          <w:b w:val="0"/>
          <w:bCs/>
          <w:kern w:val="2"/>
          <w:lang w:val="en-US" w:eastAsia="zh-CN" w:bidi="ar-SA"/>
        </w:rPr>
        <w:t>创新营销</w:t>
      </w:r>
    </w:p>
    <w:p>
      <w:pPr>
        <w:pStyle w:val="2"/>
        <w:ind w:left="0" w:firstLine="640"/>
        <w:rPr>
          <w:rStyle w:val="12"/>
          <w:rFonts w:hint="default"/>
          <w:b w:val="0"/>
          <w:bCs/>
        </w:rPr>
      </w:pPr>
      <w:r>
        <w:rPr>
          <w:rStyle w:val="12"/>
          <w:rFonts w:hint="eastAsia" w:ascii="仿宋_GB2312" w:hAnsi="仿宋_GB2312"/>
          <w:b w:val="0"/>
          <w:bCs/>
        </w:rPr>
        <w:t>支持</w:t>
      </w:r>
      <w:r>
        <w:rPr>
          <w:rStyle w:val="12"/>
          <w:rFonts w:hint="eastAsia" w:ascii="仿宋_GB2312" w:hAnsi="仿宋_GB2312" w:eastAsia="仿宋_GB2312"/>
          <w:b w:val="0"/>
          <w:bCs/>
          <w:lang w:eastAsia="zh-CN"/>
        </w:rPr>
        <w:t>规模酒店</w:t>
      </w:r>
      <w:r>
        <w:rPr>
          <w:rStyle w:val="12"/>
          <w:rFonts w:hint="eastAsia" w:ascii="仿宋_GB2312" w:hAnsi="仿宋_GB2312"/>
          <w:b w:val="0"/>
          <w:bCs/>
        </w:rPr>
        <w:t>经营主体利用新媒体平台（如抖音、小红书、视频号等）、专业旅游OTA平台等开展创新营销推广活动，提升品牌知名度和市场影响力。按营销推广年度实际发生费用的10%给予补贴，单个经营主体每年补贴最高不超过10万元</w:t>
      </w:r>
      <w:r>
        <w:rPr>
          <w:rStyle w:val="12"/>
          <w:rFonts w:hint="default"/>
          <w:b w:val="0"/>
          <w:bCs/>
        </w:rPr>
        <w:t>。</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highlight w:val="none"/>
          <w:lang w:val="en-US" w:eastAsia="zh-CN" w:bidi="ar-SA"/>
        </w:rPr>
      </w:pPr>
      <w:r>
        <w:rPr>
          <w:rStyle w:val="15"/>
          <w:rFonts w:hint="eastAsia" w:ascii="楷体_GB2312" w:hAnsi="楷体_GB2312" w:eastAsia="楷体_GB2312" w:cs="楷体_GB2312"/>
          <w:b w:val="0"/>
          <w:bCs/>
          <w:kern w:val="2"/>
          <w:highlight w:val="none"/>
          <w:lang w:val="en-US" w:eastAsia="zh-CN" w:bidi="ar-SA"/>
        </w:rPr>
        <w:t>强化美食赋能</w:t>
      </w:r>
    </w:p>
    <w:p>
      <w:pPr>
        <w:pStyle w:val="2"/>
        <w:ind w:left="0" w:firstLine="640"/>
        <w:rPr>
          <w:rStyle w:val="12"/>
          <w:rFonts w:hint="eastAsia" w:ascii="仿宋_GB2312" w:hAnsi="仿宋_GB2312" w:cs="Times New Roman"/>
          <w:b w:val="0"/>
          <w:bCs/>
          <w:lang w:val="en-US" w:eastAsia="zh-CN"/>
        </w:rPr>
      </w:pPr>
      <w:r>
        <w:rPr>
          <w:rStyle w:val="12"/>
          <w:rFonts w:hint="eastAsia" w:ascii="仿宋_GB2312" w:hAnsi="仿宋_GB2312" w:cs="Times New Roman"/>
          <w:b w:val="0"/>
          <w:bCs/>
          <w:lang w:val="en-US" w:eastAsia="zh-CN"/>
        </w:rPr>
        <w:t>鼓励酒店经营主体积极参加国内外权威餐饮公共评价体系，包括但不限于“米其林”“黑珍珠”“金梧桐”等。对入选“米其林”“黑珍珠”“金梧桐”等星（钻）级榜单的我区酒店，每家一次性奖励5万元；对入选企业星（钻）级别再提升的，每提升一级再给予3万元奖励。</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default"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加快数字化转型</w:t>
      </w:r>
    </w:p>
    <w:p>
      <w:pPr>
        <w:pStyle w:val="2"/>
        <w:ind w:left="0" w:firstLine="640"/>
        <w:rPr>
          <w:rStyle w:val="12"/>
          <w:rFonts w:hint="default" w:ascii="仿宋_GB2312" w:hAnsi="仿宋_GB2312" w:cs="Times New Roman"/>
          <w:b w:val="0"/>
          <w:bCs/>
          <w:lang w:val="en-US" w:eastAsia="zh-CN"/>
        </w:rPr>
      </w:pPr>
      <w:r>
        <w:rPr>
          <w:rStyle w:val="12"/>
          <w:rFonts w:hint="default" w:ascii="仿宋_GB2312" w:hAnsi="仿宋_GB2312" w:cs="Times New Roman"/>
          <w:b w:val="0"/>
          <w:bCs/>
          <w:lang w:val="en-US" w:eastAsia="zh-CN"/>
        </w:rPr>
        <w:t>鼓励住宿企业加快数字化转型提升，充分运用人工智能、物联网、大数据、VR等新技术，改造建设零接触、低接触式服务型酒店，提升酒店管理效率和管理水平，增强住宿科技体验感。对完成数字建设或改造提升的酒店，按其数字化新增投入资金的10%予以一次性奖励，单家酒店最高奖励不超过30万元。</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支持引入大型专业会议</w:t>
      </w:r>
    </w:p>
    <w:p>
      <w:pPr>
        <w:pStyle w:val="2"/>
        <w:ind w:left="0" w:firstLine="640"/>
        <w:rPr>
          <w:rStyle w:val="12"/>
          <w:rFonts w:hint="eastAsia" w:ascii="仿宋_GB2312" w:hAnsi="仿宋_GB2312" w:cs="Times New Roman"/>
          <w:b w:val="0"/>
          <w:bCs/>
          <w:lang w:val="en-US" w:eastAsia="zh-CN"/>
        </w:rPr>
      </w:pPr>
      <w:r>
        <w:rPr>
          <w:rStyle w:val="12"/>
          <w:rFonts w:hint="eastAsia" w:ascii="仿宋_GB2312" w:hAnsi="仿宋_GB2312" w:cs="Times New Roman"/>
          <w:b w:val="0"/>
          <w:bCs/>
          <w:lang w:val="en-US" w:eastAsia="zh-CN"/>
        </w:rPr>
        <w:t>支持住宿企业引入经济、科技、教育、社科、国际交流等领域，且由企业（机构）自筹资金市场化在京举办的国内外大型专业会议、展览（不含本区财政资金支持举办的会议）。对申报年度引入承接上述大型专业会议的住宿企业（单次会议人数不少于400人），且会务活动收入（包括会议费、租赁费、住宿和餐饮费）超过20万元，经认定，每场次给予3%的补贴，一年内多次承接达到上述要求会议的，最高奖励20万元。对于连续承接两届行业龙头企业峰会或引入具有重大国际国内影响力品牌展会的酒店，额外奖励20万元。</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支持拓展入境客源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支持住宿企业加强国际市场营销，拓展入境客源。</w:t>
      </w:r>
    </w:p>
    <w:p>
      <w:pPr>
        <w:jc w:val="left"/>
        <w:rPr>
          <w:rStyle w:val="12"/>
          <w:rFonts w:hint="eastAsia" w:ascii="仿宋_GB2312" w:hAnsi="仿宋_GB2312" w:eastAsia="仿宋_GB2312" w:cs="仿宋_GB2312"/>
          <w:b w:val="0"/>
          <w:kern w:val="2"/>
          <w:szCs w:val="24"/>
          <w:highlight w:val="none"/>
          <w:lang w:val="en-US" w:eastAsia="zh-CN" w:bidi="ar"/>
        </w:rPr>
      </w:pPr>
      <w:r>
        <w:rPr>
          <w:rStyle w:val="12"/>
          <w:rFonts w:hint="eastAsia" w:ascii="仿宋_GB2312" w:hAnsi="仿宋_GB2312" w:eastAsia="仿宋_GB2312" w:cs="仿宋_GB2312"/>
          <w:b w:val="0"/>
          <w:kern w:val="2"/>
          <w:szCs w:val="24"/>
          <w:highlight w:val="none"/>
          <w:lang w:val="en-US" w:eastAsia="zh-CN" w:bidi="ar"/>
        </w:rPr>
        <w:t>1、对申报年度接待入境过夜游客数全区排名前10名的住宿企业给予支持，其中排名前5名</w:t>
      </w:r>
      <w:r>
        <w:rPr>
          <w:rStyle w:val="12"/>
          <w:rFonts w:hint="eastAsia" w:cs="仿宋_GB2312"/>
          <w:b w:val="0"/>
          <w:kern w:val="2"/>
          <w:szCs w:val="24"/>
          <w:highlight w:val="none"/>
          <w:lang w:val="en-US" w:eastAsia="zh-CN" w:bidi="ar"/>
        </w:rPr>
        <w:t>，</w:t>
      </w:r>
      <w:r>
        <w:rPr>
          <w:rFonts w:hint="eastAsia" w:ascii="仿宋_GB2312" w:hAnsi="仿宋_GB2312" w:eastAsia="仿宋_GB2312" w:cs="仿宋_GB2312"/>
          <w:color w:val="auto"/>
          <w:kern w:val="2"/>
          <w:sz w:val="32"/>
          <w:szCs w:val="32"/>
          <w:lang w:val="en-US" w:eastAsia="zh-CN" w:bidi="ar-SA"/>
        </w:rPr>
        <w:t>按实际留宿规模给予每人次20元补贴，</w:t>
      </w:r>
      <w:r>
        <w:rPr>
          <w:rStyle w:val="12"/>
          <w:rFonts w:hint="eastAsia" w:ascii="仿宋_GB2312" w:hAnsi="仿宋_GB2312" w:eastAsia="仿宋_GB2312" w:cs="仿宋_GB2312"/>
          <w:b w:val="0"/>
          <w:kern w:val="2"/>
          <w:szCs w:val="24"/>
          <w:highlight w:val="none"/>
          <w:lang w:val="en-US" w:eastAsia="zh-CN" w:bidi="ar"/>
        </w:rPr>
        <w:t>每家给予最高</w:t>
      </w:r>
      <w:r>
        <w:rPr>
          <w:rStyle w:val="12"/>
          <w:rFonts w:hint="eastAsia" w:ascii="仿宋_GB2312" w:hAnsi="仿宋_GB2312" w:cs="仿宋_GB2312"/>
          <w:b w:val="0"/>
          <w:color w:val="auto"/>
          <w:kern w:val="2"/>
          <w:szCs w:val="32"/>
          <w:highlight w:val="none"/>
          <w:lang w:val="en-US" w:eastAsia="zh-CN" w:bidi="ar-SA"/>
        </w:rPr>
        <w:t>20</w:t>
      </w:r>
      <w:r>
        <w:rPr>
          <w:rStyle w:val="12"/>
          <w:rFonts w:hint="eastAsia" w:ascii="仿宋_GB2312" w:hAnsi="仿宋_GB2312" w:eastAsia="仿宋_GB2312" w:cs="仿宋_GB2312"/>
          <w:b w:val="0"/>
          <w:kern w:val="2"/>
          <w:szCs w:val="24"/>
          <w:highlight w:val="none"/>
          <w:lang w:val="en-US" w:eastAsia="zh-CN" w:bidi="ar"/>
        </w:rPr>
        <w:t>万元支持，排名第6—10名之间的</w:t>
      </w:r>
      <w:r>
        <w:rPr>
          <w:rStyle w:val="12"/>
          <w:rFonts w:hint="eastAsia" w:cs="仿宋_GB2312"/>
          <w:b w:val="0"/>
          <w:kern w:val="2"/>
          <w:szCs w:val="24"/>
          <w:highlight w:val="none"/>
          <w:lang w:val="en-US" w:eastAsia="zh-CN" w:bidi="ar"/>
        </w:rPr>
        <w:t>，</w:t>
      </w:r>
      <w:r>
        <w:rPr>
          <w:rFonts w:hint="eastAsia" w:ascii="仿宋_GB2312" w:hAnsi="仿宋_GB2312" w:eastAsia="仿宋_GB2312" w:cs="仿宋_GB2312"/>
          <w:color w:val="auto"/>
          <w:kern w:val="2"/>
          <w:sz w:val="32"/>
          <w:szCs w:val="32"/>
          <w:lang w:val="en-US" w:eastAsia="zh-CN" w:bidi="ar-SA"/>
        </w:rPr>
        <w:t>按实际留宿规模给予每人次</w:t>
      </w:r>
      <w:r>
        <w:rPr>
          <w:rFonts w:hint="eastAsia" w:cs="仿宋_GB2312"/>
          <w:color w:val="auto"/>
          <w:kern w:val="2"/>
          <w:sz w:val="32"/>
          <w:szCs w:val="32"/>
          <w:lang w:val="en-US" w:eastAsia="zh-CN" w:bidi="ar-SA"/>
        </w:rPr>
        <w:t>15</w:t>
      </w:r>
      <w:r>
        <w:rPr>
          <w:rFonts w:hint="eastAsia" w:ascii="仿宋_GB2312" w:hAnsi="仿宋_GB2312" w:eastAsia="仿宋_GB2312" w:cs="仿宋_GB2312"/>
          <w:color w:val="auto"/>
          <w:kern w:val="2"/>
          <w:sz w:val="32"/>
          <w:szCs w:val="32"/>
          <w:lang w:val="en-US" w:eastAsia="zh-CN" w:bidi="ar-SA"/>
        </w:rPr>
        <w:t>元补贴，</w:t>
      </w:r>
      <w:r>
        <w:rPr>
          <w:rStyle w:val="12"/>
          <w:rFonts w:hint="eastAsia" w:ascii="仿宋_GB2312" w:hAnsi="仿宋_GB2312" w:eastAsia="仿宋_GB2312" w:cs="仿宋_GB2312"/>
          <w:b w:val="0"/>
          <w:kern w:val="2"/>
          <w:szCs w:val="24"/>
          <w:highlight w:val="none"/>
          <w:lang w:val="en-US" w:eastAsia="zh-CN" w:bidi="ar"/>
        </w:rPr>
        <w:t>每家给予最高</w:t>
      </w:r>
      <w:r>
        <w:rPr>
          <w:rStyle w:val="12"/>
          <w:rFonts w:hint="eastAsia" w:ascii="仿宋_GB2312" w:hAnsi="仿宋_GB2312" w:cs="仿宋_GB2312"/>
          <w:b w:val="0"/>
          <w:color w:val="auto"/>
          <w:kern w:val="2"/>
          <w:szCs w:val="32"/>
          <w:highlight w:val="none"/>
          <w:lang w:val="en-US" w:eastAsia="zh-CN" w:bidi="ar-SA"/>
        </w:rPr>
        <w:t>10</w:t>
      </w:r>
      <w:r>
        <w:rPr>
          <w:rStyle w:val="12"/>
          <w:rFonts w:hint="eastAsia" w:ascii="仿宋_GB2312" w:hAnsi="仿宋_GB2312" w:eastAsia="仿宋_GB2312" w:cs="仿宋_GB2312"/>
          <w:b w:val="0"/>
          <w:kern w:val="2"/>
          <w:szCs w:val="24"/>
          <w:highlight w:val="none"/>
          <w:lang w:val="en-US" w:eastAsia="zh-CN" w:bidi="ar"/>
        </w:rPr>
        <w:t>万元支持。</w:t>
      </w:r>
    </w:p>
    <w:p>
      <w:pPr>
        <w:jc w:val="left"/>
        <w:rPr>
          <w:rStyle w:val="12"/>
          <w:rFonts w:hint="eastAsia" w:ascii="仿宋_GB2312" w:hAnsi="仿宋_GB2312" w:eastAsia="仿宋_GB2312" w:cs="仿宋_GB2312"/>
          <w:b w:val="0"/>
          <w:kern w:val="2"/>
          <w:szCs w:val="24"/>
          <w:highlight w:val="none"/>
          <w:lang w:val="en-US" w:eastAsia="zh-CN" w:bidi="ar"/>
        </w:rPr>
      </w:pPr>
      <w:r>
        <w:rPr>
          <w:rStyle w:val="12"/>
          <w:rFonts w:hint="eastAsia" w:ascii="仿宋_GB2312" w:hAnsi="仿宋_GB2312" w:eastAsia="仿宋_GB2312" w:cs="仿宋_GB2312"/>
          <w:b w:val="0"/>
          <w:kern w:val="2"/>
          <w:szCs w:val="24"/>
          <w:highlight w:val="none"/>
          <w:lang w:val="en-US" w:eastAsia="zh-CN" w:bidi="ar"/>
        </w:rPr>
        <w:t>2、对申报年度接待入境过夜游客数同比增量（绝对数量）全区排名前10名，且接待入境过夜游客数在500人次及以上的住宿企业给予支持，</w:t>
      </w:r>
      <w:r>
        <w:rPr>
          <w:rFonts w:hint="eastAsia" w:ascii="仿宋_GB2312" w:hAnsi="仿宋_GB2312" w:eastAsia="仿宋_GB2312" w:cs="仿宋_GB2312"/>
          <w:color w:val="auto"/>
          <w:kern w:val="2"/>
          <w:sz w:val="32"/>
          <w:szCs w:val="32"/>
          <w:lang w:val="en-US" w:eastAsia="zh-CN" w:bidi="ar-SA"/>
        </w:rPr>
        <w:t>按实际留宿规模给予每人次20元补贴，</w:t>
      </w:r>
      <w:r>
        <w:rPr>
          <w:rStyle w:val="12"/>
          <w:rFonts w:hint="eastAsia" w:ascii="仿宋_GB2312" w:hAnsi="仿宋_GB2312" w:eastAsia="仿宋_GB2312" w:cs="仿宋_GB2312"/>
          <w:b w:val="0"/>
          <w:kern w:val="2"/>
          <w:szCs w:val="24"/>
          <w:highlight w:val="none"/>
          <w:lang w:val="en-US" w:eastAsia="zh-CN" w:bidi="ar"/>
        </w:rPr>
        <w:t>每家给予最高</w:t>
      </w:r>
      <w:r>
        <w:rPr>
          <w:rFonts w:hint="eastAsia" w:ascii="仿宋_GB2312" w:hAnsi="仿宋_GB2312" w:cs="仿宋_GB2312"/>
          <w:b w:val="0"/>
          <w:color w:val="auto"/>
          <w:kern w:val="2"/>
          <w:szCs w:val="32"/>
          <w:lang w:val="en-US" w:eastAsia="zh-CN" w:bidi="ar-SA"/>
        </w:rPr>
        <w:t>10</w:t>
      </w:r>
      <w:r>
        <w:rPr>
          <w:rStyle w:val="12"/>
          <w:rFonts w:hint="eastAsia" w:ascii="仿宋_GB2312" w:hAnsi="仿宋_GB2312" w:eastAsia="仿宋_GB2312" w:cs="仿宋_GB2312"/>
          <w:b w:val="0"/>
          <w:kern w:val="2"/>
          <w:szCs w:val="24"/>
          <w:highlight w:val="none"/>
          <w:lang w:val="en-US" w:eastAsia="zh-CN" w:bidi="ar"/>
        </w:rPr>
        <w:t>万元支持。</w:t>
      </w:r>
    </w:p>
    <w:p>
      <w:pPr>
        <w:keepNext w:val="0"/>
        <w:keepLines w:val="0"/>
        <w:pageBreakBefore w:val="0"/>
        <w:widowControl w:val="0"/>
        <w:numPr>
          <w:ilvl w:val="0"/>
          <w:numId w:val="1"/>
        </w:numPr>
        <w:kinsoku/>
        <w:wordWrap/>
        <w:overflowPunct/>
        <w:topLinePunct w:val="0"/>
        <w:autoSpaceDE/>
        <w:autoSpaceDN w:val="0"/>
        <w:bidi w:val="0"/>
        <w:adjustRightInd/>
        <w:snapToGrid/>
        <w:ind w:left="0" w:leftChars="0" w:firstLine="420" w:firstLineChars="0"/>
        <w:textAlignment w:val="auto"/>
        <w:outlineLvl w:val="1"/>
        <w:rPr>
          <w:rStyle w:val="15"/>
          <w:rFonts w:hint="eastAsia" w:ascii="楷体_GB2312" w:hAnsi="楷体_GB2312" w:eastAsia="楷体_GB2312" w:cs="楷体_GB2312"/>
          <w:b w:val="0"/>
          <w:bCs/>
          <w:kern w:val="2"/>
          <w:lang w:val="en-US" w:eastAsia="zh-CN" w:bidi="ar-SA"/>
        </w:rPr>
      </w:pPr>
      <w:r>
        <w:rPr>
          <w:rStyle w:val="15"/>
          <w:rFonts w:hint="eastAsia" w:ascii="楷体_GB2312" w:hAnsi="楷体_GB2312" w:eastAsia="楷体_GB2312" w:cs="楷体_GB2312"/>
          <w:b w:val="0"/>
          <w:bCs/>
          <w:kern w:val="2"/>
          <w:lang w:val="en-US" w:eastAsia="zh-CN" w:bidi="ar-SA"/>
        </w:rPr>
        <w:t>支持行业协会带动酒店提质升级</w:t>
      </w:r>
    </w:p>
    <w:p>
      <w:pPr>
        <w:keepNext w:val="0"/>
        <w:keepLines w:val="0"/>
        <w:pageBreakBefore w:val="0"/>
        <w:widowControl w:val="0"/>
        <w:numPr>
          <w:ilvl w:val="0"/>
          <w:numId w:val="0"/>
        </w:numPr>
        <w:kinsoku/>
        <w:wordWrap/>
        <w:overflowPunct/>
        <w:topLinePunct w:val="0"/>
        <w:autoSpaceDE/>
        <w:autoSpaceDN w:val="0"/>
        <w:bidi w:val="0"/>
        <w:adjustRightInd/>
        <w:snapToGrid/>
        <w:ind w:left="0" w:leftChars="0" w:firstLine="640" w:firstLineChars="200"/>
        <w:textAlignment w:val="auto"/>
        <w:outlineLvl w:val="2"/>
        <w:rPr>
          <w:rStyle w:val="12"/>
          <w:rFonts w:hint="eastAsia" w:ascii="仿宋_GB2312" w:hAnsi="仿宋_GB2312" w:eastAsia="仿宋_GB2312" w:cs="仿宋_GB2312"/>
          <w:b w:val="0"/>
          <w:bCs w:val="0"/>
          <w:kern w:val="2"/>
          <w:szCs w:val="24"/>
          <w:lang w:val="en-US" w:eastAsia="zh-CN" w:bidi="ar"/>
        </w:rPr>
      </w:pPr>
      <w:r>
        <w:rPr>
          <w:rStyle w:val="12"/>
          <w:rFonts w:hint="eastAsia" w:ascii="仿宋_GB2312" w:hAnsi="仿宋_GB2312" w:eastAsia="仿宋_GB2312" w:cs="仿宋_GB2312"/>
          <w:b w:val="0"/>
          <w:bCs w:val="0"/>
          <w:kern w:val="2"/>
          <w:szCs w:val="24"/>
          <w:lang w:val="en-US" w:eastAsia="zh-CN" w:bidi="ar"/>
        </w:rPr>
        <w:t>1、鼓励企业升规纳统</w:t>
      </w:r>
    </w:p>
    <w:p>
      <w:pPr>
        <w:rPr>
          <w:rStyle w:val="12"/>
          <w:rFonts w:hint="eastAsia" w:ascii="仿宋_GB2312" w:hAnsi="仿宋_GB2312" w:eastAsia="仿宋_GB2312" w:cs="仿宋_GB2312"/>
          <w:b w:val="0"/>
          <w:kern w:val="2"/>
          <w:szCs w:val="24"/>
          <w:highlight w:val="none"/>
          <w:lang w:val="en-US" w:eastAsia="zh-CN" w:bidi="ar"/>
        </w:rPr>
      </w:pPr>
      <w:r>
        <w:rPr>
          <w:rStyle w:val="12"/>
          <w:rFonts w:hint="eastAsia" w:ascii="仿宋_GB2312" w:hAnsi="仿宋_GB2312" w:cs="仿宋_GB2312"/>
          <w:b w:val="0"/>
          <w:kern w:val="2"/>
          <w:szCs w:val="24"/>
          <w:highlight w:val="none"/>
          <w:lang w:val="en-US" w:eastAsia="zh-CN" w:bidi="ar"/>
        </w:rPr>
        <w:t>支持行业协会开展升规纳统专项培育，通过政策宣讲、点对点辅导、经验交流等形式，引导符合条件的住宿企业主动申请纳</w:t>
      </w:r>
      <w:r>
        <w:rPr>
          <w:rStyle w:val="12"/>
          <w:rFonts w:hint="eastAsia" w:ascii="仿宋_GB2312" w:hAnsi="仿宋_GB2312" w:eastAsia="仿宋_GB2312" w:cs="仿宋_GB2312"/>
          <w:b w:val="0"/>
          <w:kern w:val="2"/>
          <w:szCs w:val="24"/>
          <w:highlight w:val="none"/>
          <w:lang w:val="en-US" w:eastAsia="zh-CN" w:bidi="ar"/>
        </w:rPr>
        <w:t>入规模以上企业统计范围。对年内成功升规纳统的酒店总营业额增量（年度主营业务）达到5000万元、1亿元及以上，分别给予协会一次性50万元、100万元奖励。</w:t>
      </w:r>
    </w:p>
    <w:p>
      <w:pPr>
        <w:keepNext w:val="0"/>
        <w:keepLines w:val="0"/>
        <w:pageBreakBefore w:val="0"/>
        <w:widowControl w:val="0"/>
        <w:numPr>
          <w:ilvl w:val="0"/>
          <w:numId w:val="0"/>
        </w:numPr>
        <w:kinsoku/>
        <w:wordWrap/>
        <w:overflowPunct/>
        <w:topLinePunct w:val="0"/>
        <w:autoSpaceDE/>
        <w:autoSpaceDN w:val="0"/>
        <w:bidi w:val="0"/>
        <w:adjustRightInd/>
        <w:snapToGrid/>
        <w:ind w:left="0" w:leftChars="0" w:firstLine="640" w:firstLineChars="200"/>
        <w:textAlignment w:val="auto"/>
        <w:outlineLvl w:val="2"/>
        <w:rPr>
          <w:rStyle w:val="12"/>
          <w:rFonts w:hint="default" w:ascii="仿宋_GB2312" w:hAnsi="仿宋_GB2312" w:eastAsia="仿宋_GB2312" w:cs="仿宋_GB2312"/>
          <w:b w:val="0"/>
          <w:bCs w:val="0"/>
          <w:kern w:val="2"/>
          <w:szCs w:val="24"/>
          <w:lang w:val="en-US" w:eastAsia="zh-CN" w:bidi="ar"/>
        </w:rPr>
      </w:pPr>
      <w:r>
        <w:rPr>
          <w:rStyle w:val="12"/>
          <w:rFonts w:hint="eastAsia" w:ascii="仿宋_GB2312" w:hAnsi="仿宋_GB2312" w:eastAsia="仿宋_GB2312" w:cs="仿宋_GB2312"/>
          <w:b w:val="0"/>
          <w:bCs w:val="0"/>
          <w:kern w:val="2"/>
          <w:szCs w:val="24"/>
          <w:lang w:val="en-US" w:eastAsia="zh-CN" w:bidi="ar"/>
        </w:rPr>
        <w:t>2、</w:t>
      </w:r>
      <w:r>
        <w:rPr>
          <w:rStyle w:val="12"/>
          <w:rFonts w:hint="eastAsia" w:cs="仿宋_GB2312"/>
          <w:b w:val="0"/>
          <w:bCs w:val="0"/>
          <w:kern w:val="2"/>
          <w:szCs w:val="24"/>
          <w:lang w:val="en-US" w:eastAsia="zh-CN" w:bidi="ar"/>
        </w:rPr>
        <w:t>鼓励行业提质发展</w:t>
      </w:r>
    </w:p>
    <w:p>
      <w:pPr>
        <w:rPr>
          <w:rStyle w:val="12"/>
          <w:rFonts w:hint="default" w:ascii="仿宋_GB2312" w:hAnsi="仿宋_GB2312" w:cs="仿宋_GB2312"/>
          <w:b w:val="0"/>
          <w:kern w:val="2"/>
          <w:szCs w:val="24"/>
          <w:highlight w:val="none"/>
          <w:lang w:val="en-US" w:eastAsia="zh-CN" w:bidi="ar"/>
        </w:rPr>
      </w:pPr>
      <w:r>
        <w:rPr>
          <w:rStyle w:val="12"/>
          <w:rFonts w:hint="eastAsia" w:ascii="仿宋_GB2312" w:hAnsi="仿宋_GB2312" w:cs="仿宋_GB2312"/>
          <w:b w:val="0"/>
          <w:kern w:val="2"/>
          <w:szCs w:val="24"/>
          <w:highlight w:val="none"/>
          <w:lang w:val="en-US" w:eastAsia="zh-CN" w:bidi="ar"/>
        </w:rPr>
        <w:t>鼓励行业协会发挥资源、平台优势，举办符合丰台区产业发展导向的有影响力活动，推动消费促进、外资外贸、高端商务等企业提质发展，对行业协会举办的具有吸引游客、促进住宿消费作用的特色旅游文化活动，按照实际支出费用的20%给予扶持，对贡献突出的行业协会等给予最高50万元资金支持。</w:t>
      </w:r>
    </w:p>
    <w:p>
      <w:pPr>
        <w:keepNext w:val="0"/>
        <w:keepLines w:val="0"/>
        <w:pageBreakBefore w:val="0"/>
        <w:widowControl w:val="0"/>
        <w:numPr>
          <w:ilvl w:val="0"/>
          <w:numId w:val="0"/>
        </w:numPr>
        <w:kinsoku/>
        <w:wordWrap/>
        <w:overflowPunct/>
        <w:topLinePunct w:val="0"/>
        <w:autoSpaceDE/>
        <w:autoSpaceDN w:val="0"/>
        <w:bidi w:val="0"/>
        <w:adjustRightInd/>
        <w:snapToGrid/>
        <w:ind w:left="0" w:leftChars="0" w:firstLine="640" w:firstLineChars="200"/>
        <w:textAlignment w:val="auto"/>
        <w:outlineLvl w:val="2"/>
        <w:rPr>
          <w:rStyle w:val="12"/>
          <w:rFonts w:hint="eastAsia" w:ascii="仿宋_GB2312" w:hAnsi="仿宋_GB2312" w:eastAsia="仿宋_GB2312" w:cs="仿宋_GB2312"/>
          <w:b w:val="0"/>
          <w:bCs w:val="0"/>
          <w:kern w:val="2"/>
          <w:szCs w:val="24"/>
          <w:lang w:val="en-US" w:eastAsia="zh-CN" w:bidi="ar"/>
        </w:rPr>
      </w:pPr>
      <w:r>
        <w:rPr>
          <w:rStyle w:val="12"/>
          <w:rFonts w:hint="eastAsia" w:cs="仿宋_GB2312"/>
          <w:b w:val="0"/>
          <w:bCs w:val="0"/>
          <w:kern w:val="2"/>
          <w:szCs w:val="24"/>
          <w:lang w:val="en-US" w:eastAsia="zh-CN" w:bidi="ar"/>
        </w:rPr>
        <w:t>3</w:t>
      </w:r>
      <w:r>
        <w:rPr>
          <w:rStyle w:val="12"/>
          <w:rFonts w:hint="eastAsia" w:ascii="仿宋_GB2312" w:hAnsi="仿宋_GB2312" w:eastAsia="仿宋_GB2312" w:cs="仿宋_GB2312"/>
          <w:b w:val="0"/>
          <w:bCs w:val="0"/>
          <w:kern w:val="2"/>
          <w:szCs w:val="24"/>
          <w:lang w:val="en-US" w:eastAsia="zh-CN" w:bidi="ar"/>
        </w:rPr>
        <w:t>、鼓励人才培养</w:t>
      </w:r>
    </w:p>
    <w:p>
      <w:pPr>
        <w:pStyle w:val="2"/>
        <w:ind w:left="0" w:firstLine="640"/>
        <w:rPr>
          <w:rStyle w:val="12"/>
          <w:rFonts w:hint="eastAsia" w:ascii="仿宋_GB2312" w:hAnsi="仿宋_GB2312" w:eastAsia="仿宋_GB2312" w:cs="仿宋_GB2312"/>
          <w:b w:val="0"/>
          <w:lang w:val="en-US" w:eastAsia="zh-CN" w:bidi="ar"/>
        </w:rPr>
      </w:pPr>
      <w:r>
        <w:rPr>
          <w:rStyle w:val="12"/>
          <w:rFonts w:hint="eastAsia" w:ascii="仿宋_GB2312" w:hAnsi="仿宋_GB2312" w:eastAsia="仿宋_GB2312" w:cs="仿宋_GB2312"/>
          <w:b w:val="0"/>
          <w:lang w:val="en-US" w:eastAsia="zh-CN" w:bidi="ar"/>
        </w:rPr>
        <w:t>鼓励酒店培养职业人才，对员工获得行业内全国星级旅游饭店服务技能竞赛奖励的企业，根据奖项设置，给予企业一等奖奖励6万元，二等奖奖励3万元，三等奖奖励2万元。对员工获得北京市酒店从业人员服务技能大赛奖励的企业，给予企业一等奖奖励3万元，二等奖奖励2万元，三等奖奖励1万元。</w:t>
      </w:r>
    </w:p>
    <w:p>
      <w:pPr>
        <w:pStyle w:val="3"/>
        <w:widowControl/>
        <w:rPr>
          <w:rFonts w:hint="eastAsia" w:eastAsia="宋体"/>
          <w:sz w:val="32"/>
          <w:szCs w:val="32"/>
        </w:rPr>
      </w:pPr>
      <w:r>
        <w:rPr>
          <w:rFonts w:hint="eastAsia" w:ascii="黑体" w:cs="黑体"/>
          <w:sz w:val="32"/>
          <w:szCs w:val="32"/>
        </w:rPr>
        <w:t>二、附</w:t>
      </w:r>
      <w:r>
        <w:rPr>
          <w:rFonts w:hint="eastAsia" w:eastAsia="宋体"/>
          <w:sz w:val="32"/>
          <w:szCs w:val="32"/>
        </w:rPr>
        <w:t xml:space="preserve"> </w:t>
      </w:r>
      <w:r>
        <w:rPr>
          <w:rFonts w:hint="eastAsia" w:ascii="黑体" w:cs="黑体"/>
          <w:sz w:val="32"/>
          <w:szCs w:val="32"/>
        </w:rPr>
        <w:t>则</w:t>
      </w:r>
    </w:p>
    <w:p>
      <w:pPr>
        <w:ind w:firstLine="640"/>
        <w:rPr>
          <w:rFonts w:hint="eastAsia"/>
          <w:sz w:val="32"/>
          <w:szCs w:val="32"/>
          <w:lang w:bidi="ar"/>
        </w:rPr>
      </w:pPr>
      <w:r>
        <w:rPr>
          <w:rFonts w:hint="eastAsia"/>
          <w:sz w:val="32"/>
          <w:szCs w:val="32"/>
          <w:lang w:bidi="ar"/>
        </w:rPr>
        <w:t>（一）本政策自发布之日起施行，有效期为3年。政策实施期间，如遇国家、北京市相关法律法规及政策调整，本政策将作相应修订。</w:t>
      </w:r>
    </w:p>
    <w:p>
      <w:pPr>
        <w:ind w:firstLine="640"/>
        <w:rPr>
          <w:rFonts w:hint="eastAsia"/>
          <w:sz w:val="32"/>
          <w:szCs w:val="32"/>
          <w:lang w:bidi="ar"/>
        </w:rPr>
      </w:pPr>
      <w:r>
        <w:rPr>
          <w:rFonts w:hint="eastAsia"/>
          <w:sz w:val="32"/>
          <w:szCs w:val="32"/>
          <w:lang w:eastAsia="zh-CN" w:bidi="ar"/>
        </w:rPr>
        <w:t>（</w:t>
      </w:r>
      <w:r>
        <w:rPr>
          <w:rFonts w:hint="eastAsia"/>
          <w:sz w:val="32"/>
          <w:szCs w:val="32"/>
          <w:lang w:val="en-US" w:eastAsia="zh-CN" w:bidi="ar"/>
        </w:rPr>
        <w:t>二</w:t>
      </w:r>
      <w:r>
        <w:rPr>
          <w:rFonts w:hint="eastAsia"/>
          <w:sz w:val="32"/>
          <w:szCs w:val="32"/>
          <w:lang w:eastAsia="zh-CN" w:bidi="ar"/>
        </w:rPr>
        <w:t>）</w:t>
      </w:r>
      <w:r>
        <w:rPr>
          <w:rFonts w:hint="eastAsia"/>
          <w:sz w:val="32"/>
          <w:szCs w:val="32"/>
          <w:lang w:bidi="ar"/>
        </w:rPr>
        <w:t>本政策规定的支持政策按照“从高不重复”的原则执行，与本区其他政策条款性质相同的内容不重复适用。同一申报主体年度获得的奖励资金总额不超过100万元。</w:t>
      </w:r>
    </w:p>
    <w:p>
      <w:pPr>
        <w:ind w:firstLine="640"/>
        <w:rPr>
          <w:rFonts w:hint="eastAsia"/>
          <w:sz w:val="32"/>
          <w:szCs w:val="32"/>
          <w:lang w:bidi="ar"/>
        </w:rPr>
      </w:pPr>
      <w:r>
        <w:rPr>
          <w:rFonts w:hint="eastAsia"/>
          <w:sz w:val="32"/>
          <w:szCs w:val="32"/>
          <w:lang w:bidi="ar"/>
        </w:rPr>
        <w:t>（</w:t>
      </w:r>
      <w:r>
        <w:rPr>
          <w:rFonts w:hint="eastAsia"/>
          <w:sz w:val="32"/>
          <w:szCs w:val="32"/>
          <w:lang w:val="en-US" w:eastAsia="zh-CN" w:bidi="ar"/>
        </w:rPr>
        <w:t>三</w:t>
      </w:r>
      <w:r>
        <w:rPr>
          <w:rFonts w:hint="eastAsia"/>
          <w:sz w:val="32"/>
          <w:szCs w:val="32"/>
          <w:lang w:bidi="ar"/>
        </w:rPr>
        <w:t>）对提供虚假材料以及近三年有重大违法违规失信行为记录的主体取消享受有关政策支持的资格，追究相应的法律责任，并记入企业诚信系统。同时，申报主体须符合安全生产相关法律法规及标准要求，方可享受本政策支持。</w:t>
      </w:r>
    </w:p>
    <w:p>
      <w:pPr>
        <w:rPr>
          <w:rFonts w:hint="eastAsia"/>
          <w:sz w:val="32"/>
          <w:szCs w:val="32"/>
          <w:lang w:bidi="ar"/>
        </w:rPr>
      </w:pPr>
      <w:r>
        <w:rPr>
          <w:rFonts w:hint="eastAsia"/>
          <w:sz w:val="32"/>
          <w:szCs w:val="32"/>
          <w:lang w:bidi="ar"/>
        </w:rPr>
        <w:t>（</w:t>
      </w:r>
      <w:r>
        <w:rPr>
          <w:rFonts w:hint="eastAsia"/>
          <w:sz w:val="32"/>
          <w:szCs w:val="32"/>
          <w:lang w:val="en-US" w:eastAsia="zh-CN" w:bidi="ar"/>
        </w:rPr>
        <w:t>四</w:t>
      </w:r>
      <w:r>
        <w:rPr>
          <w:rFonts w:hint="eastAsia"/>
          <w:sz w:val="32"/>
          <w:szCs w:val="32"/>
          <w:lang w:bidi="ar"/>
        </w:rPr>
        <w:t>）本</w:t>
      </w:r>
      <w:r>
        <w:rPr>
          <w:rFonts w:hint="eastAsia"/>
          <w:sz w:val="32"/>
          <w:szCs w:val="32"/>
          <w:lang w:val="en-US" w:eastAsia="zh-CN" w:bidi="ar"/>
        </w:rPr>
        <w:t>政策</w:t>
      </w:r>
      <w:r>
        <w:rPr>
          <w:rFonts w:hint="eastAsia"/>
          <w:sz w:val="32"/>
          <w:szCs w:val="32"/>
          <w:lang w:bidi="ar"/>
        </w:rPr>
        <w:t>自发布之日起实施，由丰台区文化和旅游局负责解释及组织实施。</w:t>
      </w:r>
    </w:p>
    <w:p>
      <w:pPr>
        <w:pStyle w:val="2"/>
        <w:numPr>
          <w:ilvl w:val="-1"/>
          <w:numId w:val="0"/>
        </w:numPr>
        <w:ind w:left="0" w:leftChars="0" w:firstLine="0" w:firstLineChars="0"/>
        <w:rPr>
          <w:rFonts w:hint="default"/>
          <w:lang w:val="en-US" w:eastAsia="zh-CN"/>
        </w:rPr>
      </w:pPr>
    </w:p>
    <w:sectPr>
      <w:pgSz w:w="12240" w:h="15840"/>
      <w:pgMar w:top="1327" w:right="1576" w:bottom="1327" w:left="1576"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DejaVu Sans">
    <w:altName w:val="Times New Roman"/>
    <w:panose1 w:val="02020603050405020304"/>
    <w:charset w:val="00"/>
    <w:family w:val="roman"/>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8646A"/>
    <w:multiLevelType w:val="singleLevel"/>
    <w:tmpl w:val="8188646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A22"/>
    <w:rsid w:val="01EE3ED4"/>
    <w:rsid w:val="021E4C8E"/>
    <w:rsid w:val="047D6C6F"/>
    <w:rsid w:val="059E1951"/>
    <w:rsid w:val="06636C4F"/>
    <w:rsid w:val="06EE5DB7"/>
    <w:rsid w:val="075B4E42"/>
    <w:rsid w:val="08121B90"/>
    <w:rsid w:val="08B5322E"/>
    <w:rsid w:val="093207B5"/>
    <w:rsid w:val="0A776156"/>
    <w:rsid w:val="0AE9047D"/>
    <w:rsid w:val="0B7462E0"/>
    <w:rsid w:val="0E3C3B42"/>
    <w:rsid w:val="0E9E1C0B"/>
    <w:rsid w:val="125A6BF4"/>
    <w:rsid w:val="131E72AE"/>
    <w:rsid w:val="14261483"/>
    <w:rsid w:val="16E96A45"/>
    <w:rsid w:val="17742506"/>
    <w:rsid w:val="17F44BFE"/>
    <w:rsid w:val="19AA220F"/>
    <w:rsid w:val="19DB4ABE"/>
    <w:rsid w:val="1B3A35B9"/>
    <w:rsid w:val="210C1A01"/>
    <w:rsid w:val="22D64075"/>
    <w:rsid w:val="239C6211"/>
    <w:rsid w:val="24D43437"/>
    <w:rsid w:val="25B83026"/>
    <w:rsid w:val="277206BA"/>
    <w:rsid w:val="2AE51CC3"/>
    <w:rsid w:val="2BCF2875"/>
    <w:rsid w:val="2D415A4E"/>
    <w:rsid w:val="33A00BE8"/>
    <w:rsid w:val="33A630FD"/>
    <w:rsid w:val="33F43148"/>
    <w:rsid w:val="377A726D"/>
    <w:rsid w:val="381551E7"/>
    <w:rsid w:val="38676D3C"/>
    <w:rsid w:val="39146AAF"/>
    <w:rsid w:val="3A451558"/>
    <w:rsid w:val="3A7E2C66"/>
    <w:rsid w:val="3BF61D3C"/>
    <w:rsid w:val="3C172F24"/>
    <w:rsid w:val="3D0B35F2"/>
    <w:rsid w:val="3D2B4A7E"/>
    <w:rsid w:val="3D6C64D8"/>
    <w:rsid w:val="3D7E71A3"/>
    <w:rsid w:val="3F2A1578"/>
    <w:rsid w:val="3F7F33BE"/>
    <w:rsid w:val="4368266F"/>
    <w:rsid w:val="439D02B1"/>
    <w:rsid w:val="44A122DD"/>
    <w:rsid w:val="45723C79"/>
    <w:rsid w:val="459800FD"/>
    <w:rsid w:val="45DDE684"/>
    <w:rsid w:val="48245747"/>
    <w:rsid w:val="486D4946"/>
    <w:rsid w:val="4CC77104"/>
    <w:rsid w:val="4DF158ED"/>
    <w:rsid w:val="4FF07B1A"/>
    <w:rsid w:val="500B0F52"/>
    <w:rsid w:val="523C37D3"/>
    <w:rsid w:val="56024B97"/>
    <w:rsid w:val="563F8BB2"/>
    <w:rsid w:val="576534B0"/>
    <w:rsid w:val="588758AD"/>
    <w:rsid w:val="594B23BF"/>
    <w:rsid w:val="5A2334B3"/>
    <w:rsid w:val="5AA7161B"/>
    <w:rsid w:val="5BDC223D"/>
    <w:rsid w:val="5C152C9F"/>
    <w:rsid w:val="5D7E0072"/>
    <w:rsid w:val="5F751F44"/>
    <w:rsid w:val="5F940F5E"/>
    <w:rsid w:val="5FCD37B9"/>
    <w:rsid w:val="5FF732A1"/>
    <w:rsid w:val="62D96E85"/>
    <w:rsid w:val="644B6EF1"/>
    <w:rsid w:val="64F71AB3"/>
    <w:rsid w:val="680E4056"/>
    <w:rsid w:val="68FF0887"/>
    <w:rsid w:val="6BB36723"/>
    <w:rsid w:val="6F3D64F1"/>
    <w:rsid w:val="6F7C2E7B"/>
    <w:rsid w:val="70A408DB"/>
    <w:rsid w:val="726D71EB"/>
    <w:rsid w:val="73D81676"/>
    <w:rsid w:val="748702F8"/>
    <w:rsid w:val="751A65ED"/>
    <w:rsid w:val="75342D58"/>
    <w:rsid w:val="772B58B2"/>
    <w:rsid w:val="781D6DDC"/>
    <w:rsid w:val="78931961"/>
    <w:rsid w:val="7908577F"/>
    <w:rsid w:val="7C43369E"/>
    <w:rsid w:val="7CA53A11"/>
    <w:rsid w:val="7F363046"/>
    <w:rsid w:val="7F4B717B"/>
    <w:rsid w:val="83D8BF65"/>
    <w:rsid w:val="865BF593"/>
    <w:rsid w:val="BCDF4137"/>
    <w:rsid w:val="CBFE1679"/>
    <w:rsid w:val="D8FFEFAB"/>
    <w:rsid w:val="DD5DAF06"/>
    <w:rsid w:val="F5CA8FE7"/>
    <w:rsid w:val="F6EF1692"/>
    <w:rsid w:val="F7FEE7BE"/>
    <w:rsid w:val="FADF8BC0"/>
    <w:rsid w:val="FCCD710B"/>
    <w:rsid w:val="FCDF7156"/>
    <w:rsid w:val="FECB0EAE"/>
    <w:rsid w:val="FFDF6904"/>
    <w:rsid w:val="FFFF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N w:val="0"/>
      <w:spacing w:line="560" w:lineRule="exact"/>
      <w:ind w:firstLine="880" w:firstLineChars="200"/>
      <w:jc w:val="both"/>
    </w:pPr>
    <w:rPr>
      <w:rFonts w:hint="eastAsia"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spacing w:beforeAutospacing="0" w:afterAutospacing="0" w:line="560" w:lineRule="exact"/>
      <w:ind w:firstLine="880" w:firstLineChars="200"/>
      <w:jc w:val="left"/>
      <w:outlineLvl w:val="0"/>
    </w:pPr>
    <w:rPr>
      <w:rFonts w:hint="eastAsia" w:ascii="宋体" w:hAnsi="宋体" w:eastAsia="黑体" w:cs="宋体"/>
      <w:bCs/>
      <w:kern w:val="44"/>
      <w:sz w:val="32"/>
      <w:szCs w:val="48"/>
      <w:lang w:bidi="ar"/>
    </w:rPr>
  </w:style>
  <w:style w:type="paragraph" w:styleId="4">
    <w:name w:val="heading 2"/>
    <w:basedOn w:val="1"/>
    <w:next w:val="1"/>
    <w:link w:val="14"/>
    <w:unhideWhenUsed/>
    <w:qFormat/>
    <w:uiPriority w:val="0"/>
    <w:pPr>
      <w:keepNext/>
      <w:keepLines/>
      <w:spacing w:beforeAutospacing="0" w:afterAutospacing="0" w:line="560" w:lineRule="exact"/>
      <w:ind w:firstLine="880" w:firstLineChars="200"/>
      <w:jc w:val="left"/>
      <w:outlineLvl w:val="1"/>
    </w:pPr>
    <w:rPr>
      <w:rFonts w:ascii="DejaVu Sans" w:hAnsi="DejaVu Sans" w:eastAsia="楷体"/>
      <w:sz w:val="32"/>
      <w:szCs w:val="22"/>
    </w:rPr>
  </w:style>
  <w:style w:type="paragraph" w:styleId="5">
    <w:name w:val="heading 3"/>
    <w:basedOn w:val="1"/>
    <w:next w:val="1"/>
    <w:unhideWhenUsed/>
    <w:qFormat/>
    <w:uiPriority w:val="0"/>
    <w:pPr>
      <w:keepNext/>
      <w:keepLines/>
      <w:spacing w:beforeLines="0" w:beforeAutospacing="0" w:afterLines="0" w:afterAutospacing="0" w:line="520" w:lineRule="exact"/>
      <w:ind w:firstLine="880" w:firstLineChars="200"/>
      <w:outlineLvl w:val="2"/>
    </w:pPr>
    <w:rPr>
      <w:b/>
    </w:rPr>
  </w:style>
  <w:style w:type="character" w:default="1" w:styleId="12">
    <w:name w:val="Default Paragraph Font"/>
    <w:qFormat/>
    <w:uiPriority w:val="0"/>
    <w:rPr>
      <w:rFonts w:ascii="Calibri" w:hAnsi="Calibri" w:eastAsia="仿宋_GB2312"/>
      <w:sz w:val="32"/>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0"/>
    <w:pPr>
      <w:ind w:left="420"/>
    </w:pPr>
    <w:rPr>
      <w:rFonts w:hint="default" w:ascii="等线" w:hAnsi="等线" w:eastAsia="等线"/>
      <w:b/>
      <w:sz w:val="30"/>
      <w:szCs w:val="24"/>
    </w:rPr>
  </w:style>
  <w:style w:type="paragraph" w:styleId="6">
    <w:name w:val="Body Text"/>
    <w:basedOn w:val="1"/>
    <w:qFormat/>
    <w:uiPriority w:val="0"/>
    <w:pPr>
      <w:spacing w:after="120" w:line="560" w:lineRule="exact"/>
      <w:ind w:firstLine="880" w:firstLineChars="200"/>
    </w:pPr>
    <w:rPr>
      <w:rFonts w:eastAsia="仿宋_GB2312" w:asciiTheme="minorAscii" w:hAnsiTheme="minorAscii" w:cstheme="minorBidi"/>
      <w:sz w:val="32"/>
    </w:rPr>
  </w:style>
  <w:style w:type="paragraph" w:styleId="7">
    <w:name w:val="footer"/>
    <w:basedOn w:val="1"/>
    <w:qFormat/>
    <w:uiPriority w:val="0"/>
    <w:pPr>
      <w:tabs>
        <w:tab w:val="center" w:pos="4153"/>
        <w:tab w:val="right" w:pos="8306"/>
      </w:tabs>
      <w:snapToGrid w:val="0"/>
      <w:jc w:val="left"/>
    </w:pPr>
    <w:rPr>
      <w:rFonts w:eastAsia="仿宋_GB2312"/>
      <w:sz w:val="28"/>
    </w:rPr>
  </w:style>
  <w:style w:type="paragraph" w:styleId="8">
    <w:name w:val="footnote text"/>
    <w:basedOn w:val="1"/>
    <w:qFormat/>
    <w:uiPriority w:val="0"/>
    <w:pPr>
      <w:snapToGrid w:val="0"/>
      <w:spacing w:line="320" w:lineRule="exact"/>
      <w:ind w:firstLine="0" w:firstLineChars="0"/>
      <w:jc w:val="left"/>
    </w:pPr>
    <w:rPr>
      <w:rFonts w:ascii="Times New Roman" w:hAnsi="Times New Roman" w:eastAsia="仿宋_GB2312"/>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basedOn w:val="12"/>
    <w:qFormat/>
    <w:uiPriority w:val="0"/>
    <w:rPr>
      <w:rFonts w:eastAsia="仿宋_GB2312"/>
      <w:sz w:val="24"/>
      <w:vertAlign w:val="superscript"/>
    </w:rPr>
  </w:style>
  <w:style w:type="character" w:customStyle="1" w:styleId="14">
    <w:name w:val="标题 2 Char"/>
    <w:link w:val="4"/>
    <w:qFormat/>
    <w:uiPriority w:val="0"/>
    <w:rPr>
      <w:rFonts w:ascii="DejaVu Sans" w:hAnsi="DejaVu Sans" w:eastAsia="楷体" w:cs="Times New Roman"/>
      <w:sz w:val="32"/>
      <w:szCs w:val="22"/>
    </w:rPr>
  </w:style>
  <w:style w:type="character" w:customStyle="1" w:styleId="15">
    <w:name w:val="15"/>
    <w:basedOn w:val="12"/>
    <w:unhideWhenUsed/>
    <w:qFormat/>
    <w:uiPriority w:val="0"/>
    <w:rPr>
      <w:rFonts w:hint="default" w:ascii="DejaVu Sans" w:hAnsi="DejaVu Sans" w:eastAsia="楷体"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2f014cc5-928a-4699-81ae-075b05b1e8f8</errorID>
      <errorWord>(</errorWord>
      <group>L1_Format</group>
      <groupName>格式问题</groupName>
      <ability>L2_HalfPunc</ability>
      <abilityName>全半角检查</abilityName>
      <candidateList>
        <item>（</item>
      </candidateList>
      <explain>文本全半角错误。</explain>
      <paraID>72257E63</paraID>
      <start>67</start>
      <end>68</end>
      <status>modified</status>
      <modifiedWord>（</modifiedWord>
      <trackRevisions>false</trackRevisions>
    </reviewItem>
    <reviewItem>
      <errorID>da6318c4-4824-4bd7-9aad-23117cff5594</errorID>
      <errorWord>)</errorWord>
      <group>L1_Format</group>
      <groupName>格式问题</groupName>
      <ability>L2_HalfPunc</ability>
      <abilityName>全半角检查</abilityName>
      <candidateList>
        <item>）</item>
      </candidateList>
      <explain>文本全半角错误。</explain>
      <paraID>72257E63</paraID>
      <start>79</start>
      <end>80</end>
      <status>modified</status>
      <modifiedWord>）</modifiedWord>
      <trackRevisions>false</trackRevisions>
    </reviewItem>
    <reviewItem>
      <errorID>35a9f5a2-6afb-49dd-a2e6-dcce1977b870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626DDB74</paraID>
      <start>0</start>
      <end>2</end>
      <status>unmodified</status>
      <modifiedWord/>
      <trackRevisions>false</trackRevisions>
    </reviewItem>
    <reviewItem>
      <errorID>4c2328ff-2b55-4448-a3b2-1c3a9d8e4c3c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2D8F423B</paraID>
      <start>0</start>
      <end>2</end>
      <status>unmodified</status>
      <modifiedWord/>
      <trackRevisions>false</trackRevisions>
    </reviewItem>
    <reviewItem>
      <errorID>cf148758-cfc3-451c-b2c7-e019604452c0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3A13C05E</paraID>
      <start>0</start>
      <end>2</end>
      <status>unmodified</status>
      <modifiedWord/>
      <trackRevisions>false</trackRevisions>
    </reviewItem>
    <reviewItem>
      <errorID>9cb15e9a-660f-429c-b2fa-05c53b4387e2</errorID>
      <errorWord>，</errorWord>
      <group>L1_Word</group>
      <groupName>字词问题</groupName>
      <ability>L2_Typo</ability>
      <abilityName>字词错误</abilityName>
      <candidateList>
        <item>，并</item>
      </candidateList>
      <explain/>
      <paraID>2F457665</paraID>
      <start>44</start>
      <end>45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eb4cfd-f845-4886-a28a-b64ee84f7d0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2383</Words>
  <Characters>2467</Characters>
  <Lines>0</Lines>
  <Paragraphs>0</Paragraphs>
  <TotalTime>33</TotalTime>
  <ScaleCrop>false</ScaleCrop>
  <LinksUpToDate>false</LinksUpToDate>
  <CharactersWithSpaces>2470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2025-07-11T02:26:00Z</dcterms:created>
  <dc:creator>百香果</dc:creator>
  <cp:lastModifiedBy>Administrator</cp:lastModifiedBy>
  <dcterms:modified xsi:type="dcterms:W3CDTF">2026-04-07T07:10:19Z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0D7B1B7D2F5147C5A21847654B3564B4_13</vt:lpwstr>
  </property>
  <property fmtid="{D5CDD505-2E9C-101B-9397-08002B2CF9AE}" pid="4" name="KSOTemplateDocerSaveRecord">
    <vt:lpwstr>eyJoZGlkIjoiNzI1MzljODBiNDliMzEyMzFlZWNlN2EzYjU0N2YzMWEiLCJ1c2VySWQiOiIzNjUxMjMyODgifQ==</vt:lpwstr>
  </property>
</Properties>
</file>