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681A5">
      <w:pPr>
        <w:ind w:left="0" w:leftChars="0" w:firstLine="0" w:firstLineChars="0"/>
        <w:jc w:val="center"/>
        <w:rPr>
          <w:rFonts w:hint="eastAsia" w:ascii="方正小标宋简体" w:hAnsi="方正小标宋简体" w:eastAsia="方正小标宋简体" w:cs="方正小标宋简体"/>
          <w:color w:val="auto"/>
          <w:sz w:val="44"/>
          <w:szCs w:val="44"/>
          <w:lang w:val="en-US" w:eastAsia="zh-CN"/>
        </w:rPr>
      </w:pPr>
    </w:p>
    <w:p w14:paraId="758F5BBF">
      <w:pPr>
        <w:ind w:left="0" w:leftChars="0" w:firstLine="0" w:firstLineChars="0"/>
        <w:jc w:val="center"/>
        <w:rPr>
          <w:rFonts w:hint="eastAsia" w:ascii="方正小标宋简体" w:hAnsi="方正小标宋简体" w:eastAsia="方正小标宋简体" w:cs="方正小标宋简体"/>
          <w:color w:val="auto"/>
          <w:sz w:val="44"/>
          <w:szCs w:val="44"/>
          <w:lang w:val="en-US" w:eastAsia="zh-CN"/>
        </w:rPr>
      </w:pPr>
    </w:p>
    <w:p w14:paraId="124B93AB">
      <w:pPr>
        <w:ind w:left="0" w:leftChars="0" w:firstLine="0" w:firstLineChars="0"/>
        <w:jc w:val="center"/>
        <w:rPr>
          <w:rFonts w:hint="eastAsia" w:ascii="方正小标宋简体" w:hAnsi="方正小标宋简体" w:eastAsia="方正小标宋简体" w:cs="方正小标宋简体"/>
          <w:color w:val="auto"/>
          <w:sz w:val="44"/>
          <w:szCs w:val="44"/>
          <w:lang w:val="en-US" w:eastAsia="zh-CN"/>
        </w:rPr>
      </w:pPr>
    </w:p>
    <w:p w14:paraId="122FD210">
      <w:pPr>
        <w:ind w:left="0" w:leftChars="0" w:firstLine="0" w:firstLineChars="0"/>
        <w:jc w:val="center"/>
        <w:rPr>
          <w:rFonts w:hint="eastAsia" w:ascii="方正小标宋简体" w:hAnsi="方正小标宋简体" w:eastAsia="方正小标宋简体" w:cs="方正小标宋简体"/>
          <w:color w:val="auto"/>
          <w:sz w:val="44"/>
          <w:szCs w:val="44"/>
          <w:lang w:val="en-US" w:eastAsia="zh-CN"/>
        </w:rPr>
      </w:pPr>
    </w:p>
    <w:p w14:paraId="58E97F0A">
      <w:pPr>
        <w:ind w:left="0" w:leftChars="0" w:firstLine="0" w:firstLineChars="0"/>
        <w:jc w:val="both"/>
        <w:rPr>
          <w:rFonts w:hint="eastAsia" w:ascii="方正小标宋简体" w:hAnsi="方正小标宋简体" w:eastAsia="方正小标宋简体" w:cs="方正小标宋简体"/>
          <w:color w:val="auto"/>
          <w:sz w:val="44"/>
          <w:szCs w:val="44"/>
          <w:lang w:val="en-US" w:eastAsia="zh-CN"/>
        </w:rPr>
      </w:pPr>
    </w:p>
    <w:p w14:paraId="5403AEF3">
      <w:pPr>
        <w:ind w:left="0" w:leftChars="0" w:firstLine="0" w:firstLineChars="0"/>
        <w:jc w:val="both"/>
        <w:rPr>
          <w:rFonts w:hint="eastAsia" w:ascii="方正小标宋简体" w:hAnsi="方正小标宋简体" w:eastAsia="方正小标宋简体" w:cs="方正小标宋简体"/>
          <w:color w:val="auto"/>
          <w:sz w:val="44"/>
          <w:szCs w:val="44"/>
          <w:lang w:val="en-US" w:eastAsia="zh-CN"/>
        </w:rPr>
      </w:pPr>
    </w:p>
    <w:p w14:paraId="7466DA23">
      <w:pPr>
        <w:ind w:left="0" w:leftChars="0" w:firstLine="0" w:firstLineChars="0"/>
        <w:jc w:val="center"/>
        <w:rPr>
          <w:rFonts w:hint="eastAsia" w:ascii="方正小标宋简体" w:hAnsi="方正小标宋简体" w:eastAsia="方正小标宋简体" w:cs="方正小标宋简体"/>
          <w:color w:val="auto"/>
          <w:sz w:val="48"/>
          <w:szCs w:val="48"/>
          <w:lang w:val="en-US" w:eastAsia="zh-CN"/>
        </w:rPr>
      </w:pPr>
      <w:r>
        <w:rPr>
          <w:rFonts w:hint="eastAsia" w:ascii="方正小标宋简体" w:hAnsi="方正小标宋简体" w:eastAsia="方正小标宋简体" w:cs="方正小标宋简体"/>
          <w:color w:val="auto"/>
          <w:sz w:val="48"/>
          <w:szCs w:val="48"/>
          <w:lang w:val="en-US" w:eastAsia="zh-CN"/>
        </w:rPr>
        <w:t xml:space="preserve">怀柔区“十五五”时期应急体系规划 </w:t>
      </w:r>
    </w:p>
    <w:p w14:paraId="0629DECE">
      <w:pPr>
        <w:ind w:left="0" w:leftChars="0" w:firstLine="0" w:firstLineChars="0"/>
        <w:jc w:val="center"/>
        <w:rPr>
          <w:rFonts w:hint="eastAsia" w:ascii="楷体_GB2312" w:hAnsi="楷体_GB2312" w:eastAsia="楷体_GB2312" w:cs="楷体_GB2312"/>
          <w:color w:val="auto"/>
          <w:sz w:val="36"/>
          <w:szCs w:val="36"/>
          <w:lang w:val="en-US" w:eastAsia="zh-CN"/>
        </w:rPr>
      </w:pPr>
      <w:r>
        <w:rPr>
          <w:rFonts w:hint="eastAsia" w:ascii="楷体_GB2312" w:hAnsi="楷体_GB2312" w:eastAsia="楷体_GB2312" w:cs="楷体_GB2312"/>
          <w:color w:val="auto"/>
          <w:sz w:val="36"/>
          <w:szCs w:val="36"/>
          <w:lang w:val="en-US" w:eastAsia="zh-CN"/>
        </w:rPr>
        <w:t>（征求意见稿）</w:t>
      </w:r>
    </w:p>
    <w:p w14:paraId="599DC9A3">
      <w:pPr>
        <w:ind w:left="0" w:leftChars="0" w:firstLine="0" w:firstLineChars="0"/>
        <w:jc w:val="center"/>
        <w:rPr>
          <w:rFonts w:hint="eastAsia" w:ascii="方正小标宋简体" w:hAnsi="方正小标宋简体" w:eastAsia="方正小标宋简体" w:cs="方正小标宋简体"/>
          <w:color w:val="auto"/>
          <w:sz w:val="44"/>
          <w:szCs w:val="44"/>
          <w:lang w:val="en-US" w:eastAsia="zh-CN"/>
        </w:rPr>
      </w:pPr>
    </w:p>
    <w:p w14:paraId="6380B993">
      <w:pPr>
        <w:ind w:left="0" w:leftChars="0" w:firstLine="0" w:firstLineChars="0"/>
        <w:jc w:val="center"/>
        <w:rPr>
          <w:rFonts w:hint="eastAsia" w:ascii="方正小标宋简体" w:hAnsi="方正小标宋简体" w:eastAsia="方正小标宋简体" w:cs="方正小标宋简体"/>
          <w:color w:val="auto"/>
          <w:sz w:val="44"/>
          <w:szCs w:val="44"/>
          <w:lang w:val="en-US" w:eastAsia="zh-CN"/>
        </w:rPr>
      </w:pPr>
    </w:p>
    <w:p w14:paraId="3E26B7CD">
      <w:pPr>
        <w:ind w:left="0" w:leftChars="0" w:firstLine="0" w:firstLineChars="0"/>
        <w:jc w:val="center"/>
        <w:rPr>
          <w:rFonts w:hint="eastAsia" w:ascii="方正小标宋简体" w:hAnsi="方正小标宋简体" w:eastAsia="方正小标宋简体" w:cs="方正小标宋简体"/>
          <w:color w:val="auto"/>
          <w:sz w:val="44"/>
          <w:szCs w:val="44"/>
          <w:lang w:val="en-US" w:eastAsia="zh-CN"/>
        </w:rPr>
      </w:pPr>
    </w:p>
    <w:p w14:paraId="4A523B33">
      <w:pPr>
        <w:ind w:left="0" w:leftChars="0" w:firstLine="0" w:firstLineChars="0"/>
        <w:jc w:val="center"/>
        <w:rPr>
          <w:rFonts w:hint="eastAsia" w:ascii="方正小标宋简体" w:hAnsi="方正小标宋简体" w:eastAsia="方正小标宋简体" w:cs="方正小标宋简体"/>
          <w:color w:val="auto"/>
          <w:sz w:val="44"/>
          <w:szCs w:val="44"/>
          <w:lang w:val="en-US" w:eastAsia="zh-CN"/>
        </w:rPr>
      </w:pPr>
    </w:p>
    <w:p w14:paraId="69A3E96A">
      <w:pPr>
        <w:ind w:left="0" w:leftChars="0" w:firstLine="0" w:firstLineChars="0"/>
        <w:jc w:val="center"/>
        <w:rPr>
          <w:rFonts w:hint="eastAsia" w:ascii="方正小标宋简体" w:hAnsi="方正小标宋简体" w:eastAsia="方正小标宋简体" w:cs="方正小标宋简体"/>
          <w:color w:val="auto"/>
          <w:sz w:val="44"/>
          <w:szCs w:val="44"/>
          <w:lang w:val="en-US" w:eastAsia="zh-CN"/>
        </w:rPr>
      </w:pPr>
    </w:p>
    <w:p w14:paraId="2E2585CF">
      <w:pPr>
        <w:ind w:left="0" w:leftChars="0" w:firstLine="0" w:firstLineChars="0"/>
        <w:jc w:val="center"/>
        <w:rPr>
          <w:rFonts w:hint="eastAsia" w:ascii="方正小标宋简体" w:hAnsi="方正小标宋简体" w:eastAsia="方正小标宋简体" w:cs="方正小标宋简体"/>
          <w:color w:val="auto"/>
          <w:sz w:val="44"/>
          <w:szCs w:val="44"/>
          <w:lang w:val="en-US" w:eastAsia="zh-CN"/>
        </w:rPr>
      </w:pPr>
    </w:p>
    <w:p w14:paraId="1EC97755">
      <w:pPr>
        <w:ind w:left="0" w:leftChars="0" w:firstLine="0" w:firstLineChars="0"/>
        <w:jc w:val="center"/>
        <w:rPr>
          <w:rFonts w:hint="eastAsia" w:ascii="方正小标宋简体" w:hAnsi="方正小标宋简体" w:eastAsia="方正小标宋简体" w:cs="方正小标宋简体"/>
          <w:color w:val="auto"/>
          <w:sz w:val="44"/>
          <w:szCs w:val="44"/>
          <w:lang w:val="en-US" w:eastAsia="zh-CN"/>
        </w:rPr>
      </w:pPr>
    </w:p>
    <w:p w14:paraId="15B74D5A">
      <w:pPr>
        <w:ind w:left="0" w:leftChars="0" w:firstLine="0" w:firstLineChars="0"/>
        <w:jc w:val="center"/>
        <w:rPr>
          <w:rFonts w:hint="eastAsia" w:ascii="方正小标宋简体" w:hAnsi="方正小标宋简体" w:eastAsia="方正小标宋简体" w:cs="方正小标宋简体"/>
          <w:color w:val="auto"/>
          <w:sz w:val="44"/>
          <w:szCs w:val="44"/>
          <w:lang w:val="en-US" w:eastAsia="zh-CN"/>
        </w:rPr>
      </w:pPr>
    </w:p>
    <w:p w14:paraId="7B86402B">
      <w:pPr>
        <w:ind w:left="0" w:leftChars="0" w:firstLine="0" w:firstLineChars="0"/>
        <w:jc w:val="center"/>
        <w:rPr>
          <w:rFonts w:hint="eastAsia" w:ascii="方正小标宋简体" w:hAnsi="方正小标宋简体" w:eastAsia="方正小标宋简体" w:cs="方正小标宋简体"/>
          <w:color w:val="auto"/>
          <w:sz w:val="44"/>
          <w:szCs w:val="44"/>
          <w:lang w:val="en-US" w:eastAsia="zh-CN"/>
        </w:rPr>
      </w:pPr>
    </w:p>
    <w:p w14:paraId="797E274E">
      <w:pPr>
        <w:ind w:left="0" w:leftChars="0" w:firstLine="0" w:firstLineChars="0"/>
        <w:rPr>
          <w:rFonts w:hint="eastAsia"/>
          <w:color w:val="auto"/>
          <w:lang w:val="en-US" w:eastAsia="zh-CN"/>
        </w:rPr>
      </w:pPr>
    </w:p>
    <w:p w14:paraId="575DDBF6">
      <w:pPr>
        <w:ind w:left="0" w:leftChars="0" w:firstLine="0" w:firstLineChars="0"/>
        <w:jc w:val="center"/>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北京市怀柔区应急管理局</w:t>
      </w:r>
    </w:p>
    <w:p w14:paraId="24346805">
      <w:pPr>
        <w:ind w:left="0" w:leftChars="0" w:firstLine="0" w:firstLineChars="0"/>
        <w:jc w:val="cente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2026年4月</w:t>
      </w:r>
    </w:p>
    <w:p w14:paraId="7C63089D">
      <w:pPr>
        <w:ind w:left="0" w:leftChars="0" w:firstLine="0" w:firstLineChars="0"/>
        <w:jc w:val="both"/>
        <w:rPr>
          <w:rFonts w:hint="eastAsia" w:ascii="方正小标宋简体" w:hAnsi="方正小标宋简体" w:eastAsia="方正小标宋简体" w:cs="方正小标宋简体"/>
          <w:color w:val="auto"/>
          <w:sz w:val="44"/>
          <w:szCs w:val="44"/>
          <w:lang w:val="en-US" w:eastAsia="zh-CN"/>
        </w:rPr>
      </w:pPr>
    </w:p>
    <w:p w14:paraId="2DAA42A3">
      <w:pPr>
        <w:ind w:left="0" w:leftChars="0" w:firstLine="0" w:firstLineChars="0"/>
        <w:jc w:val="both"/>
        <w:rPr>
          <w:rFonts w:hint="eastAsia" w:ascii="方正小标宋简体" w:hAnsi="方正小标宋简体" w:eastAsia="方正小标宋简体" w:cs="方正小标宋简体"/>
          <w:color w:val="auto"/>
          <w:sz w:val="44"/>
          <w:szCs w:val="44"/>
          <w:lang w:val="en-US" w:eastAsia="zh-CN"/>
        </w:rPr>
      </w:pPr>
    </w:p>
    <w:p w14:paraId="7F53B976">
      <w:pPr>
        <w:spacing w:before="0" w:beforeLines="0" w:after="0" w:afterLines="0" w:line="240" w:lineRule="auto"/>
        <w:ind w:left="0" w:leftChars="0" w:right="0" w:rightChars="0" w:firstLine="0" w:firstLineChars="0"/>
        <w:jc w:val="center"/>
        <w:rPr>
          <w:rFonts w:ascii="宋体" w:hAnsi="宋体" w:eastAsia="宋体" w:cs="仿宋_GB2312"/>
          <w:b/>
          <w:bCs/>
          <w:color w:val="auto"/>
          <w:sz w:val="44"/>
          <w:szCs w:val="44"/>
          <w:lang w:val="en-US" w:eastAsia="zh-CN" w:bidi="ar-SA"/>
        </w:rPr>
        <w:sectPr>
          <w:pgSz w:w="11906" w:h="16838"/>
          <w:pgMar w:top="2098" w:right="1474" w:bottom="1984" w:left="158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hint="eastAsia" w:ascii="宋体" w:hAnsi="宋体" w:eastAsia="宋体" w:cs="宋体"/>
          <w:b/>
          <w:bCs/>
          <w:color w:val="auto"/>
          <w:sz w:val="44"/>
          <w:szCs w:val="44"/>
          <w:lang w:val="en-US" w:eastAsia="zh-CN"/>
        </w:rPr>
        <w:id w:val="147470682"/>
        <w15:color w:val="DBDBDB"/>
        <w:docPartObj>
          <w:docPartGallery w:val="Table of Contents"/>
          <w:docPartUnique/>
        </w:docPartObj>
      </w:sdtPr>
      <w:sdtEndPr>
        <w:rPr>
          <w:rFonts w:hint="eastAsia" w:ascii="方正小标宋简体" w:hAnsi="方正小标宋简体" w:eastAsia="方正小标宋简体" w:cs="方正小标宋简体"/>
          <w:b/>
          <w:bCs/>
          <w:color w:val="auto"/>
          <w:sz w:val="32"/>
          <w:szCs w:val="44"/>
          <w:lang w:val="en-US" w:eastAsia="zh-CN" w:bidi="ar-SA"/>
        </w:rPr>
      </w:sdtEndPr>
      <w:sdtContent>
        <w:p w14:paraId="40F704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b/>
              <w:bCs/>
              <w:color w:val="auto"/>
              <w:sz w:val="44"/>
              <w:szCs w:val="44"/>
            </w:rPr>
          </w:pPr>
          <w:bookmarkStart w:id="127" w:name="_GoBack"/>
          <w:bookmarkEnd w:id="127"/>
          <w:r>
            <w:rPr>
              <w:rFonts w:hint="eastAsia" w:ascii="宋体" w:hAnsi="宋体" w:eastAsia="宋体" w:cs="宋体"/>
              <w:b/>
              <w:bCs/>
              <w:color w:val="auto"/>
              <w:sz w:val="44"/>
              <w:szCs w:val="44"/>
            </w:rPr>
            <w:t>目</w:t>
          </w:r>
          <w:r>
            <w:rPr>
              <w:rFonts w:hint="eastAsia" w:ascii="宋体" w:hAnsi="宋体" w:eastAsia="宋体" w:cs="宋体"/>
              <w:b/>
              <w:bCs/>
              <w:color w:val="auto"/>
              <w:sz w:val="44"/>
              <w:szCs w:val="44"/>
              <w:lang w:val="en-US" w:eastAsia="zh-CN"/>
            </w:rPr>
            <w:t xml:space="preserve"> </w:t>
          </w:r>
          <w:r>
            <w:rPr>
              <w:rFonts w:hint="eastAsia" w:ascii="宋体" w:hAnsi="宋体" w:eastAsia="宋体" w:cs="宋体"/>
              <w:b/>
              <w:bCs/>
              <w:color w:val="auto"/>
              <w:sz w:val="44"/>
              <w:szCs w:val="44"/>
            </w:rPr>
            <w:t>录</w:t>
          </w:r>
        </w:p>
        <w:p w14:paraId="0ACBB725">
          <w:pPr>
            <w:keepNext w:val="0"/>
            <w:keepLines w:val="0"/>
            <w:pageBreakBefore w:val="0"/>
            <w:widowControl w:val="0"/>
            <w:kinsoku/>
            <w:wordWrap/>
            <w:overflowPunct/>
            <w:topLinePunct w:val="0"/>
            <w:autoSpaceDE/>
            <w:autoSpaceDN/>
            <w:bidi w:val="0"/>
            <w:adjustRightInd w:val="0"/>
            <w:snapToGrid w:val="0"/>
            <w:spacing w:line="500" w:lineRule="exact"/>
            <w:textAlignment w:val="auto"/>
            <w:rPr>
              <w:color w:val="auto"/>
            </w:rPr>
          </w:pPr>
        </w:p>
        <w:p w14:paraId="62607D2D">
          <w:pPr>
            <w:pStyle w:val="6"/>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32"/>
              <w:szCs w:val="44"/>
              <w:lang w:val="en-US" w:eastAsia="zh-CN" w:bidi="ar-SA"/>
            </w:rPr>
            <w:fldChar w:fldCharType="begin"/>
          </w:r>
          <w:r>
            <w:rPr>
              <w:rFonts w:hint="eastAsia" w:ascii="方正小标宋简体" w:hAnsi="方正小标宋简体" w:eastAsia="方正小标宋简体" w:cs="方正小标宋简体"/>
              <w:color w:val="auto"/>
              <w:sz w:val="32"/>
              <w:szCs w:val="44"/>
              <w:lang w:val="en-US" w:eastAsia="zh-CN" w:bidi="ar-SA"/>
            </w:rPr>
            <w:instrText xml:space="preserve">TOC \o "1-3" \h \u </w:instrText>
          </w:r>
          <w:r>
            <w:rPr>
              <w:rFonts w:hint="eastAsia" w:ascii="方正小标宋简体" w:hAnsi="方正小标宋简体" w:eastAsia="方正小标宋简体" w:cs="方正小标宋简体"/>
              <w:color w:val="auto"/>
              <w:sz w:val="32"/>
              <w:szCs w:val="44"/>
              <w:lang w:val="en-US" w:eastAsia="zh-CN" w:bidi="ar-SA"/>
            </w:rPr>
            <w:fldChar w:fldCharType="separate"/>
          </w: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_Toc874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方正小标宋简体" w:hAnsi="方正小标宋简体" w:eastAsia="方正小标宋简体" w:cs="方正小标宋简体"/>
              <w:color w:val="auto"/>
              <w:sz w:val="28"/>
              <w:szCs w:val="28"/>
              <w:lang w:val="en-US" w:eastAsia="zh-CN"/>
            </w:rPr>
            <w:t>前 言</w:t>
          </w:r>
          <w:r>
            <w:rPr>
              <w:color w:val="auto"/>
              <w:sz w:val="28"/>
              <w:szCs w:val="28"/>
            </w:rPr>
            <w:tab/>
          </w:r>
          <w:r>
            <w:rPr>
              <w:color w:val="auto"/>
              <w:sz w:val="28"/>
              <w:szCs w:val="28"/>
            </w:rPr>
            <w:fldChar w:fldCharType="begin"/>
          </w:r>
          <w:r>
            <w:rPr>
              <w:color w:val="auto"/>
              <w:sz w:val="28"/>
              <w:szCs w:val="28"/>
            </w:rPr>
            <w:instrText xml:space="preserve"> PAGEREF _Toc874 \h </w:instrText>
          </w:r>
          <w:r>
            <w:rPr>
              <w:color w:val="auto"/>
              <w:sz w:val="28"/>
              <w:szCs w:val="28"/>
            </w:rPr>
            <w:fldChar w:fldCharType="separate"/>
          </w:r>
          <w:r>
            <w:rPr>
              <w:color w:val="auto"/>
              <w:sz w:val="28"/>
              <w:szCs w:val="28"/>
            </w:rPr>
            <w:t>1</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6CDEA7FA">
          <w:pPr>
            <w:pStyle w:val="6"/>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_Toc5072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方正小标宋简体" w:hAnsi="方正小标宋简体" w:eastAsia="方正小标宋简体" w:cs="方正小标宋简体"/>
              <w:color w:val="auto"/>
              <w:sz w:val="28"/>
              <w:szCs w:val="28"/>
              <w:lang w:val="en-US" w:eastAsia="zh-CN"/>
            </w:rPr>
            <w:t>第一章 “十四五”期间发展情况</w:t>
          </w:r>
          <w:r>
            <w:rPr>
              <w:color w:val="auto"/>
              <w:sz w:val="28"/>
              <w:szCs w:val="28"/>
            </w:rPr>
            <w:tab/>
          </w:r>
          <w:r>
            <w:rPr>
              <w:color w:val="auto"/>
              <w:sz w:val="28"/>
              <w:szCs w:val="28"/>
            </w:rPr>
            <w:fldChar w:fldCharType="begin"/>
          </w:r>
          <w:r>
            <w:rPr>
              <w:color w:val="auto"/>
              <w:sz w:val="28"/>
              <w:szCs w:val="28"/>
            </w:rPr>
            <w:instrText xml:space="preserve"> PAGEREF _Toc5072 \h </w:instrText>
          </w:r>
          <w:r>
            <w:rPr>
              <w:color w:val="auto"/>
              <w:sz w:val="28"/>
              <w:szCs w:val="28"/>
            </w:rPr>
            <w:fldChar w:fldCharType="separate"/>
          </w:r>
          <w:r>
            <w:rPr>
              <w:color w:val="auto"/>
              <w:sz w:val="28"/>
              <w:szCs w:val="28"/>
            </w:rPr>
            <w:t>2</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63659CEC">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_Toc22671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一、发展成效</w:t>
          </w:r>
          <w:r>
            <w:rPr>
              <w:color w:val="auto"/>
              <w:sz w:val="28"/>
              <w:szCs w:val="28"/>
            </w:rPr>
            <w:tab/>
          </w:r>
          <w:r>
            <w:rPr>
              <w:color w:val="auto"/>
              <w:sz w:val="28"/>
              <w:szCs w:val="28"/>
            </w:rPr>
            <w:fldChar w:fldCharType="begin"/>
          </w:r>
          <w:r>
            <w:rPr>
              <w:color w:val="auto"/>
              <w:sz w:val="28"/>
              <w:szCs w:val="28"/>
            </w:rPr>
            <w:instrText xml:space="preserve"> PAGEREF _Toc22671 \h </w:instrText>
          </w:r>
          <w:r>
            <w:rPr>
              <w:color w:val="auto"/>
              <w:sz w:val="28"/>
              <w:szCs w:val="28"/>
            </w:rPr>
            <w:fldChar w:fldCharType="separate"/>
          </w:r>
          <w:r>
            <w:rPr>
              <w:color w:val="auto"/>
              <w:sz w:val="28"/>
              <w:szCs w:val="28"/>
            </w:rPr>
            <w:t>2</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C269EA8">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_Toc22066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（一）应急管理机制不断完善</w:t>
          </w:r>
          <w:r>
            <w:rPr>
              <w:color w:val="auto"/>
              <w:sz w:val="28"/>
              <w:szCs w:val="28"/>
            </w:rPr>
            <w:tab/>
          </w:r>
          <w:r>
            <w:rPr>
              <w:color w:val="auto"/>
              <w:sz w:val="28"/>
              <w:szCs w:val="28"/>
            </w:rPr>
            <w:fldChar w:fldCharType="begin"/>
          </w:r>
          <w:r>
            <w:rPr>
              <w:color w:val="auto"/>
              <w:sz w:val="28"/>
              <w:szCs w:val="28"/>
            </w:rPr>
            <w:instrText xml:space="preserve"> PAGEREF _Toc22066 \h </w:instrText>
          </w:r>
          <w:r>
            <w:rPr>
              <w:color w:val="auto"/>
              <w:sz w:val="28"/>
              <w:szCs w:val="28"/>
            </w:rPr>
            <w:fldChar w:fldCharType="separate"/>
          </w:r>
          <w:r>
            <w:rPr>
              <w:color w:val="auto"/>
              <w:sz w:val="28"/>
              <w:szCs w:val="28"/>
            </w:rPr>
            <w:t>2</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3331E754">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_Toc12437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（二）安全生产形势稳定向好</w:t>
          </w:r>
          <w:r>
            <w:rPr>
              <w:color w:val="auto"/>
              <w:sz w:val="28"/>
              <w:szCs w:val="28"/>
            </w:rPr>
            <w:tab/>
          </w:r>
          <w:r>
            <w:rPr>
              <w:color w:val="auto"/>
              <w:sz w:val="28"/>
              <w:szCs w:val="28"/>
            </w:rPr>
            <w:fldChar w:fldCharType="begin"/>
          </w:r>
          <w:r>
            <w:rPr>
              <w:color w:val="auto"/>
              <w:sz w:val="28"/>
              <w:szCs w:val="28"/>
            </w:rPr>
            <w:instrText xml:space="preserve"> PAGEREF _Toc12437 \h </w:instrText>
          </w:r>
          <w:r>
            <w:rPr>
              <w:color w:val="auto"/>
              <w:sz w:val="28"/>
              <w:szCs w:val="28"/>
            </w:rPr>
            <w:fldChar w:fldCharType="separate"/>
          </w:r>
          <w:r>
            <w:rPr>
              <w:color w:val="auto"/>
              <w:sz w:val="28"/>
              <w:szCs w:val="28"/>
            </w:rPr>
            <w:t>3</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14BD99C">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_Toc17078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（三）灾害防治能力显著提升</w:t>
          </w:r>
          <w:r>
            <w:rPr>
              <w:color w:val="auto"/>
              <w:sz w:val="28"/>
              <w:szCs w:val="28"/>
            </w:rPr>
            <w:tab/>
          </w:r>
          <w:r>
            <w:rPr>
              <w:color w:val="auto"/>
              <w:sz w:val="28"/>
              <w:szCs w:val="28"/>
            </w:rPr>
            <w:fldChar w:fldCharType="begin"/>
          </w:r>
          <w:r>
            <w:rPr>
              <w:color w:val="auto"/>
              <w:sz w:val="28"/>
              <w:szCs w:val="28"/>
            </w:rPr>
            <w:instrText xml:space="preserve"> PAGEREF _Toc17078 \h </w:instrText>
          </w:r>
          <w:r>
            <w:rPr>
              <w:color w:val="auto"/>
              <w:sz w:val="28"/>
              <w:szCs w:val="28"/>
            </w:rPr>
            <w:fldChar w:fldCharType="separate"/>
          </w:r>
          <w:r>
            <w:rPr>
              <w:color w:val="auto"/>
              <w:sz w:val="28"/>
              <w:szCs w:val="28"/>
            </w:rPr>
            <w:t>4</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58F341A6">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_Toc5864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（四）消防安全监管提质增效</w:t>
          </w:r>
          <w:r>
            <w:rPr>
              <w:color w:val="auto"/>
              <w:sz w:val="28"/>
              <w:szCs w:val="28"/>
            </w:rPr>
            <w:tab/>
          </w:r>
          <w:r>
            <w:rPr>
              <w:color w:val="auto"/>
              <w:sz w:val="28"/>
              <w:szCs w:val="28"/>
            </w:rPr>
            <w:fldChar w:fldCharType="begin"/>
          </w:r>
          <w:r>
            <w:rPr>
              <w:color w:val="auto"/>
              <w:sz w:val="28"/>
              <w:szCs w:val="28"/>
            </w:rPr>
            <w:instrText xml:space="preserve"> PAGEREF _Toc5864 \h </w:instrText>
          </w:r>
          <w:r>
            <w:rPr>
              <w:color w:val="auto"/>
              <w:sz w:val="28"/>
              <w:szCs w:val="28"/>
            </w:rPr>
            <w:fldChar w:fldCharType="separate"/>
          </w:r>
          <w:r>
            <w:rPr>
              <w:color w:val="auto"/>
              <w:sz w:val="28"/>
              <w:szCs w:val="28"/>
            </w:rPr>
            <w:t>5</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4BA7E4F">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_Toc28480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（五）防震减灾体系逐步完善</w:t>
          </w:r>
          <w:r>
            <w:rPr>
              <w:color w:val="auto"/>
              <w:sz w:val="28"/>
              <w:szCs w:val="28"/>
            </w:rPr>
            <w:tab/>
          </w:r>
          <w:r>
            <w:rPr>
              <w:color w:val="auto"/>
              <w:sz w:val="28"/>
              <w:szCs w:val="28"/>
            </w:rPr>
            <w:fldChar w:fldCharType="begin"/>
          </w:r>
          <w:r>
            <w:rPr>
              <w:color w:val="auto"/>
              <w:sz w:val="28"/>
              <w:szCs w:val="28"/>
            </w:rPr>
            <w:instrText xml:space="preserve"> PAGEREF _Toc28480 \h </w:instrText>
          </w:r>
          <w:r>
            <w:rPr>
              <w:color w:val="auto"/>
              <w:sz w:val="28"/>
              <w:szCs w:val="28"/>
            </w:rPr>
            <w:fldChar w:fldCharType="separate"/>
          </w:r>
          <w:r>
            <w:rPr>
              <w:color w:val="auto"/>
              <w:sz w:val="28"/>
              <w:szCs w:val="28"/>
            </w:rPr>
            <w:t>7</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1785B895">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_Toc18778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（六）基层应急能力不断夯实</w:t>
          </w:r>
          <w:r>
            <w:rPr>
              <w:color w:val="auto"/>
              <w:sz w:val="28"/>
              <w:szCs w:val="28"/>
            </w:rPr>
            <w:tab/>
          </w:r>
          <w:r>
            <w:rPr>
              <w:color w:val="auto"/>
              <w:sz w:val="28"/>
              <w:szCs w:val="28"/>
            </w:rPr>
            <w:fldChar w:fldCharType="begin"/>
          </w:r>
          <w:r>
            <w:rPr>
              <w:color w:val="auto"/>
              <w:sz w:val="28"/>
              <w:szCs w:val="28"/>
            </w:rPr>
            <w:instrText xml:space="preserve"> PAGEREF _Toc18778 \h </w:instrText>
          </w:r>
          <w:r>
            <w:rPr>
              <w:color w:val="auto"/>
              <w:sz w:val="28"/>
              <w:szCs w:val="28"/>
            </w:rPr>
            <w:fldChar w:fldCharType="separate"/>
          </w:r>
          <w:r>
            <w:rPr>
              <w:color w:val="auto"/>
              <w:sz w:val="28"/>
              <w:szCs w:val="28"/>
            </w:rPr>
            <w:t>8</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32BAB393">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_Toc11227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二、存在问题</w:t>
          </w:r>
          <w:r>
            <w:rPr>
              <w:color w:val="auto"/>
              <w:sz w:val="28"/>
              <w:szCs w:val="28"/>
            </w:rPr>
            <w:tab/>
          </w:r>
          <w:r>
            <w:rPr>
              <w:color w:val="auto"/>
              <w:sz w:val="28"/>
              <w:szCs w:val="28"/>
            </w:rPr>
            <w:fldChar w:fldCharType="begin"/>
          </w:r>
          <w:r>
            <w:rPr>
              <w:color w:val="auto"/>
              <w:sz w:val="28"/>
              <w:szCs w:val="28"/>
            </w:rPr>
            <w:instrText xml:space="preserve"> PAGEREF _Toc11227 \h </w:instrText>
          </w:r>
          <w:r>
            <w:rPr>
              <w:color w:val="auto"/>
              <w:sz w:val="28"/>
              <w:szCs w:val="28"/>
            </w:rPr>
            <w:fldChar w:fldCharType="separate"/>
          </w:r>
          <w:r>
            <w:rPr>
              <w:color w:val="auto"/>
              <w:sz w:val="28"/>
              <w:szCs w:val="28"/>
            </w:rPr>
            <w:t>9</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145302A2">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_Toc9053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（一）</w:t>
          </w:r>
          <w:r>
            <w:rPr>
              <w:rFonts w:hint="default" w:ascii="楷体_GB2312" w:hAnsi="楷体_GB2312" w:eastAsia="楷体_GB2312" w:cs="楷体_GB2312"/>
              <w:bCs w:val="0"/>
              <w:color w:val="auto"/>
              <w:sz w:val="28"/>
              <w:szCs w:val="28"/>
              <w:lang w:val="en-US" w:eastAsia="zh-CN"/>
            </w:rPr>
            <w:t>应急统筹协调机制运行效能不高</w:t>
          </w:r>
          <w:r>
            <w:rPr>
              <w:color w:val="auto"/>
              <w:sz w:val="28"/>
              <w:szCs w:val="28"/>
            </w:rPr>
            <w:tab/>
          </w:r>
          <w:r>
            <w:rPr>
              <w:color w:val="auto"/>
              <w:sz w:val="28"/>
              <w:szCs w:val="28"/>
            </w:rPr>
            <w:fldChar w:fldCharType="begin"/>
          </w:r>
          <w:r>
            <w:rPr>
              <w:color w:val="auto"/>
              <w:sz w:val="28"/>
              <w:szCs w:val="28"/>
            </w:rPr>
            <w:instrText xml:space="preserve"> PAGEREF _Toc9053 \h </w:instrText>
          </w:r>
          <w:r>
            <w:rPr>
              <w:color w:val="auto"/>
              <w:sz w:val="28"/>
              <w:szCs w:val="28"/>
            </w:rPr>
            <w:fldChar w:fldCharType="separate"/>
          </w:r>
          <w:r>
            <w:rPr>
              <w:color w:val="auto"/>
              <w:sz w:val="28"/>
              <w:szCs w:val="28"/>
            </w:rPr>
            <w:t>9</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72D6B238">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_Toc19315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（二）</w:t>
          </w:r>
          <w:r>
            <w:rPr>
              <w:rFonts w:hint="default" w:ascii="楷体_GB2312" w:hAnsi="楷体_GB2312" w:eastAsia="楷体_GB2312" w:cs="楷体_GB2312"/>
              <w:bCs w:val="0"/>
              <w:color w:val="auto"/>
              <w:sz w:val="28"/>
              <w:szCs w:val="28"/>
              <w:lang w:val="en-US" w:eastAsia="zh-CN"/>
            </w:rPr>
            <w:t>安全生产责任落实存在末梢不畅</w:t>
          </w:r>
          <w:r>
            <w:rPr>
              <w:color w:val="auto"/>
              <w:sz w:val="28"/>
              <w:szCs w:val="28"/>
            </w:rPr>
            <w:tab/>
          </w:r>
          <w:r>
            <w:rPr>
              <w:color w:val="auto"/>
              <w:sz w:val="28"/>
              <w:szCs w:val="28"/>
            </w:rPr>
            <w:fldChar w:fldCharType="begin"/>
          </w:r>
          <w:r>
            <w:rPr>
              <w:color w:val="auto"/>
              <w:sz w:val="28"/>
              <w:szCs w:val="28"/>
            </w:rPr>
            <w:instrText xml:space="preserve"> PAGEREF _Toc19315 \h </w:instrText>
          </w:r>
          <w:r>
            <w:rPr>
              <w:color w:val="auto"/>
              <w:sz w:val="28"/>
              <w:szCs w:val="28"/>
            </w:rPr>
            <w:fldChar w:fldCharType="separate"/>
          </w:r>
          <w:r>
            <w:rPr>
              <w:color w:val="auto"/>
              <w:sz w:val="28"/>
              <w:szCs w:val="28"/>
            </w:rPr>
            <w:t>10</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305ACFED">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_Toc9298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（三）极端天气应对能力不足</w:t>
          </w:r>
          <w:r>
            <w:rPr>
              <w:color w:val="auto"/>
              <w:sz w:val="28"/>
              <w:szCs w:val="28"/>
            </w:rPr>
            <w:tab/>
          </w:r>
          <w:r>
            <w:rPr>
              <w:color w:val="auto"/>
              <w:sz w:val="28"/>
              <w:szCs w:val="28"/>
            </w:rPr>
            <w:fldChar w:fldCharType="begin"/>
          </w:r>
          <w:r>
            <w:rPr>
              <w:color w:val="auto"/>
              <w:sz w:val="28"/>
              <w:szCs w:val="28"/>
            </w:rPr>
            <w:instrText xml:space="preserve"> PAGEREF _Toc9298 \h </w:instrText>
          </w:r>
          <w:r>
            <w:rPr>
              <w:color w:val="auto"/>
              <w:sz w:val="28"/>
              <w:szCs w:val="28"/>
            </w:rPr>
            <w:fldChar w:fldCharType="separate"/>
          </w:r>
          <w:r>
            <w:rPr>
              <w:color w:val="auto"/>
              <w:sz w:val="28"/>
              <w:szCs w:val="28"/>
            </w:rPr>
            <w:t>10</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4ADE9A65">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_Toc28547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（四）应急救援力量不足，基层末梢防控弱化</w:t>
          </w:r>
          <w:r>
            <w:rPr>
              <w:color w:val="auto"/>
              <w:sz w:val="28"/>
              <w:szCs w:val="28"/>
            </w:rPr>
            <w:tab/>
          </w:r>
          <w:r>
            <w:rPr>
              <w:color w:val="auto"/>
              <w:sz w:val="28"/>
              <w:szCs w:val="28"/>
            </w:rPr>
            <w:fldChar w:fldCharType="begin"/>
          </w:r>
          <w:r>
            <w:rPr>
              <w:color w:val="auto"/>
              <w:sz w:val="28"/>
              <w:szCs w:val="28"/>
            </w:rPr>
            <w:instrText xml:space="preserve"> PAGEREF _Toc28547 \h </w:instrText>
          </w:r>
          <w:r>
            <w:rPr>
              <w:color w:val="auto"/>
              <w:sz w:val="28"/>
              <w:szCs w:val="28"/>
            </w:rPr>
            <w:fldChar w:fldCharType="separate"/>
          </w:r>
          <w:r>
            <w:rPr>
              <w:color w:val="auto"/>
              <w:sz w:val="28"/>
              <w:szCs w:val="28"/>
            </w:rPr>
            <w:t>11</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5C56C5FA">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_Toc28916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（五）</w:t>
          </w:r>
          <w:r>
            <w:rPr>
              <w:rFonts w:hint="default" w:ascii="楷体_GB2312" w:hAnsi="楷体_GB2312" w:eastAsia="楷体_GB2312" w:cs="楷体_GB2312"/>
              <w:bCs w:val="0"/>
              <w:color w:val="auto"/>
              <w:sz w:val="28"/>
              <w:szCs w:val="28"/>
              <w:lang w:val="en-US" w:eastAsia="zh-CN"/>
            </w:rPr>
            <w:t>执法监管力量</w:t>
          </w:r>
          <w:r>
            <w:rPr>
              <w:rFonts w:hint="eastAsia" w:ascii="楷体_GB2312" w:hAnsi="楷体_GB2312" w:eastAsia="楷体_GB2312" w:cs="楷体_GB2312"/>
              <w:bCs w:val="0"/>
              <w:color w:val="auto"/>
              <w:sz w:val="28"/>
              <w:szCs w:val="28"/>
              <w:lang w:val="en-US" w:eastAsia="zh-CN"/>
            </w:rPr>
            <w:t>不强，</w:t>
          </w:r>
          <w:r>
            <w:rPr>
              <w:rFonts w:hint="default" w:ascii="楷体_GB2312" w:hAnsi="楷体_GB2312" w:eastAsia="楷体_GB2312" w:cs="楷体_GB2312"/>
              <w:bCs w:val="0"/>
              <w:color w:val="auto"/>
              <w:sz w:val="28"/>
              <w:szCs w:val="28"/>
              <w:lang w:val="en-US" w:eastAsia="zh-CN"/>
            </w:rPr>
            <w:t>基层检查效能下降</w:t>
          </w:r>
          <w:r>
            <w:rPr>
              <w:color w:val="auto"/>
              <w:sz w:val="28"/>
              <w:szCs w:val="28"/>
            </w:rPr>
            <w:tab/>
          </w:r>
          <w:r>
            <w:rPr>
              <w:color w:val="auto"/>
              <w:sz w:val="28"/>
              <w:szCs w:val="28"/>
            </w:rPr>
            <w:fldChar w:fldCharType="begin"/>
          </w:r>
          <w:r>
            <w:rPr>
              <w:color w:val="auto"/>
              <w:sz w:val="28"/>
              <w:szCs w:val="28"/>
            </w:rPr>
            <w:instrText xml:space="preserve"> PAGEREF _Toc28916 \h </w:instrText>
          </w:r>
          <w:r>
            <w:rPr>
              <w:color w:val="auto"/>
              <w:sz w:val="28"/>
              <w:szCs w:val="28"/>
            </w:rPr>
            <w:fldChar w:fldCharType="separate"/>
          </w:r>
          <w:r>
            <w:rPr>
              <w:color w:val="auto"/>
              <w:sz w:val="28"/>
              <w:szCs w:val="28"/>
            </w:rPr>
            <w:t>11</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0EFFA0D6">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_Toc22082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（六）</w:t>
          </w:r>
          <w:r>
            <w:rPr>
              <w:rFonts w:hint="default" w:ascii="楷体_GB2312" w:hAnsi="楷体_GB2312" w:eastAsia="楷体_GB2312" w:cs="楷体_GB2312"/>
              <w:bCs w:val="0"/>
              <w:color w:val="auto"/>
              <w:sz w:val="28"/>
              <w:szCs w:val="28"/>
              <w:lang w:val="en-US" w:eastAsia="zh-CN"/>
            </w:rPr>
            <w:t>智慧应急实战支撑</w:t>
          </w:r>
          <w:r>
            <w:rPr>
              <w:rFonts w:hint="eastAsia" w:ascii="楷体_GB2312" w:hAnsi="楷体_GB2312" w:eastAsia="楷体_GB2312" w:cs="楷体_GB2312"/>
              <w:bCs w:val="0"/>
              <w:color w:val="auto"/>
              <w:sz w:val="28"/>
              <w:szCs w:val="28"/>
              <w:lang w:val="en-US" w:eastAsia="zh-CN"/>
            </w:rPr>
            <w:t>不强</w:t>
          </w:r>
          <w:r>
            <w:rPr>
              <w:color w:val="auto"/>
              <w:sz w:val="28"/>
              <w:szCs w:val="28"/>
            </w:rPr>
            <w:tab/>
          </w:r>
          <w:r>
            <w:rPr>
              <w:color w:val="auto"/>
              <w:sz w:val="28"/>
              <w:szCs w:val="28"/>
            </w:rPr>
            <w:fldChar w:fldCharType="begin"/>
          </w:r>
          <w:r>
            <w:rPr>
              <w:color w:val="auto"/>
              <w:sz w:val="28"/>
              <w:szCs w:val="28"/>
            </w:rPr>
            <w:instrText xml:space="preserve"> PAGEREF _Toc22082 \h </w:instrText>
          </w:r>
          <w:r>
            <w:rPr>
              <w:color w:val="auto"/>
              <w:sz w:val="28"/>
              <w:szCs w:val="28"/>
            </w:rPr>
            <w:fldChar w:fldCharType="separate"/>
          </w:r>
          <w:r>
            <w:rPr>
              <w:color w:val="auto"/>
              <w:sz w:val="28"/>
              <w:szCs w:val="28"/>
            </w:rPr>
            <w:t>12</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4F8ADCF4">
          <w:pPr>
            <w:pStyle w:val="6"/>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_Toc29029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方正小标宋简体" w:hAnsi="方正小标宋简体" w:eastAsia="方正小标宋简体" w:cs="方正小标宋简体"/>
              <w:color w:val="auto"/>
              <w:sz w:val="28"/>
              <w:szCs w:val="28"/>
              <w:lang w:val="en-US" w:eastAsia="zh-CN"/>
            </w:rPr>
            <w:t>第二章 “十五五”时期面临的形势</w:t>
          </w:r>
          <w:r>
            <w:rPr>
              <w:color w:val="auto"/>
              <w:sz w:val="28"/>
              <w:szCs w:val="28"/>
            </w:rPr>
            <w:tab/>
          </w:r>
          <w:r>
            <w:rPr>
              <w:color w:val="auto"/>
              <w:sz w:val="28"/>
              <w:szCs w:val="28"/>
            </w:rPr>
            <w:fldChar w:fldCharType="begin"/>
          </w:r>
          <w:r>
            <w:rPr>
              <w:color w:val="auto"/>
              <w:sz w:val="28"/>
              <w:szCs w:val="28"/>
            </w:rPr>
            <w:instrText xml:space="preserve"> PAGEREF _Toc29029 \h </w:instrText>
          </w:r>
          <w:r>
            <w:rPr>
              <w:color w:val="auto"/>
              <w:sz w:val="28"/>
              <w:szCs w:val="28"/>
            </w:rPr>
            <w:fldChar w:fldCharType="separate"/>
          </w:r>
          <w:r>
            <w:rPr>
              <w:color w:val="auto"/>
              <w:sz w:val="28"/>
              <w:szCs w:val="28"/>
            </w:rPr>
            <w:t>12</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02685085">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_Toc26376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一、面临的挑战</w:t>
          </w:r>
          <w:r>
            <w:rPr>
              <w:color w:val="auto"/>
              <w:sz w:val="28"/>
              <w:szCs w:val="28"/>
            </w:rPr>
            <w:tab/>
          </w:r>
          <w:r>
            <w:rPr>
              <w:color w:val="auto"/>
              <w:sz w:val="28"/>
              <w:szCs w:val="28"/>
            </w:rPr>
            <w:fldChar w:fldCharType="begin"/>
          </w:r>
          <w:r>
            <w:rPr>
              <w:color w:val="auto"/>
              <w:sz w:val="28"/>
              <w:szCs w:val="28"/>
            </w:rPr>
            <w:instrText xml:space="preserve"> PAGEREF _Toc26376 \h </w:instrText>
          </w:r>
          <w:r>
            <w:rPr>
              <w:color w:val="auto"/>
              <w:sz w:val="28"/>
              <w:szCs w:val="28"/>
            </w:rPr>
            <w:fldChar w:fldCharType="separate"/>
          </w:r>
          <w:r>
            <w:rPr>
              <w:color w:val="auto"/>
              <w:sz w:val="28"/>
              <w:szCs w:val="28"/>
            </w:rPr>
            <w:t>12</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7A4DE5BB">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_Toc30829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（一）山区自然灾害复合风险突出</w:t>
          </w:r>
          <w:r>
            <w:rPr>
              <w:color w:val="auto"/>
              <w:sz w:val="28"/>
              <w:szCs w:val="28"/>
            </w:rPr>
            <w:tab/>
          </w:r>
          <w:r>
            <w:rPr>
              <w:color w:val="auto"/>
              <w:sz w:val="28"/>
              <w:szCs w:val="28"/>
            </w:rPr>
            <w:fldChar w:fldCharType="begin"/>
          </w:r>
          <w:r>
            <w:rPr>
              <w:color w:val="auto"/>
              <w:sz w:val="28"/>
              <w:szCs w:val="28"/>
            </w:rPr>
            <w:instrText xml:space="preserve"> PAGEREF _Toc30829 \h </w:instrText>
          </w:r>
          <w:r>
            <w:rPr>
              <w:color w:val="auto"/>
              <w:sz w:val="28"/>
              <w:szCs w:val="28"/>
            </w:rPr>
            <w:fldChar w:fldCharType="separate"/>
          </w:r>
          <w:r>
            <w:rPr>
              <w:color w:val="auto"/>
              <w:sz w:val="28"/>
              <w:szCs w:val="28"/>
            </w:rPr>
            <w:t>13</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6D18110B">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_Toc22273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（二）产业结构深度转型衍生新型安全风险</w:t>
          </w:r>
          <w:r>
            <w:rPr>
              <w:color w:val="auto"/>
              <w:sz w:val="28"/>
              <w:szCs w:val="28"/>
            </w:rPr>
            <w:tab/>
          </w:r>
          <w:r>
            <w:rPr>
              <w:color w:val="auto"/>
              <w:sz w:val="28"/>
              <w:szCs w:val="28"/>
            </w:rPr>
            <w:fldChar w:fldCharType="begin"/>
          </w:r>
          <w:r>
            <w:rPr>
              <w:color w:val="auto"/>
              <w:sz w:val="28"/>
              <w:szCs w:val="28"/>
            </w:rPr>
            <w:instrText xml:space="preserve"> PAGEREF _Toc22273 \h </w:instrText>
          </w:r>
          <w:r>
            <w:rPr>
              <w:color w:val="auto"/>
              <w:sz w:val="28"/>
              <w:szCs w:val="28"/>
            </w:rPr>
            <w:fldChar w:fldCharType="separate"/>
          </w:r>
          <w:r>
            <w:rPr>
              <w:color w:val="auto"/>
              <w:sz w:val="28"/>
              <w:szCs w:val="28"/>
            </w:rPr>
            <w:t>13</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4B1D0C3A">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_Toc1515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（三）核心承载功能对消防救援提出更高要求</w:t>
          </w:r>
          <w:r>
            <w:rPr>
              <w:color w:val="auto"/>
              <w:sz w:val="28"/>
              <w:szCs w:val="28"/>
            </w:rPr>
            <w:tab/>
          </w:r>
          <w:r>
            <w:rPr>
              <w:color w:val="auto"/>
              <w:sz w:val="28"/>
              <w:szCs w:val="28"/>
            </w:rPr>
            <w:fldChar w:fldCharType="begin"/>
          </w:r>
          <w:r>
            <w:rPr>
              <w:color w:val="auto"/>
              <w:sz w:val="28"/>
              <w:szCs w:val="28"/>
            </w:rPr>
            <w:instrText xml:space="preserve"> PAGEREF _Toc1515 \h </w:instrText>
          </w:r>
          <w:r>
            <w:rPr>
              <w:color w:val="auto"/>
              <w:sz w:val="28"/>
              <w:szCs w:val="28"/>
            </w:rPr>
            <w:fldChar w:fldCharType="separate"/>
          </w:r>
          <w:r>
            <w:rPr>
              <w:color w:val="auto"/>
              <w:sz w:val="28"/>
              <w:szCs w:val="28"/>
            </w:rPr>
            <w:t>14</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74101531">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_Toc20593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（四）地震灾害链风险不容忽视</w:t>
          </w:r>
          <w:r>
            <w:rPr>
              <w:color w:val="auto"/>
              <w:sz w:val="28"/>
              <w:szCs w:val="28"/>
            </w:rPr>
            <w:tab/>
          </w:r>
          <w:r>
            <w:rPr>
              <w:color w:val="auto"/>
              <w:sz w:val="28"/>
              <w:szCs w:val="28"/>
            </w:rPr>
            <w:fldChar w:fldCharType="begin"/>
          </w:r>
          <w:r>
            <w:rPr>
              <w:color w:val="auto"/>
              <w:sz w:val="28"/>
              <w:szCs w:val="28"/>
            </w:rPr>
            <w:instrText xml:space="preserve"> PAGEREF _Toc20593 \h </w:instrText>
          </w:r>
          <w:r>
            <w:rPr>
              <w:color w:val="auto"/>
              <w:sz w:val="28"/>
              <w:szCs w:val="28"/>
            </w:rPr>
            <w:fldChar w:fldCharType="separate"/>
          </w:r>
          <w:r>
            <w:rPr>
              <w:color w:val="auto"/>
              <w:sz w:val="28"/>
              <w:szCs w:val="28"/>
            </w:rPr>
            <w:t>14</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691A51F7">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_Toc1411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（五）基层应急管理与韧性建设基础薄弱</w:t>
          </w:r>
          <w:r>
            <w:rPr>
              <w:color w:val="auto"/>
              <w:sz w:val="28"/>
              <w:szCs w:val="28"/>
            </w:rPr>
            <w:tab/>
          </w:r>
          <w:r>
            <w:rPr>
              <w:color w:val="auto"/>
              <w:sz w:val="28"/>
              <w:szCs w:val="28"/>
            </w:rPr>
            <w:fldChar w:fldCharType="begin"/>
          </w:r>
          <w:r>
            <w:rPr>
              <w:color w:val="auto"/>
              <w:sz w:val="28"/>
              <w:szCs w:val="28"/>
            </w:rPr>
            <w:instrText xml:space="preserve"> PAGEREF _Toc1411 \h </w:instrText>
          </w:r>
          <w:r>
            <w:rPr>
              <w:color w:val="auto"/>
              <w:sz w:val="28"/>
              <w:szCs w:val="28"/>
            </w:rPr>
            <w:fldChar w:fldCharType="separate"/>
          </w:r>
          <w:r>
            <w:rPr>
              <w:color w:val="auto"/>
              <w:sz w:val="28"/>
              <w:szCs w:val="28"/>
            </w:rPr>
            <w:t>15</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314CA928">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_Toc6416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（六）应急管理科技赋能水平存在差距</w:t>
          </w:r>
          <w:r>
            <w:rPr>
              <w:color w:val="auto"/>
              <w:sz w:val="28"/>
              <w:szCs w:val="28"/>
            </w:rPr>
            <w:tab/>
          </w:r>
          <w:r>
            <w:rPr>
              <w:color w:val="auto"/>
              <w:sz w:val="28"/>
              <w:szCs w:val="28"/>
            </w:rPr>
            <w:fldChar w:fldCharType="begin"/>
          </w:r>
          <w:r>
            <w:rPr>
              <w:color w:val="auto"/>
              <w:sz w:val="28"/>
              <w:szCs w:val="28"/>
            </w:rPr>
            <w:instrText xml:space="preserve"> PAGEREF _Toc6416 \h </w:instrText>
          </w:r>
          <w:r>
            <w:rPr>
              <w:color w:val="auto"/>
              <w:sz w:val="28"/>
              <w:szCs w:val="28"/>
            </w:rPr>
            <w:fldChar w:fldCharType="separate"/>
          </w:r>
          <w:r>
            <w:rPr>
              <w:color w:val="auto"/>
              <w:sz w:val="28"/>
              <w:szCs w:val="28"/>
            </w:rPr>
            <w:t>15</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42C89F6">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_Toc13329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二、面临的机遇</w:t>
          </w:r>
          <w:r>
            <w:rPr>
              <w:color w:val="auto"/>
              <w:sz w:val="28"/>
              <w:szCs w:val="28"/>
            </w:rPr>
            <w:tab/>
          </w:r>
          <w:r>
            <w:rPr>
              <w:color w:val="auto"/>
              <w:sz w:val="28"/>
              <w:szCs w:val="28"/>
            </w:rPr>
            <w:fldChar w:fldCharType="begin"/>
          </w:r>
          <w:r>
            <w:rPr>
              <w:color w:val="auto"/>
              <w:sz w:val="28"/>
              <w:szCs w:val="28"/>
            </w:rPr>
            <w:instrText xml:space="preserve"> PAGEREF _Toc13329 \h </w:instrText>
          </w:r>
          <w:r>
            <w:rPr>
              <w:color w:val="auto"/>
              <w:sz w:val="28"/>
              <w:szCs w:val="28"/>
            </w:rPr>
            <w:fldChar w:fldCharType="separate"/>
          </w:r>
          <w:r>
            <w:rPr>
              <w:color w:val="auto"/>
              <w:sz w:val="28"/>
              <w:szCs w:val="28"/>
            </w:rPr>
            <w:t>16</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FE69CA7">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_Toc22597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（一）应急管理体制改革为怀柔应急先行先试提供政策保障</w:t>
          </w:r>
          <w:r>
            <w:rPr>
              <w:color w:val="auto"/>
              <w:sz w:val="28"/>
              <w:szCs w:val="28"/>
            </w:rPr>
            <w:tab/>
          </w:r>
          <w:r>
            <w:rPr>
              <w:color w:val="auto"/>
              <w:sz w:val="28"/>
              <w:szCs w:val="28"/>
            </w:rPr>
            <w:fldChar w:fldCharType="begin"/>
          </w:r>
          <w:r>
            <w:rPr>
              <w:color w:val="auto"/>
              <w:sz w:val="28"/>
              <w:szCs w:val="28"/>
            </w:rPr>
            <w:instrText xml:space="preserve"> PAGEREF _Toc22597 \h </w:instrText>
          </w:r>
          <w:r>
            <w:rPr>
              <w:color w:val="auto"/>
              <w:sz w:val="28"/>
              <w:szCs w:val="28"/>
            </w:rPr>
            <w:fldChar w:fldCharType="separate"/>
          </w:r>
          <w:r>
            <w:rPr>
              <w:color w:val="auto"/>
              <w:sz w:val="28"/>
              <w:szCs w:val="28"/>
            </w:rPr>
            <w:t>16</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154435FE">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_Toc26990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（二）韧性城市建设为夯实山区防灾减灾基础创造有利契机</w:t>
          </w:r>
          <w:r>
            <w:rPr>
              <w:color w:val="auto"/>
              <w:sz w:val="28"/>
              <w:szCs w:val="28"/>
            </w:rPr>
            <w:tab/>
          </w:r>
          <w:r>
            <w:rPr>
              <w:color w:val="auto"/>
              <w:sz w:val="28"/>
              <w:szCs w:val="28"/>
            </w:rPr>
            <w:fldChar w:fldCharType="begin"/>
          </w:r>
          <w:r>
            <w:rPr>
              <w:color w:val="auto"/>
              <w:sz w:val="28"/>
              <w:szCs w:val="28"/>
            </w:rPr>
            <w:instrText xml:space="preserve"> PAGEREF _Toc26990 \h </w:instrText>
          </w:r>
          <w:r>
            <w:rPr>
              <w:color w:val="auto"/>
              <w:sz w:val="28"/>
              <w:szCs w:val="28"/>
            </w:rPr>
            <w:fldChar w:fldCharType="separate"/>
          </w:r>
          <w:r>
            <w:rPr>
              <w:color w:val="auto"/>
              <w:sz w:val="28"/>
              <w:szCs w:val="28"/>
            </w:rPr>
            <w:t>17</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0C086966">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_Toc25682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（三）怀柔科学城建设为应急科技创新转化注入强大动能</w:t>
          </w:r>
          <w:r>
            <w:rPr>
              <w:color w:val="auto"/>
              <w:sz w:val="28"/>
              <w:szCs w:val="28"/>
            </w:rPr>
            <w:tab/>
          </w:r>
          <w:r>
            <w:rPr>
              <w:color w:val="auto"/>
              <w:sz w:val="28"/>
              <w:szCs w:val="28"/>
            </w:rPr>
            <w:fldChar w:fldCharType="begin"/>
          </w:r>
          <w:r>
            <w:rPr>
              <w:color w:val="auto"/>
              <w:sz w:val="28"/>
              <w:szCs w:val="28"/>
            </w:rPr>
            <w:instrText xml:space="preserve"> PAGEREF _Toc25682 \h </w:instrText>
          </w:r>
          <w:r>
            <w:rPr>
              <w:color w:val="auto"/>
              <w:sz w:val="28"/>
              <w:szCs w:val="28"/>
            </w:rPr>
            <w:fldChar w:fldCharType="separate"/>
          </w:r>
          <w:r>
            <w:rPr>
              <w:color w:val="auto"/>
              <w:sz w:val="28"/>
              <w:szCs w:val="28"/>
            </w:rPr>
            <w:t>17</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28295C6">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_Toc12670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（四）数字赋能为智慧应急感知决策构建关键底座</w:t>
          </w:r>
          <w:r>
            <w:rPr>
              <w:color w:val="auto"/>
              <w:sz w:val="28"/>
              <w:szCs w:val="28"/>
            </w:rPr>
            <w:tab/>
          </w:r>
          <w:r>
            <w:rPr>
              <w:color w:val="auto"/>
              <w:sz w:val="28"/>
              <w:szCs w:val="28"/>
            </w:rPr>
            <w:fldChar w:fldCharType="begin"/>
          </w:r>
          <w:r>
            <w:rPr>
              <w:color w:val="auto"/>
              <w:sz w:val="28"/>
              <w:szCs w:val="28"/>
            </w:rPr>
            <w:instrText xml:space="preserve"> PAGEREF _Toc12670 \h </w:instrText>
          </w:r>
          <w:r>
            <w:rPr>
              <w:color w:val="auto"/>
              <w:sz w:val="28"/>
              <w:szCs w:val="28"/>
            </w:rPr>
            <w:fldChar w:fldCharType="separate"/>
          </w:r>
          <w:r>
            <w:rPr>
              <w:color w:val="auto"/>
              <w:sz w:val="28"/>
              <w:szCs w:val="28"/>
            </w:rPr>
            <w:t>18</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6EABCBB1">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_Toc30114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（五）区域协同为跨域联防联控实战提供广阔平台</w:t>
          </w:r>
          <w:r>
            <w:rPr>
              <w:color w:val="auto"/>
              <w:sz w:val="28"/>
              <w:szCs w:val="28"/>
            </w:rPr>
            <w:tab/>
          </w:r>
          <w:r>
            <w:rPr>
              <w:color w:val="auto"/>
              <w:sz w:val="28"/>
              <w:szCs w:val="28"/>
            </w:rPr>
            <w:fldChar w:fldCharType="begin"/>
          </w:r>
          <w:r>
            <w:rPr>
              <w:color w:val="auto"/>
              <w:sz w:val="28"/>
              <w:szCs w:val="28"/>
            </w:rPr>
            <w:instrText xml:space="preserve"> PAGEREF _Toc30114 \h </w:instrText>
          </w:r>
          <w:r>
            <w:rPr>
              <w:color w:val="auto"/>
              <w:sz w:val="28"/>
              <w:szCs w:val="28"/>
            </w:rPr>
            <w:fldChar w:fldCharType="separate"/>
          </w:r>
          <w:r>
            <w:rPr>
              <w:color w:val="auto"/>
              <w:sz w:val="28"/>
              <w:szCs w:val="28"/>
            </w:rPr>
            <w:t>18</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4AE4D8AB">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_Toc13996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（六）安全素养提升为基层共建共治共享奠定社会基础</w:t>
          </w:r>
          <w:r>
            <w:rPr>
              <w:color w:val="auto"/>
              <w:sz w:val="28"/>
              <w:szCs w:val="28"/>
            </w:rPr>
            <w:tab/>
          </w:r>
          <w:r>
            <w:rPr>
              <w:color w:val="auto"/>
              <w:sz w:val="28"/>
              <w:szCs w:val="28"/>
            </w:rPr>
            <w:fldChar w:fldCharType="begin"/>
          </w:r>
          <w:r>
            <w:rPr>
              <w:color w:val="auto"/>
              <w:sz w:val="28"/>
              <w:szCs w:val="28"/>
            </w:rPr>
            <w:instrText xml:space="preserve"> PAGEREF _Toc13996 \h </w:instrText>
          </w:r>
          <w:r>
            <w:rPr>
              <w:color w:val="auto"/>
              <w:sz w:val="28"/>
              <w:szCs w:val="28"/>
            </w:rPr>
            <w:fldChar w:fldCharType="separate"/>
          </w:r>
          <w:r>
            <w:rPr>
              <w:color w:val="auto"/>
              <w:sz w:val="28"/>
              <w:szCs w:val="28"/>
            </w:rPr>
            <w:t>19</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4D42261F">
          <w:pPr>
            <w:pStyle w:val="6"/>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_Toc23008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方正小标宋简体" w:hAnsi="方正小标宋简体" w:eastAsia="方正小标宋简体" w:cs="方正小标宋简体"/>
              <w:color w:val="auto"/>
              <w:sz w:val="28"/>
              <w:szCs w:val="28"/>
              <w:lang w:val="en-US" w:eastAsia="zh-CN"/>
            </w:rPr>
            <w:t>第三章 指导思想、基本原则和主要目标</w:t>
          </w:r>
          <w:r>
            <w:rPr>
              <w:color w:val="auto"/>
              <w:sz w:val="28"/>
              <w:szCs w:val="28"/>
            </w:rPr>
            <w:tab/>
          </w:r>
          <w:r>
            <w:rPr>
              <w:color w:val="auto"/>
              <w:sz w:val="28"/>
              <w:szCs w:val="28"/>
            </w:rPr>
            <w:fldChar w:fldCharType="begin"/>
          </w:r>
          <w:r>
            <w:rPr>
              <w:color w:val="auto"/>
              <w:sz w:val="28"/>
              <w:szCs w:val="28"/>
            </w:rPr>
            <w:instrText xml:space="preserve"> PAGEREF _Toc23008 \h </w:instrText>
          </w:r>
          <w:r>
            <w:rPr>
              <w:color w:val="auto"/>
              <w:sz w:val="28"/>
              <w:szCs w:val="28"/>
            </w:rPr>
            <w:fldChar w:fldCharType="separate"/>
          </w:r>
          <w:r>
            <w:rPr>
              <w:color w:val="auto"/>
              <w:sz w:val="28"/>
              <w:szCs w:val="28"/>
            </w:rPr>
            <w:t>20</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450EAF11">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_Toc20791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一、指导思想</w:t>
          </w:r>
          <w:r>
            <w:rPr>
              <w:color w:val="auto"/>
              <w:sz w:val="28"/>
              <w:szCs w:val="28"/>
            </w:rPr>
            <w:tab/>
          </w:r>
          <w:r>
            <w:rPr>
              <w:color w:val="auto"/>
              <w:sz w:val="28"/>
              <w:szCs w:val="28"/>
            </w:rPr>
            <w:fldChar w:fldCharType="begin"/>
          </w:r>
          <w:r>
            <w:rPr>
              <w:color w:val="auto"/>
              <w:sz w:val="28"/>
              <w:szCs w:val="28"/>
            </w:rPr>
            <w:instrText xml:space="preserve"> PAGEREF _Toc20791 \h </w:instrText>
          </w:r>
          <w:r>
            <w:rPr>
              <w:color w:val="auto"/>
              <w:sz w:val="28"/>
              <w:szCs w:val="28"/>
            </w:rPr>
            <w:fldChar w:fldCharType="separate"/>
          </w:r>
          <w:r>
            <w:rPr>
              <w:color w:val="auto"/>
              <w:sz w:val="28"/>
              <w:szCs w:val="28"/>
            </w:rPr>
            <w:t>20</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6BE56B15">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_Toc19593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二、基本原则</w:t>
          </w:r>
          <w:r>
            <w:rPr>
              <w:color w:val="auto"/>
              <w:sz w:val="28"/>
              <w:szCs w:val="28"/>
            </w:rPr>
            <w:tab/>
          </w:r>
          <w:r>
            <w:rPr>
              <w:color w:val="auto"/>
              <w:sz w:val="28"/>
              <w:szCs w:val="28"/>
            </w:rPr>
            <w:fldChar w:fldCharType="begin"/>
          </w:r>
          <w:r>
            <w:rPr>
              <w:color w:val="auto"/>
              <w:sz w:val="28"/>
              <w:szCs w:val="28"/>
            </w:rPr>
            <w:instrText xml:space="preserve"> PAGEREF _Toc19593 \h </w:instrText>
          </w:r>
          <w:r>
            <w:rPr>
              <w:color w:val="auto"/>
              <w:sz w:val="28"/>
              <w:szCs w:val="28"/>
            </w:rPr>
            <w:fldChar w:fldCharType="separate"/>
          </w:r>
          <w:r>
            <w:rPr>
              <w:color w:val="auto"/>
              <w:sz w:val="28"/>
              <w:szCs w:val="28"/>
            </w:rPr>
            <w:t>21</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5DFC797D">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_Toc27137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三、主要目标</w:t>
          </w:r>
          <w:r>
            <w:rPr>
              <w:color w:val="auto"/>
              <w:sz w:val="28"/>
              <w:szCs w:val="28"/>
            </w:rPr>
            <w:tab/>
          </w:r>
          <w:r>
            <w:rPr>
              <w:color w:val="auto"/>
              <w:sz w:val="28"/>
              <w:szCs w:val="28"/>
            </w:rPr>
            <w:fldChar w:fldCharType="begin"/>
          </w:r>
          <w:r>
            <w:rPr>
              <w:color w:val="auto"/>
              <w:sz w:val="28"/>
              <w:szCs w:val="28"/>
            </w:rPr>
            <w:instrText xml:space="preserve"> PAGEREF _Toc27137 \h </w:instrText>
          </w:r>
          <w:r>
            <w:rPr>
              <w:color w:val="auto"/>
              <w:sz w:val="28"/>
              <w:szCs w:val="28"/>
            </w:rPr>
            <w:fldChar w:fldCharType="separate"/>
          </w:r>
          <w:r>
            <w:rPr>
              <w:color w:val="auto"/>
              <w:sz w:val="28"/>
              <w:szCs w:val="28"/>
            </w:rPr>
            <w:t>22</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48F3FBF5">
          <w:pPr>
            <w:pStyle w:val="6"/>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_Toc2303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方正小标宋简体" w:hAnsi="方正小标宋简体" w:eastAsia="方正小标宋简体" w:cs="方正小标宋简体"/>
              <w:color w:val="auto"/>
              <w:sz w:val="28"/>
              <w:szCs w:val="28"/>
              <w:lang w:val="en-US" w:eastAsia="zh-CN"/>
            </w:rPr>
            <w:t>第四章 主要任务</w:t>
          </w:r>
          <w:r>
            <w:rPr>
              <w:color w:val="auto"/>
              <w:sz w:val="28"/>
              <w:szCs w:val="28"/>
            </w:rPr>
            <w:tab/>
          </w:r>
          <w:r>
            <w:rPr>
              <w:color w:val="auto"/>
              <w:sz w:val="28"/>
              <w:szCs w:val="28"/>
            </w:rPr>
            <w:fldChar w:fldCharType="begin"/>
          </w:r>
          <w:r>
            <w:rPr>
              <w:color w:val="auto"/>
              <w:sz w:val="28"/>
              <w:szCs w:val="28"/>
            </w:rPr>
            <w:instrText xml:space="preserve"> PAGEREF _Toc2303 \h </w:instrText>
          </w:r>
          <w:r>
            <w:rPr>
              <w:color w:val="auto"/>
              <w:sz w:val="28"/>
              <w:szCs w:val="28"/>
            </w:rPr>
            <w:fldChar w:fldCharType="separate"/>
          </w:r>
          <w:r>
            <w:rPr>
              <w:color w:val="auto"/>
              <w:sz w:val="28"/>
              <w:szCs w:val="28"/>
            </w:rPr>
            <w:t>24</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43EFBB22">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_Toc5312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一、组织指挥篇：构建服务首都功能承载地的全域联动应急中枢</w:t>
          </w:r>
          <w:r>
            <w:rPr>
              <w:color w:val="auto"/>
              <w:sz w:val="28"/>
              <w:szCs w:val="28"/>
            </w:rPr>
            <w:tab/>
          </w:r>
          <w:r>
            <w:rPr>
              <w:color w:val="auto"/>
              <w:sz w:val="28"/>
              <w:szCs w:val="28"/>
            </w:rPr>
            <w:fldChar w:fldCharType="begin"/>
          </w:r>
          <w:r>
            <w:rPr>
              <w:color w:val="auto"/>
              <w:sz w:val="28"/>
              <w:szCs w:val="28"/>
            </w:rPr>
            <w:instrText xml:space="preserve"> PAGEREF _Toc5312 \h </w:instrText>
          </w:r>
          <w:r>
            <w:rPr>
              <w:color w:val="auto"/>
              <w:sz w:val="28"/>
              <w:szCs w:val="28"/>
            </w:rPr>
            <w:fldChar w:fldCharType="separate"/>
          </w:r>
          <w:r>
            <w:rPr>
              <w:color w:val="auto"/>
              <w:sz w:val="28"/>
              <w:szCs w:val="28"/>
            </w:rPr>
            <w:t>24</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3B691455">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_Toc2684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（一）持续完善应急组织指挥机制</w:t>
          </w:r>
          <w:r>
            <w:rPr>
              <w:color w:val="auto"/>
              <w:sz w:val="28"/>
              <w:szCs w:val="28"/>
            </w:rPr>
            <w:tab/>
          </w:r>
          <w:r>
            <w:rPr>
              <w:color w:val="auto"/>
              <w:sz w:val="28"/>
              <w:szCs w:val="28"/>
            </w:rPr>
            <w:fldChar w:fldCharType="begin"/>
          </w:r>
          <w:r>
            <w:rPr>
              <w:color w:val="auto"/>
              <w:sz w:val="28"/>
              <w:szCs w:val="28"/>
            </w:rPr>
            <w:instrText xml:space="preserve"> PAGEREF _Toc2684 \h </w:instrText>
          </w:r>
          <w:r>
            <w:rPr>
              <w:color w:val="auto"/>
              <w:sz w:val="28"/>
              <w:szCs w:val="28"/>
            </w:rPr>
            <w:fldChar w:fldCharType="separate"/>
          </w:r>
          <w:r>
            <w:rPr>
              <w:color w:val="auto"/>
              <w:sz w:val="28"/>
              <w:szCs w:val="28"/>
            </w:rPr>
            <w:t>24</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4D8D2B89">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_Toc9405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（二）提升突发事件应对处置能力</w:t>
          </w:r>
          <w:r>
            <w:rPr>
              <w:color w:val="auto"/>
              <w:sz w:val="28"/>
              <w:szCs w:val="28"/>
            </w:rPr>
            <w:tab/>
          </w:r>
          <w:r>
            <w:rPr>
              <w:color w:val="auto"/>
              <w:sz w:val="28"/>
              <w:szCs w:val="28"/>
            </w:rPr>
            <w:fldChar w:fldCharType="begin"/>
          </w:r>
          <w:r>
            <w:rPr>
              <w:color w:val="auto"/>
              <w:sz w:val="28"/>
              <w:szCs w:val="28"/>
            </w:rPr>
            <w:instrText xml:space="preserve"> PAGEREF _Toc9405 \h </w:instrText>
          </w:r>
          <w:r>
            <w:rPr>
              <w:color w:val="auto"/>
              <w:sz w:val="28"/>
              <w:szCs w:val="28"/>
            </w:rPr>
            <w:fldChar w:fldCharType="separate"/>
          </w:r>
          <w:r>
            <w:rPr>
              <w:color w:val="auto"/>
              <w:sz w:val="28"/>
              <w:szCs w:val="28"/>
            </w:rPr>
            <w:t>25</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3A84FBE7">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_Toc20560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（三）构建应急协同联动工作格局</w:t>
          </w:r>
          <w:r>
            <w:rPr>
              <w:color w:val="auto"/>
              <w:sz w:val="28"/>
              <w:szCs w:val="28"/>
            </w:rPr>
            <w:tab/>
          </w:r>
          <w:r>
            <w:rPr>
              <w:color w:val="auto"/>
              <w:sz w:val="28"/>
              <w:szCs w:val="28"/>
            </w:rPr>
            <w:fldChar w:fldCharType="begin"/>
          </w:r>
          <w:r>
            <w:rPr>
              <w:color w:val="auto"/>
              <w:sz w:val="28"/>
              <w:szCs w:val="28"/>
            </w:rPr>
            <w:instrText xml:space="preserve"> PAGEREF _Toc20560 \h </w:instrText>
          </w:r>
          <w:r>
            <w:rPr>
              <w:color w:val="auto"/>
              <w:sz w:val="28"/>
              <w:szCs w:val="28"/>
            </w:rPr>
            <w:fldChar w:fldCharType="separate"/>
          </w:r>
          <w:r>
            <w:rPr>
              <w:color w:val="auto"/>
              <w:sz w:val="28"/>
              <w:szCs w:val="28"/>
            </w:rPr>
            <w:t>26</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962624D">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_Toc22661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（四）优化应急预案与实战演练体系</w:t>
          </w:r>
          <w:r>
            <w:rPr>
              <w:color w:val="auto"/>
              <w:sz w:val="28"/>
              <w:szCs w:val="28"/>
            </w:rPr>
            <w:tab/>
          </w:r>
          <w:r>
            <w:rPr>
              <w:color w:val="auto"/>
              <w:sz w:val="28"/>
              <w:szCs w:val="28"/>
            </w:rPr>
            <w:fldChar w:fldCharType="begin"/>
          </w:r>
          <w:r>
            <w:rPr>
              <w:color w:val="auto"/>
              <w:sz w:val="28"/>
              <w:szCs w:val="28"/>
            </w:rPr>
            <w:instrText xml:space="preserve"> PAGEREF _Toc22661 \h </w:instrText>
          </w:r>
          <w:r>
            <w:rPr>
              <w:color w:val="auto"/>
              <w:sz w:val="28"/>
              <w:szCs w:val="28"/>
            </w:rPr>
            <w:fldChar w:fldCharType="separate"/>
          </w:r>
          <w:r>
            <w:rPr>
              <w:color w:val="auto"/>
              <w:sz w:val="28"/>
              <w:szCs w:val="28"/>
            </w:rPr>
            <w:t>27</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103EE662">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_Toc29003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（五）强化重大活动与重点功能区安全保障</w:t>
          </w:r>
          <w:r>
            <w:rPr>
              <w:color w:val="auto"/>
              <w:sz w:val="28"/>
              <w:szCs w:val="28"/>
            </w:rPr>
            <w:tab/>
          </w:r>
          <w:r>
            <w:rPr>
              <w:color w:val="auto"/>
              <w:sz w:val="28"/>
              <w:szCs w:val="28"/>
            </w:rPr>
            <w:fldChar w:fldCharType="begin"/>
          </w:r>
          <w:r>
            <w:rPr>
              <w:color w:val="auto"/>
              <w:sz w:val="28"/>
              <w:szCs w:val="28"/>
            </w:rPr>
            <w:instrText xml:space="preserve"> PAGEREF _Toc29003 \h </w:instrText>
          </w:r>
          <w:r>
            <w:rPr>
              <w:color w:val="auto"/>
              <w:sz w:val="28"/>
              <w:szCs w:val="28"/>
            </w:rPr>
            <w:fldChar w:fldCharType="separate"/>
          </w:r>
          <w:r>
            <w:rPr>
              <w:color w:val="auto"/>
              <w:sz w:val="28"/>
              <w:szCs w:val="28"/>
            </w:rPr>
            <w:t>27</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55511A52">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_Toc23613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二、安全生产篇：构筑聚焦科学城与山区特色的安全防线</w:t>
          </w:r>
          <w:r>
            <w:rPr>
              <w:color w:val="auto"/>
              <w:sz w:val="28"/>
              <w:szCs w:val="28"/>
            </w:rPr>
            <w:tab/>
          </w:r>
          <w:r>
            <w:rPr>
              <w:color w:val="auto"/>
              <w:sz w:val="28"/>
              <w:szCs w:val="28"/>
            </w:rPr>
            <w:fldChar w:fldCharType="begin"/>
          </w:r>
          <w:r>
            <w:rPr>
              <w:color w:val="auto"/>
              <w:sz w:val="28"/>
              <w:szCs w:val="28"/>
            </w:rPr>
            <w:instrText xml:space="preserve"> PAGEREF _Toc23613 \h </w:instrText>
          </w:r>
          <w:r>
            <w:rPr>
              <w:color w:val="auto"/>
              <w:sz w:val="28"/>
              <w:szCs w:val="28"/>
            </w:rPr>
            <w:fldChar w:fldCharType="separate"/>
          </w:r>
          <w:r>
            <w:rPr>
              <w:color w:val="auto"/>
              <w:sz w:val="28"/>
              <w:szCs w:val="28"/>
            </w:rPr>
            <w:t>28</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6CEF7A19">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_Toc24391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（一）压实全方位安全生产责任</w:t>
          </w:r>
          <w:r>
            <w:rPr>
              <w:color w:val="auto"/>
              <w:sz w:val="28"/>
              <w:szCs w:val="28"/>
            </w:rPr>
            <w:tab/>
          </w:r>
          <w:r>
            <w:rPr>
              <w:color w:val="auto"/>
              <w:sz w:val="28"/>
              <w:szCs w:val="28"/>
            </w:rPr>
            <w:fldChar w:fldCharType="begin"/>
          </w:r>
          <w:r>
            <w:rPr>
              <w:color w:val="auto"/>
              <w:sz w:val="28"/>
              <w:szCs w:val="28"/>
            </w:rPr>
            <w:instrText xml:space="preserve"> PAGEREF _Toc24391 \h </w:instrText>
          </w:r>
          <w:r>
            <w:rPr>
              <w:color w:val="auto"/>
              <w:sz w:val="28"/>
              <w:szCs w:val="28"/>
            </w:rPr>
            <w:fldChar w:fldCharType="separate"/>
          </w:r>
          <w:r>
            <w:rPr>
              <w:color w:val="auto"/>
              <w:sz w:val="28"/>
              <w:szCs w:val="28"/>
            </w:rPr>
            <w:t>28</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329604B3">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_Toc8056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（二）创新安全监管工作机制</w:t>
          </w:r>
          <w:r>
            <w:rPr>
              <w:color w:val="auto"/>
              <w:sz w:val="28"/>
              <w:szCs w:val="28"/>
            </w:rPr>
            <w:tab/>
          </w:r>
          <w:r>
            <w:rPr>
              <w:color w:val="auto"/>
              <w:sz w:val="28"/>
              <w:szCs w:val="28"/>
            </w:rPr>
            <w:fldChar w:fldCharType="begin"/>
          </w:r>
          <w:r>
            <w:rPr>
              <w:color w:val="auto"/>
              <w:sz w:val="28"/>
              <w:szCs w:val="28"/>
            </w:rPr>
            <w:instrText xml:space="preserve"> PAGEREF _Toc8056 \h </w:instrText>
          </w:r>
          <w:r>
            <w:rPr>
              <w:color w:val="auto"/>
              <w:sz w:val="28"/>
              <w:szCs w:val="28"/>
            </w:rPr>
            <w:fldChar w:fldCharType="separate"/>
          </w:r>
          <w:r>
            <w:rPr>
              <w:color w:val="auto"/>
              <w:sz w:val="28"/>
              <w:szCs w:val="28"/>
            </w:rPr>
            <w:t>29</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3216FECF">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_Toc1067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（三）实施重点行业领域攻坚治理</w:t>
          </w:r>
          <w:r>
            <w:rPr>
              <w:color w:val="auto"/>
              <w:sz w:val="28"/>
              <w:szCs w:val="28"/>
            </w:rPr>
            <w:tab/>
          </w:r>
          <w:r>
            <w:rPr>
              <w:color w:val="auto"/>
              <w:sz w:val="28"/>
              <w:szCs w:val="28"/>
            </w:rPr>
            <w:fldChar w:fldCharType="begin"/>
          </w:r>
          <w:r>
            <w:rPr>
              <w:color w:val="auto"/>
              <w:sz w:val="28"/>
              <w:szCs w:val="28"/>
            </w:rPr>
            <w:instrText xml:space="preserve"> PAGEREF _Toc1067 \h </w:instrText>
          </w:r>
          <w:r>
            <w:rPr>
              <w:color w:val="auto"/>
              <w:sz w:val="28"/>
              <w:szCs w:val="28"/>
            </w:rPr>
            <w:fldChar w:fldCharType="separate"/>
          </w:r>
          <w:r>
            <w:rPr>
              <w:color w:val="auto"/>
              <w:sz w:val="28"/>
              <w:szCs w:val="28"/>
            </w:rPr>
            <w:t>30</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57A1C297">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_Toc8884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（四）推动本质安全能级跃升</w:t>
          </w:r>
          <w:r>
            <w:rPr>
              <w:color w:val="auto"/>
              <w:sz w:val="28"/>
              <w:szCs w:val="28"/>
            </w:rPr>
            <w:tab/>
          </w:r>
          <w:r>
            <w:rPr>
              <w:color w:val="auto"/>
              <w:sz w:val="28"/>
              <w:szCs w:val="28"/>
            </w:rPr>
            <w:fldChar w:fldCharType="begin"/>
          </w:r>
          <w:r>
            <w:rPr>
              <w:color w:val="auto"/>
              <w:sz w:val="28"/>
              <w:szCs w:val="28"/>
            </w:rPr>
            <w:instrText xml:space="preserve"> PAGEREF _Toc8884 \h </w:instrText>
          </w:r>
          <w:r>
            <w:rPr>
              <w:color w:val="auto"/>
              <w:sz w:val="28"/>
              <w:szCs w:val="28"/>
            </w:rPr>
            <w:fldChar w:fldCharType="separate"/>
          </w:r>
          <w:r>
            <w:rPr>
              <w:color w:val="auto"/>
              <w:sz w:val="28"/>
              <w:szCs w:val="28"/>
            </w:rPr>
            <w:t>33</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33E08847">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_Toc27614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（五）增强安全生产执法效能</w:t>
          </w:r>
          <w:r>
            <w:rPr>
              <w:color w:val="auto"/>
              <w:sz w:val="28"/>
              <w:szCs w:val="28"/>
            </w:rPr>
            <w:tab/>
          </w:r>
          <w:r>
            <w:rPr>
              <w:color w:val="auto"/>
              <w:sz w:val="28"/>
              <w:szCs w:val="28"/>
            </w:rPr>
            <w:fldChar w:fldCharType="begin"/>
          </w:r>
          <w:r>
            <w:rPr>
              <w:color w:val="auto"/>
              <w:sz w:val="28"/>
              <w:szCs w:val="28"/>
            </w:rPr>
            <w:instrText xml:space="preserve"> PAGEREF _Toc27614 \h </w:instrText>
          </w:r>
          <w:r>
            <w:rPr>
              <w:color w:val="auto"/>
              <w:sz w:val="28"/>
              <w:szCs w:val="28"/>
            </w:rPr>
            <w:fldChar w:fldCharType="separate"/>
          </w:r>
          <w:r>
            <w:rPr>
              <w:color w:val="auto"/>
              <w:sz w:val="28"/>
              <w:szCs w:val="28"/>
            </w:rPr>
            <w:t>34</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55391173">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_Toc16890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三、灾害防御篇：建设山水融合的韧性安全家园</w:t>
          </w:r>
          <w:r>
            <w:rPr>
              <w:color w:val="auto"/>
              <w:sz w:val="28"/>
              <w:szCs w:val="28"/>
            </w:rPr>
            <w:tab/>
          </w:r>
          <w:r>
            <w:rPr>
              <w:color w:val="auto"/>
              <w:sz w:val="28"/>
              <w:szCs w:val="28"/>
            </w:rPr>
            <w:fldChar w:fldCharType="begin"/>
          </w:r>
          <w:r>
            <w:rPr>
              <w:color w:val="auto"/>
              <w:sz w:val="28"/>
              <w:szCs w:val="28"/>
            </w:rPr>
            <w:instrText xml:space="preserve"> PAGEREF _Toc16890 \h </w:instrText>
          </w:r>
          <w:r>
            <w:rPr>
              <w:color w:val="auto"/>
              <w:sz w:val="28"/>
              <w:szCs w:val="28"/>
            </w:rPr>
            <w:fldChar w:fldCharType="separate"/>
          </w:r>
          <w:r>
            <w:rPr>
              <w:color w:val="auto"/>
              <w:sz w:val="28"/>
              <w:szCs w:val="28"/>
            </w:rPr>
            <w:t>35</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3924D476">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_Toc2824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（一）健全自然灾害防治责任与机制</w:t>
          </w:r>
          <w:r>
            <w:rPr>
              <w:color w:val="auto"/>
              <w:sz w:val="28"/>
              <w:szCs w:val="28"/>
            </w:rPr>
            <w:tab/>
          </w:r>
          <w:r>
            <w:rPr>
              <w:color w:val="auto"/>
              <w:sz w:val="28"/>
              <w:szCs w:val="28"/>
            </w:rPr>
            <w:fldChar w:fldCharType="begin"/>
          </w:r>
          <w:r>
            <w:rPr>
              <w:color w:val="auto"/>
              <w:sz w:val="28"/>
              <w:szCs w:val="28"/>
            </w:rPr>
            <w:instrText xml:space="preserve"> PAGEREF _Toc2824 \h </w:instrText>
          </w:r>
          <w:r>
            <w:rPr>
              <w:color w:val="auto"/>
              <w:sz w:val="28"/>
              <w:szCs w:val="28"/>
            </w:rPr>
            <w:fldChar w:fldCharType="separate"/>
          </w:r>
          <w:r>
            <w:rPr>
              <w:color w:val="auto"/>
              <w:sz w:val="28"/>
              <w:szCs w:val="28"/>
            </w:rPr>
            <w:t>35</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59F658BF">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_Toc27948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（二）深化山区灾害风险普查成果应用</w:t>
          </w:r>
          <w:r>
            <w:rPr>
              <w:color w:val="auto"/>
              <w:sz w:val="28"/>
              <w:szCs w:val="28"/>
            </w:rPr>
            <w:tab/>
          </w:r>
          <w:r>
            <w:rPr>
              <w:color w:val="auto"/>
              <w:sz w:val="28"/>
              <w:szCs w:val="28"/>
            </w:rPr>
            <w:fldChar w:fldCharType="begin"/>
          </w:r>
          <w:r>
            <w:rPr>
              <w:color w:val="auto"/>
              <w:sz w:val="28"/>
              <w:szCs w:val="28"/>
            </w:rPr>
            <w:instrText xml:space="preserve"> PAGEREF _Toc27948 \h </w:instrText>
          </w:r>
          <w:r>
            <w:rPr>
              <w:color w:val="auto"/>
              <w:sz w:val="28"/>
              <w:szCs w:val="28"/>
            </w:rPr>
            <w:fldChar w:fldCharType="separate"/>
          </w:r>
          <w:r>
            <w:rPr>
              <w:color w:val="auto"/>
              <w:sz w:val="28"/>
              <w:szCs w:val="28"/>
            </w:rPr>
            <w:t>36</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78C00F10">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_Toc28811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（三）加强山区重点灾种综合治理</w:t>
          </w:r>
          <w:r>
            <w:rPr>
              <w:color w:val="auto"/>
              <w:sz w:val="28"/>
              <w:szCs w:val="28"/>
            </w:rPr>
            <w:tab/>
          </w:r>
          <w:r>
            <w:rPr>
              <w:color w:val="auto"/>
              <w:sz w:val="28"/>
              <w:szCs w:val="28"/>
            </w:rPr>
            <w:fldChar w:fldCharType="begin"/>
          </w:r>
          <w:r>
            <w:rPr>
              <w:color w:val="auto"/>
              <w:sz w:val="28"/>
              <w:szCs w:val="28"/>
            </w:rPr>
            <w:instrText xml:space="preserve"> PAGEREF _Toc28811 \h </w:instrText>
          </w:r>
          <w:r>
            <w:rPr>
              <w:color w:val="auto"/>
              <w:sz w:val="28"/>
              <w:szCs w:val="28"/>
            </w:rPr>
            <w:fldChar w:fldCharType="separate"/>
          </w:r>
          <w:r>
            <w:rPr>
              <w:color w:val="auto"/>
              <w:sz w:val="28"/>
              <w:szCs w:val="28"/>
            </w:rPr>
            <w:t>36</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420E6B86">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_Toc1023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（四）提升山区监测预警与响应效能</w:t>
          </w:r>
          <w:r>
            <w:rPr>
              <w:color w:val="auto"/>
              <w:sz w:val="28"/>
              <w:szCs w:val="28"/>
            </w:rPr>
            <w:tab/>
          </w:r>
          <w:r>
            <w:rPr>
              <w:color w:val="auto"/>
              <w:sz w:val="28"/>
              <w:szCs w:val="28"/>
            </w:rPr>
            <w:fldChar w:fldCharType="begin"/>
          </w:r>
          <w:r>
            <w:rPr>
              <w:color w:val="auto"/>
              <w:sz w:val="28"/>
              <w:szCs w:val="28"/>
            </w:rPr>
            <w:instrText xml:space="preserve"> PAGEREF _Toc1023 \h </w:instrText>
          </w:r>
          <w:r>
            <w:rPr>
              <w:color w:val="auto"/>
              <w:sz w:val="28"/>
              <w:szCs w:val="28"/>
            </w:rPr>
            <w:fldChar w:fldCharType="separate"/>
          </w:r>
          <w:r>
            <w:rPr>
              <w:color w:val="auto"/>
              <w:sz w:val="28"/>
              <w:szCs w:val="28"/>
            </w:rPr>
            <w:t>38</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D893109">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_Toc24604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（五）系统推进韧性城市建设</w:t>
          </w:r>
          <w:r>
            <w:rPr>
              <w:color w:val="auto"/>
              <w:sz w:val="28"/>
              <w:szCs w:val="28"/>
            </w:rPr>
            <w:tab/>
          </w:r>
          <w:r>
            <w:rPr>
              <w:color w:val="auto"/>
              <w:sz w:val="28"/>
              <w:szCs w:val="28"/>
            </w:rPr>
            <w:fldChar w:fldCharType="begin"/>
          </w:r>
          <w:r>
            <w:rPr>
              <w:color w:val="auto"/>
              <w:sz w:val="28"/>
              <w:szCs w:val="28"/>
            </w:rPr>
            <w:instrText xml:space="preserve"> PAGEREF _Toc24604 \h </w:instrText>
          </w:r>
          <w:r>
            <w:rPr>
              <w:color w:val="auto"/>
              <w:sz w:val="28"/>
              <w:szCs w:val="28"/>
            </w:rPr>
            <w:fldChar w:fldCharType="separate"/>
          </w:r>
          <w:r>
            <w:rPr>
              <w:color w:val="auto"/>
              <w:sz w:val="28"/>
              <w:szCs w:val="28"/>
            </w:rPr>
            <w:t>39</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09969496">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_Toc31431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四、消防救援篇：构建山区与平原协同的现代化消防治理体系</w:t>
          </w:r>
          <w:r>
            <w:rPr>
              <w:color w:val="auto"/>
              <w:sz w:val="28"/>
              <w:szCs w:val="28"/>
            </w:rPr>
            <w:tab/>
          </w:r>
          <w:r>
            <w:rPr>
              <w:color w:val="auto"/>
              <w:sz w:val="28"/>
              <w:szCs w:val="28"/>
            </w:rPr>
            <w:fldChar w:fldCharType="begin"/>
          </w:r>
          <w:r>
            <w:rPr>
              <w:color w:val="auto"/>
              <w:sz w:val="28"/>
              <w:szCs w:val="28"/>
            </w:rPr>
            <w:instrText xml:space="preserve"> PAGEREF _Toc31431 \h </w:instrText>
          </w:r>
          <w:r>
            <w:rPr>
              <w:color w:val="auto"/>
              <w:sz w:val="28"/>
              <w:szCs w:val="28"/>
            </w:rPr>
            <w:fldChar w:fldCharType="separate"/>
          </w:r>
          <w:r>
            <w:rPr>
              <w:color w:val="auto"/>
              <w:sz w:val="28"/>
              <w:szCs w:val="28"/>
            </w:rPr>
            <w:t>40</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1DBBD3B">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_Toc1647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（一）织密织牢火灾防控网络</w:t>
          </w:r>
          <w:r>
            <w:rPr>
              <w:color w:val="auto"/>
              <w:sz w:val="28"/>
              <w:szCs w:val="28"/>
            </w:rPr>
            <w:tab/>
          </w:r>
          <w:r>
            <w:rPr>
              <w:color w:val="auto"/>
              <w:sz w:val="28"/>
              <w:szCs w:val="28"/>
            </w:rPr>
            <w:fldChar w:fldCharType="begin"/>
          </w:r>
          <w:r>
            <w:rPr>
              <w:color w:val="auto"/>
              <w:sz w:val="28"/>
              <w:szCs w:val="28"/>
            </w:rPr>
            <w:instrText xml:space="preserve"> PAGEREF _Toc1647 \h </w:instrText>
          </w:r>
          <w:r>
            <w:rPr>
              <w:color w:val="auto"/>
              <w:sz w:val="28"/>
              <w:szCs w:val="28"/>
            </w:rPr>
            <w:fldChar w:fldCharType="separate"/>
          </w:r>
          <w:r>
            <w:rPr>
              <w:color w:val="auto"/>
              <w:sz w:val="28"/>
              <w:szCs w:val="28"/>
            </w:rPr>
            <w:t>40</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1ABB51D5">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_Toc22125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（二）全面提高消防救援实战能力</w:t>
          </w:r>
          <w:r>
            <w:rPr>
              <w:color w:val="auto"/>
              <w:sz w:val="28"/>
              <w:szCs w:val="28"/>
            </w:rPr>
            <w:tab/>
          </w:r>
          <w:r>
            <w:rPr>
              <w:color w:val="auto"/>
              <w:sz w:val="28"/>
              <w:szCs w:val="28"/>
            </w:rPr>
            <w:fldChar w:fldCharType="begin"/>
          </w:r>
          <w:r>
            <w:rPr>
              <w:color w:val="auto"/>
              <w:sz w:val="28"/>
              <w:szCs w:val="28"/>
            </w:rPr>
            <w:instrText xml:space="preserve"> PAGEREF _Toc22125 \h </w:instrText>
          </w:r>
          <w:r>
            <w:rPr>
              <w:color w:val="auto"/>
              <w:sz w:val="28"/>
              <w:szCs w:val="28"/>
            </w:rPr>
            <w:fldChar w:fldCharType="separate"/>
          </w:r>
          <w:r>
            <w:rPr>
              <w:color w:val="auto"/>
              <w:sz w:val="28"/>
              <w:szCs w:val="28"/>
            </w:rPr>
            <w:t>42</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55FFD5E7">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_Toc15297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（三）扎实筑牢公共消防安全基础</w:t>
          </w:r>
          <w:r>
            <w:rPr>
              <w:color w:val="auto"/>
              <w:sz w:val="28"/>
              <w:szCs w:val="28"/>
            </w:rPr>
            <w:tab/>
          </w:r>
          <w:r>
            <w:rPr>
              <w:color w:val="auto"/>
              <w:sz w:val="28"/>
              <w:szCs w:val="28"/>
            </w:rPr>
            <w:fldChar w:fldCharType="begin"/>
          </w:r>
          <w:r>
            <w:rPr>
              <w:color w:val="auto"/>
              <w:sz w:val="28"/>
              <w:szCs w:val="28"/>
            </w:rPr>
            <w:instrText xml:space="preserve"> PAGEREF _Toc15297 \h </w:instrText>
          </w:r>
          <w:r>
            <w:rPr>
              <w:color w:val="auto"/>
              <w:sz w:val="28"/>
              <w:szCs w:val="28"/>
            </w:rPr>
            <w:fldChar w:fldCharType="separate"/>
          </w:r>
          <w:r>
            <w:rPr>
              <w:color w:val="auto"/>
              <w:sz w:val="28"/>
              <w:szCs w:val="28"/>
            </w:rPr>
            <w:t>43</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7076E292">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_Toc16715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（四）持续提升消防法治工作水平</w:t>
          </w:r>
          <w:r>
            <w:rPr>
              <w:color w:val="auto"/>
              <w:sz w:val="28"/>
              <w:szCs w:val="28"/>
            </w:rPr>
            <w:tab/>
          </w:r>
          <w:r>
            <w:rPr>
              <w:color w:val="auto"/>
              <w:sz w:val="28"/>
              <w:szCs w:val="28"/>
            </w:rPr>
            <w:fldChar w:fldCharType="begin"/>
          </w:r>
          <w:r>
            <w:rPr>
              <w:color w:val="auto"/>
              <w:sz w:val="28"/>
              <w:szCs w:val="28"/>
            </w:rPr>
            <w:instrText xml:space="preserve"> PAGEREF _Toc16715 \h </w:instrText>
          </w:r>
          <w:r>
            <w:rPr>
              <w:color w:val="auto"/>
              <w:sz w:val="28"/>
              <w:szCs w:val="28"/>
            </w:rPr>
            <w:fldChar w:fldCharType="separate"/>
          </w:r>
          <w:r>
            <w:rPr>
              <w:color w:val="auto"/>
              <w:sz w:val="28"/>
              <w:szCs w:val="28"/>
            </w:rPr>
            <w:t>45</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655986D9">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_Toc12240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（五）强化科技赋能智慧消防建设</w:t>
          </w:r>
          <w:r>
            <w:rPr>
              <w:color w:val="auto"/>
              <w:sz w:val="28"/>
              <w:szCs w:val="28"/>
            </w:rPr>
            <w:tab/>
          </w:r>
          <w:r>
            <w:rPr>
              <w:color w:val="auto"/>
              <w:sz w:val="28"/>
              <w:szCs w:val="28"/>
            </w:rPr>
            <w:fldChar w:fldCharType="begin"/>
          </w:r>
          <w:r>
            <w:rPr>
              <w:color w:val="auto"/>
              <w:sz w:val="28"/>
              <w:szCs w:val="28"/>
            </w:rPr>
            <w:instrText xml:space="preserve"> PAGEREF _Toc12240 \h </w:instrText>
          </w:r>
          <w:r>
            <w:rPr>
              <w:color w:val="auto"/>
              <w:sz w:val="28"/>
              <w:szCs w:val="28"/>
            </w:rPr>
            <w:fldChar w:fldCharType="separate"/>
          </w:r>
          <w:r>
            <w:rPr>
              <w:color w:val="auto"/>
              <w:sz w:val="28"/>
              <w:szCs w:val="28"/>
            </w:rPr>
            <w:t>47</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7955FFB0">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_Toc18374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五、防震减灾篇：提升地震灾害综合防御能力</w:t>
          </w:r>
          <w:r>
            <w:rPr>
              <w:color w:val="auto"/>
              <w:sz w:val="28"/>
              <w:szCs w:val="28"/>
            </w:rPr>
            <w:tab/>
          </w:r>
          <w:r>
            <w:rPr>
              <w:color w:val="auto"/>
              <w:sz w:val="28"/>
              <w:szCs w:val="28"/>
            </w:rPr>
            <w:fldChar w:fldCharType="begin"/>
          </w:r>
          <w:r>
            <w:rPr>
              <w:color w:val="auto"/>
              <w:sz w:val="28"/>
              <w:szCs w:val="28"/>
            </w:rPr>
            <w:instrText xml:space="preserve"> PAGEREF _Toc18374 \h </w:instrText>
          </w:r>
          <w:r>
            <w:rPr>
              <w:color w:val="auto"/>
              <w:sz w:val="28"/>
              <w:szCs w:val="28"/>
            </w:rPr>
            <w:fldChar w:fldCharType="separate"/>
          </w:r>
          <w:r>
            <w:rPr>
              <w:color w:val="auto"/>
              <w:sz w:val="28"/>
              <w:szCs w:val="28"/>
            </w:rPr>
            <w:t>47</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08EE2816">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_Toc29315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（一）提升地震监测预警能力</w:t>
          </w:r>
          <w:r>
            <w:rPr>
              <w:color w:val="auto"/>
              <w:sz w:val="28"/>
              <w:szCs w:val="28"/>
            </w:rPr>
            <w:tab/>
          </w:r>
          <w:r>
            <w:rPr>
              <w:color w:val="auto"/>
              <w:sz w:val="28"/>
              <w:szCs w:val="28"/>
            </w:rPr>
            <w:fldChar w:fldCharType="begin"/>
          </w:r>
          <w:r>
            <w:rPr>
              <w:color w:val="auto"/>
              <w:sz w:val="28"/>
              <w:szCs w:val="28"/>
            </w:rPr>
            <w:instrText xml:space="preserve"> PAGEREF _Toc29315 \h </w:instrText>
          </w:r>
          <w:r>
            <w:rPr>
              <w:color w:val="auto"/>
              <w:sz w:val="28"/>
              <w:szCs w:val="28"/>
            </w:rPr>
            <w:fldChar w:fldCharType="separate"/>
          </w:r>
          <w:r>
            <w:rPr>
              <w:color w:val="auto"/>
              <w:sz w:val="28"/>
              <w:szCs w:val="28"/>
            </w:rPr>
            <w:t>47</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45C54A04">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_Toc733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（二）增强地震灾害风险防御能力</w:t>
          </w:r>
          <w:r>
            <w:rPr>
              <w:color w:val="auto"/>
              <w:sz w:val="28"/>
              <w:szCs w:val="28"/>
            </w:rPr>
            <w:tab/>
          </w:r>
          <w:r>
            <w:rPr>
              <w:color w:val="auto"/>
              <w:sz w:val="28"/>
              <w:szCs w:val="28"/>
            </w:rPr>
            <w:fldChar w:fldCharType="begin"/>
          </w:r>
          <w:r>
            <w:rPr>
              <w:color w:val="auto"/>
              <w:sz w:val="28"/>
              <w:szCs w:val="28"/>
            </w:rPr>
            <w:instrText xml:space="preserve"> PAGEREF _Toc733 \h </w:instrText>
          </w:r>
          <w:r>
            <w:rPr>
              <w:color w:val="auto"/>
              <w:sz w:val="28"/>
              <w:szCs w:val="28"/>
            </w:rPr>
            <w:fldChar w:fldCharType="separate"/>
          </w:r>
          <w:r>
            <w:rPr>
              <w:color w:val="auto"/>
              <w:sz w:val="28"/>
              <w:szCs w:val="28"/>
            </w:rPr>
            <w:t>48</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1975F9BB">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_Toc9929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（三）提升地震应急响应能力</w:t>
          </w:r>
          <w:r>
            <w:rPr>
              <w:color w:val="auto"/>
              <w:sz w:val="28"/>
              <w:szCs w:val="28"/>
            </w:rPr>
            <w:tab/>
          </w:r>
          <w:r>
            <w:rPr>
              <w:color w:val="auto"/>
              <w:sz w:val="28"/>
              <w:szCs w:val="28"/>
            </w:rPr>
            <w:fldChar w:fldCharType="begin"/>
          </w:r>
          <w:r>
            <w:rPr>
              <w:color w:val="auto"/>
              <w:sz w:val="28"/>
              <w:szCs w:val="28"/>
            </w:rPr>
            <w:instrText xml:space="preserve"> PAGEREF _Toc9929 \h </w:instrText>
          </w:r>
          <w:r>
            <w:rPr>
              <w:color w:val="auto"/>
              <w:sz w:val="28"/>
              <w:szCs w:val="28"/>
            </w:rPr>
            <w:fldChar w:fldCharType="separate"/>
          </w:r>
          <w:r>
            <w:rPr>
              <w:color w:val="auto"/>
              <w:sz w:val="28"/>
              <w:szCs w:val="28"/>
            </w:rPr>
            <w:t>49</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17E95D9A">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_Toc26631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（四）提升防震减灾公共服务效能</w:t>
          </w:r>
          <w:r>
            <w:rPr>
              <w:color w:val="auto"/>
              <w:sz w:val="28"/>
              <w:szCs w:val="28"/>
            </w:rPr>
            <w:tab/>
          </w:r>
          <w:r>
            <w:rPr>
              <w:color w:val="auto"/>
              <w:sz w:val="28"/>
              <w:szCs w:val="28"/>
            </w:rPr>
            <w:fldChar w:fldCharType="begin"/>
          </w:r>
          <w:r>
            <w:rPr>
              <w:color w:val="auto"/>
              <w:sz w:val="28"/>
              <w:szCs w:val="28"/>
            </w:rPr>
            <w:instrText xml:space="preserve"> PAGEREF _Toc26631 \h </w:instrText>
          </w:r>
          <w:r>
            <w:rPr>
              <w:color w:val="auto"/>
              <w:sz w:val="28"/>
              <w:szCs w:val="28"/>
            </w:rPr>
            <w:fldChar w:fldCharType="separate"/>
          </w:r>
          <w:r>
            <w:rPr>
              <w:color w:val="auto"/>
              <w:sz w:val="28"/>
              <w:szCs w:val="28"/>
            </w:rPr>
            <w:t>49</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12D07BB9">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_Toc22906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六、应急保障篇：夯实支撑有力的资源底座</w:t>
          </w:r>
          <w:r>
            <w:rPr>
              <w:color w:val="auto"/>
              <w:sz w:val="28"/>
              <w:szCs w:val="28"/>
            </w:rPr>
            <w:tab/>
          </w:r>
          <w:r>
            <w:rPr>
              <w:color w:val="auto"/>
              <w:sz w:val="28"/>
              <w:szCs w:val="28"/>
            </w:rPr>
            <w:fldChar w:fldCharType="begin"/>
          </w:r>
          <w:r>
            <w:rPr>
              <w:color w:val="auto"/>
              <w:sz w:val="28"/>
              <w:szCs w:val="28"/>
            </w:rPr>
            <w:instrText xml:space="preserve"> PAGEREF _Toc22906 \h </w:instrText>
          </w:r>
          <w:r>
            <w:rPr>
              <w:color w:val="auto"/>
              <w:sz w:val="28"/>
              <w:szCs w:val="28"/>
            </w:rPr>
            <w:fldChar w:fldCharType="separate"/>
          </w:r>
          <w:r>
            <w:rPr>
              <w:color w:val="auto"/>
              <w:sz w:val="28"/>
              <w:szCs w:val="28"/>
            </w:rPr>
            <w:t>50</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1EB80F22">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_Toc28941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（一）</w:t>
          </w:r>
          <w:r>
            <w:rPr>
              <w:rFonts w:hint="default" w:ascii="楷体_GB2312" w:hAnsi="楷体_GB2312" w:eastAsia="楷体_GB2312" w:cs="楷体_GB2312"/>
              <w:bCs w:val="0"/>
              <w:color w:val="auto"/>
              <w:sz w:val="28"/>
              <w:szCs w:val="28"/>
              <w:lang w:val="en-US" w:eastAsia="zh-CN"/>
            </w:rPr>
            <w:t>完善应急管理法治体系</w:t>
          </w:r>
          <w:r>
            <w:rPr>
              <w:color w:val="auto"/>
              <w:sz w:val="28"/>
              <w:szCs w:val="28"/>
            </w:rPr>
            <w:tab/>
          </w:r>
          <w:r>
            <w:rPr>
              <w:color w:val="auto"/>
              <w:sz w:val="28"/>
              <w:szCs w:val="28"/>
            </w:rPr>
            <w:fldChar w:fldCharType="begin"/>
          </w:r>
          <w:r>
            <w:rPr>
              <w:color w:val="auto"/>
              <w:sz w:val="28"/>
              <w:szCs w:val="28"/>
            </w:rPr>
            <w:instrText xml:space="preserve"> PAGEREF _Toc28941 \h </w:instrText>
          </w:r>
          <w:r>
            <w:rPr>
              <w:color w:val="auto"/>
              <w:sz w:val="28"/>
              <w:szCs w:val="28"/>
            </w:rPr>
            <w:fldChar w:fldCharType="separate"/>
          </w:r>
          <w:r>
            <w:rPr>
              <w:color w:val="auto"/>
              <w:sz w:val="28"/>
              <w:szCs w:val="28"/>
            </w:rPr>
            <w:t>50</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78369053">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_Toc1088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（二）</w:t>
          </w:r>
          <w:r>
            <w:rPr>
              <w:rFonts w:hint="default" w:ascii="楷体_GB2312" w:hAnsi="楷体_GB2312" w:eastAsia="楷体_GB2312" w:cs="楷体_GB2312"/>
              <w:bCs w:val="0"/>
              <w:color w:val="auto"/>
              <w:sz w:val="28"/>
              <w:szCs w:val="28"/>
              <w:lang w:val="en-US" w:eastAsia="zh-CN"/>
            </w:rPr>
            <w:t>建强多元化应急救援力量</w:t>
          </w:r>
          <w:r>
            <w:rPr>
              <w:color w:val="auto"/>
              <w:sz w:val="28"/>
              <w:szCs w:val="28"/>
            </w:rPr>
            <w:tab/>
          </w:r>
          <w:r>
            <w:rPr>
              <w:color w:val="auto"/>
              <w:sz w:val="28"/>
              <w:szCs w:val="28"/>
            </w:rPr>
            <w:fldChar w:fldCharType="begin"/>
          </w:r>
          <w:r>
            <w:rPr>
              <w:color w:val="auto"/>
              <w:sz w:val="28"/>
              <w:szCs w:val="28"/>
            </w:rPr>
            <w:instrText xml:space="preserve"> PAGEREF _Toc1088 \h </w:instrText>
          </w:r>
          <w:r>
            <w:rPr>
              <w:color w:val="auto"/>
              <w:sz w:val="28"/>
              <w:szCs w:val="28"/>
            </w:rPr>
            <w:fldChar w:fldCharType="separate"/>
          </w:r>
          <w:r>
            <w:rPr>
              <w:color w:val="auto"/>
              <w:sz w:val="28"/>
              <w:szCs w:val="28"/>
            </w:rPr>
            <w:t>51</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9D69D2C">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_Toc9168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（三）</w:t>
          </w:r>
          <w:r>
            <w:rPr>
              <w:rFonts w:hint="default" w:ascii="楷体_GB2312" w:hAnsi="楷体_GB2312" w:eastAsia="楷体_GB2312" w:cs="楷体_GB2312"/>
              <w:bCs w:val="0"/>
              <w:color w:val="auto"/>
              <w:sz w:val="28"/>
              <w:szCs w:val="28"/>
              <w:lang w:val="en-US" w:eastAsia="zh-CN"/>
            </w:rPr>
            <w:t>完善应急物资与装备储备</w:t>
          </w:r>
          <w:r>
            <w:rPr>
              <w:color w:val="auto"/>
              <w:sz w:val="28"/>
              <w:szCs w:val="28"/>
            </w:rPr>
            <w:tab/>
          </w:r>
          <w:r>
            <w:rPr>
              <w:color w:val="auto"/>
              <w:sz w:val="28"/>
              <w:szCs w:val="28"/>
            </w:rPr>
            <w:fldChar w:fldCharType="begin"/>
          </w:r>
          <w:r>
            <w:rPr>
              <w:color w:val="auto"/>
              <w:sz w:val="28"/>
              <w:szCs w:val="28"/>
            </w:rPr>
            <w:instrText xml:space="preserve"> PAGEREF _Toc9168 \h </w:instrText>
          </w:r>
          <w:r>
            <w:rPr>
              <w:color w:val="auto"/>
              <w:sz w:val="28"/>
              <w:szCs w:val="28"/>
            </w:rPr>
            <w:fldChar w:fldCharType="separate"/>
          </w:r>
          <w:r>
            <w:rPr>
              <w:color w:val="auto"/>
              <w:sz w:val="28"/>
              <w:szCs w:val="28"/>
            </w:rPr>
            <w:t>52</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744203D6">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_Toc17623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（四）健全</w:t>
          </w:r>
          <w:r>
            <w:rPr>
              <w:rFonts w:hint="default" w:ascii="楷体_GB2312" w:hAnsi="楷体_GB2312" w:eastAsia="楷体_GB2312" w:cs="楷体_GB2312"/>
              <w:bCs w:val="0"/>
              <w:color w:val="auto"/>
              <w:sz w:val="28"/>
              <w:szCs w:val="28"/>
              <w:lang w:val="en-US" w:eastAsia="zh-CN"/>
            </w:rPr>
            <w:t>突发事件救灾救助准备</w:t>
          </w:r>
          <w:r>
            <w:rPr>
              <w:color w:val="auto"/>
              <w:sz w:val="28"/>
              <w:szCs w:val="28"/>
            </w:rPr>
            <w:tab/>
          </w:r>
          <w:r>
            <w:rPr>
              <w:color w:val="auto"/>
              <w:sz w:val="28"/>
              <w:szCs w:val="28"/>
            </w:rPr>
            <w:fldChar w:fldCharType="begin"/>
          </w:r>
          <w:r>
            <w:rPr>
              <w:color w:val="auto"/>
              <w:sz w:val="28"/>
              <w:szCs w:val="28"/>
            </w:rPr>
            <w:instrText xml:space="preserve"> PAGEREF _Toc17623 \h </w:instrText>
          </w:r>
          <w:r>
            <w:rPr>
              <w:color w:val="auto"/>
              <w:sz w:val="28"/>
              <w:szCs w:val="28"/>
            </w:rPr>
            <w:fldChar w:fldCharType="separate"/>
          </w:r>
          <w:r>
            <w:rPr>
              <w:color w:val="auto"/>
              <w:sz w:val="28"/>
              <w:szCs w:val="28"/>
            </w:rPr>
            <w:t>53</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B16DDFB">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_Toc275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（五）</w:t>
          </w:r>
          <w:r>
            <w:rPr>
              <w:rFonts w:hint="default" w:ascii="楷体_GB2312" w:hAnsi="楷体_GB2312" w:eastAsia="楷体_GB2312" w:cs="楷体_GB2312"/>
              <w:bCs w:val="0"/>
              <w:color w:val="auto"/>
              <w:sz w:val="28"/>
              <w:szCs w:val="28"/>
              <w:lang w:val="en-US" w:eastAsia="zh-CN"/>
            </w:rPr>
            <w:t>强化应急通信与智慧科技支撑</w:t>
          </w:r>
          <w:r>
            <w:rPr>
              <w:color w:val="auto"/>
              <w:sz w:val="28"/>
              <w:szCs w:val="28"/>
            </w:rPr>
            <w:tab/>
          </w:r>
          <w:r>
            <w:rPr>
              <w:color w:val="auto"/>
              <w:sz w:val="28"/>
              <w:szCs w:val="28"/>
            </w:rPr>
            <w:fldChar w:fldCharType="begin"/>
          </w:r>
          <w:r>
            <w:rPr>
              <w:color w:val="auto"/>
              <w:sz w:val="28"/>
              <w:szCs w:val="28"/>
            </w:rPr>
            <w:instrText xml:space="preserve"> PAGEREF _Toc275 \h </w:instrText>
          </w:r>
          <w:r>
            <w:rPr>
              <w:color w:val="auto"/>
              <w:sz w:val="28"/>
              <w:szCs w:val="28"/>
            </w:rPr>
            <w:fldChar w:fldCharType="separate"/>
          </w:r>
          <w:r>
            <w:rPr>
              <w:color w:val="auto"/>
              <w:sz w:val="28"/>
              <w:szCs w:val="28"/>
            </w:rPr>
            <w:t>54</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142E8873">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_Toc21273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七、社会共治篇：营造全民参与的应急文化</w:t>
          </w:r>
          <w:r>
            <w:rPr>
              <w:color w:val="auto"/>
              <w:sz w:val="28"/>
              <w:szCs w:val="28"/>
            </w:rPr>
            <w:tab/>
          </w:r>
          <w:r>
            <w:rPr>
              <w:color w:val="auto"/>
              <w:sz w:val="28"/>
              <w:szCs w:val="28"/>
            </w:rPr>
            <w:fldChar w:fldCharType="begin"/>
          </w:r>
          <w:r>
            <w:rPr>
              <w:color w:val="auto"/>
              <w:sz w:val="28"/>
              <w:szCs w:val="28"/>
            </w:rPr>
            <w:instrText xml:space="preserve"> PAGEREF _Toc21273 \h </w:instrText>
          </w:r>
          <w:r>
            <w:rPr>
              <w:color w:val="auto"/>
              <w:sz w:val="28"/>
              <w:szCs w:val="28"/>
            </w:rPr>
            <w:fldChar w:fldCharType="separate"/>
          </w:r>
          <w:r>
            <w:rPr>
              <w:color w:val="auto"/>
              <w:sz w:val="28"/>
              <w:szCs w:val="28"/>
            </w:rPr>
            <w:t>54</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3C538F0F">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_Toc23236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（一）加速提升基层应急管理能力</w:t>
          </w:r>
          <w:r>
            <w:rPr>
              <w:color w:val="auto"/>
              <w:sz w:val="28"/>
              <w:szCs w:val="28"/>
            </w:rPr>
            <w:tab/>
          </w:r>
          <w:r>
            <w:rPr>
              <w:color w:val="auto"/>
              <w:sz w:val="28"/>
              <w:szCs w:val="28"/>
            </w:rPr>
            <w:fldChar w:fldCharType="begin"/>
          </w:r>
          <w:r>
            <w:rPr>
              <w:color w:val="auto"/>
              <w:sz w:val="28"/>
              <w:szCs w:val="28"/>
            </w:rPr>
            <w:instrText xml:space="preserve"> PAGEREF _Toc23236 \h </w:instrText>
          </w:r>
          <w:r>
            <w:rPr>
              <w:color w:val="auto"/>
              <w:sz w:val="28"/>
              <w:szCs w:val="28"/>
            </w:rPr>
            <w:fldChar w:fldCharType="separate"/>
          </w:r>
          <w:r>
            <w:rPr>
              <w:color w:val="auto"/>
              <w:sz w:val="28"/>
              <w:szCs w:val="28"/>
            </w:rPr>
            <w:t>55</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0DC19860">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_Toc21692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（二）广泛开展应急宣传教育</w:t>
          </w:r>
          <w:r>
            <w:rPr>
              <w:color w:val="auto"/>
              <w:sz w:val="28"/>
              <w:szCs w:val="28"/>
            </w:rPr>
            <w:tab/>
          </w:r>
          <w:r>
            <w:rPr>
              <w:color w:val="auto"/>
              <w:sz w:val="28"/>
              <w:szCs w:val="28"/>
            </w:rPr>
            <w:fldChar w:fldCharType="begin"/>
          </w:r>
          <w:r>
            <w:rPr>
              <w:color w:val="auto"/>
              <w:sz w:val="28"/>
              <w:szCs w:val="28"/>
            </w:rPr>
            <w:instrText xml:space="preserve"> PAGEREF _Toc21692 \h </w:instrText>
          </w:r>
          <w:r>
            <w:rPr>
              <w:color w:val="auto"/>
              <w:sz w:val="28"/>
              <w:szCs w:val="28"/>
            </w:rPr>
            <w:fldChar w:fldCharType="separate"/>
          </w:r>
          <w:r>
            <w:rPr>
              <w:color w:val="auto"/>
              <w:sz w:val="28"/>
              <w:szCs w:val="28"/>
            </w:rPr>
            <w:t>57</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650FE36A">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_Toc21848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（三）完善社会动员与志愿服务体系</w:t>
          </w:r>
          <w:r>
            <w:rPr>
              <w:color w:val="auto"/>
              <w:sz w:val="28"/>
              <w:szCs w:val="28"/>
            </w:rPr>
            <w:tab/>
          </w:r>
          <w:r>
            <w:rPr>
              <w:color w:val="auto"/>
              <w:sz w:val="28"/>
              <w:szCs w:val="28"/>
            </w:rPr>
            <w:fldChar w:fldCharType="begin"/>
          </w:r>
          <w:r>
            <w:rPr>
              <w:color w:val="auto"/>
              <w:sz w:val="28"/>
              <w:szCs w:val="28"/>
            </w:rPr>
            <w:instrText xml:space="preserve"> PAGEREF _Toc21848 \h </w:instrText>
          </w:r>
          <w:r>
            <w:rPr>
              <w:color w:val="auto"/>
              <w:sz w:val="28"/>
              <w:szCs w:val="28"/>
            </w:rPr>
            <w:fldChar w:fldCharType="separate"/>
          </w:r>
          <w:r>
            <w:rPr>
              <w:color w:val="auto"/>
              <w:sz w:val="28"/>
              <w:szCs w:val="28"/>
            </w:rPr>
            <w:t>57</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A05CD9D">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_Toc25513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（四）加强依法治理与普法培训</w:t>
          </w:r>
          <w:r>
            <w:rPr>
              <w:color w:val="auto"/>
              <w:sz w:val="28"/>
              <w:szCs w:val="28"/>
            </w:rPr>
            <w:tab/>
          </w:r>
          <w:r>
            <w:rPr>
              <w:color w:val="auto"/>
              <w:sz w:val="28"/>
              <w:szCs w:val="28"/>
            </w:rPr>
            <w:fldChar w:fldCharType="begin"/>
          </w:r>
          <w:r>
            <w:rPr>
              <w:color w:val="auto"/>
              <w:sz w:val="28"/>
              <w:szCs w:val="28"/>
            </w:rPr>
            <w:instrText xml:space="preserve"> PAGEREF _Toc25513 \h </w:instrText>
          </w:r>
          <w:r>
            <w:rPr>
              <w:color w:val="auto"/>
              <w:sz w:val="28"/>
              <w:szCs w:val="28"/>
            </w:rPr>
            <w:fldChar w:fldCharType="separate"/>
          </w:r>
          <w:r>
            <w:rPr>
              <w:color w:val="auto"/>
              <w:sz w:val="28"/>
              <w:szCs w:val="28"/>
            </w:rPr>
            <w:t>58</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314A4AE2">
          <w:pPr>
            <w:pStyle w:val="6"/>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_Toc13619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方正小标宋简体" w:hAnsi="方正小标宋简体" w:eastAsia="方正小标宋简体" w:cs="方正小标宋简体"/>
              <w:color w:val="auto"/>
              <w:sz w:val="28"/>
              <w:szCs w:val="28"/>
              <w:lang w:val="en-US" w:eastAsia="zh-CN"/>
            </w:rPr>
            <w:t>第五章 重点工程项目</w:t>
          </w:r>
          <w:r>
            <w:rPr>
              <w:color w:val="auto"/>
              <w:sz w:val="28"/>
              <w:szCs w:val="28"/>
            </w:rPr>
            <w:tab/>
          </w:r>
          <w:r>
            <w:rPr>
              <w:color w:val="auto"/>
              <w:sz w:val="28"/>
              <w:szCs w:val="28"/>
            </w:rPr>
            <w:fldChar w:fldCharType="begin"/>
          </w:r>
          <w:r>
            <w:rPr>
              <w:color w:val="auto"/>
              <w:sz w:val="28"/>
              <w:szCs w:val="28"/>
            </w:rPr>
            <w:instrText xml:space="preserve"> PAGEREF _Toc13619 \h </w:instrText>
          </w:r>
          <w:r>
            <w:rPr>
              <w:color w:val="auto"/>
              <w:sz w:val="28"/>
              <w:szCs w:val="28"/>
            </w:rPr>
            <w:fldChar w:fldCharType="separate"/>
          </w:r>
          <w:r>
            <w:rPr>
              <w:color w:val="auto"/>
              <w:sz w:val="28"/>
              <w:szCs w:val="28"/>
            </w:rPr>
            <w:t>59</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BDB8880">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_Toc1105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一、应急避险避难空间建设工程</w:t>
          </w:r>
          <w:r>
            <w:rPr>
              <w:color w:val="auto"/>
              <w:sz w:val="28"/>
              <w:szCs w:val="28"/>
            </w:rPr>
            <w:tab/>
          </w:r>
          <w:r>
            <w:rPr>
              <w:color w:val="auto"/>
              <w:sz w:val="28"/>
              <w:szCs w:val="28"/>
            </w:rPr>
            <w:fldChar w:fldCharType="begin"/>
          </w:r>
          <w:r>
            <w:rPr>
              <w:color w:val="auto"/>
              <w:sz w:val="28"/>
              <w:szCs w:val="28"/>
            </w:rPr>
            <w:instrText xml:space="preserve"> PAGEREF _Toc1105 \h </w:instrText>
          </w:r>
          <w:r>
            <w:rPr>
              <w:color w:val="auto"/>
              <w:sz w:val="28"/>
              <w:szCs w:val="28"/>
            </w:rPr>
            <w:fldChar w:fldCharType="separate"/>
          </w:r>
          <w:r>
            <w:rPr>
              <w:color w:val="auto"/>
              <w:sz w:val="28"/>
              <w:szCs w:val="28"/>
            </w:rPr>
            <w:t>59</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6575688D">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_Toc24633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1.应急避难场所建设与更新改造项目</w:t>
          </w:r>
          <w:r>
            <w:rPr>
              <w:color w:val="auto"/>
              <w:sz w:val="28"/>
              <w:szCs w:val="28"/>
            </w:rPr>
            <w:tab/>
          </w:r>
          <w:r>
            <w:rPr>
              <w:color w:val="auto"/>
              <w:sz w:val="28"/>
              <w:szCs w:val="28"/>
            </w:rPr>
            <w:fldChar w:fldCharType="begin"/>
          </w:r>
          <w:r>
            <w:rPr>
              <w:color w:val="auto"/>
              <w:sz w:val="28"/>
              <w:szCs w:val="28"/>
            </w:rPr>
            <w:instrText xml:space="preserve"> PAGEREF _Toc24633 \h </w:instrText>
          </w:r>
          <w:r>
            <w:rPr>
              <w:color w:val="auto"/>
              <w:sz w:val="28"/>
              <w:szCs w:val="28"/>
            </w:rPr>
            <w:fldChar w:fldCharType="separate"/>
          </w:r>
          <w:r>
            <w:rPr>
              <w:color w:val="auto"/>
              <w:sz w:val="28"/>
              <w:szCs w:val="28"/>
            </w:rPr>
            <w:t>59</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7EF548C7">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_Toc29550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2.山区村庄</w:t>
          </w:r>
          <w:r>
            <w:rPr>
              <w:rFonts w:hint="eastAsia" w:ascii="楷体_GB2312" w:hAnsi="楷体_GB2312" w:eastAsia="楷体_GB2312" w:cs="楷体_GB2312"/>
              <w:bCs w:val="0"/>
              <w:color w:val="auto"/>
              <w:sz w:val="28"/>
              <w:szCs w:val="28"/>
              <w:lang w:val="en-US" w:eastAsia="zh-CN"/>
            </w:rPr>
            <w:t>“</w:t>
          </w:r>
          <w:r>
            <w:rPr>
              <w:rFonts w:hint="eastAsia" w:ascii="楷体_GB2312" w:hAnsi="楷体_GB2312" w:eastAsia="楷体_GB2312" w:cs="楷体_GB2312"/>
              <w:bCs w:val="0"/>
              <w:color w:val="auto"/>
              <w:sz w:val="28"/>
              <w:szCs w:val="28"/>
              <w:lang w:val="en-US" w:eastAsia="zh-CN"/>
            </w:rPr>
            <w:t>平急两用</w:t>
          </w:r>
          <w:r>
            <w:rPr>
              <w:rFonts w:hint="eastAsia" w:ascii="楷体_GB2312" w:hAnsi="楷体_GB2312" w:eastAsia="楷体_GB2312" w:cs="楷体_GB2312"/>
              <w:bCs w:val="0"/>
              <w:color w:val="auto"/>
              <w:sz w:val="28"/>
              <w:szCs w:val="28"/>
              <w:lang w:val="en-US" w:eastAsia="zh-CN"/>
            </w:rPr>
            <w:t>”</w:t>
          </w:r>
          <w:r>
            <w:rPr>
              <w:rFonts w:hint="eastAsia" w:ascii="楷体_GB2312" w:hAnsi="楷体_GB2312" w:eastAsia="楷体_GB2312" w:cs="楷体_GB2312"/>
              <w:bCs w:val="0"/>
              <w:color w:val="auto"/>
              <w:sz w:val="28"/>
              <w:szCs w:val="28"/>
              <w:lang w:val="en-US" w:eastAsia="zh-CN"/>
            </w:rPr>
            <w:t>高地堡垒（安全应急屋）建设项目</w:t>
          </w:r>
          <w:r>
            <w:rPr>
              <w:color w:val="auto"/>
              <w:sz w:val="28"/>
              <w:szCs w:val="28"/>
            </w:rPr>
            <w:tab/>
          </w:r>
          <w:r>
            <w:rPr>
              <w:color w:val="auto"/>
              <w:sz w:val="28"/>
              <w:szCs w:val="28"/>
            </w:rPr>
            <w:fldChar w:fldCharType="begin"/>
          </w:r>
          <w:r>
            <w:rPr>
              <w:color w:val="auto"/>
              <w:sz w:val="28"/>
              <w:szCs w:val="28"/>
            </w:rPr>
            <w:instrText xml:space="preserve"> PAGEREF _Toc29550 \h </w:instrText>
          </w:r>
          <w:r>
            <w:rPr>
              <w:color w:val="auto"/>
              <w:sz w:val="28"/>
              <w:szCs w:val="28"/>
            </w:rPr>
            <w:fldChar w:fldCharType="separate"/>
          </w:r>
          <w:r>
            <w:rPr>
              <w:color w:val="auto"/>
              <w:sz w:val="28"/>
              <w:szCs w:val="28"/>
            </w:rPr>
            <w:t>60</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0D0DE786">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_Toc31991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二、应急救援训练和保障设施建设工程</w:t>
          </w:r>
          <w:r>
            <w:rPr>
              <w:color w:val="auto"/>
              <w:sz w:val="28"/>
              <w:szCs w:val="28"/>
            </w:rPr>
            <w:tab/>
          </w:r>
          <w:r>
            <w:rPr>
              <w:color w:val="auto"/>
              <w:sz w:val="28"/>
              <w:szCs w:val="28"/>
            </w:rPr>
            <w:fldChar w:fldCharType="begin"/>
          </w:r>
          <w:r>
            <w:rPr>
              <w:color w:val="auto"/>
              <w:sz w:val="28"/>
              <w:szCs w:val="28"/>
            </w:rPr>
            <w:instrText xml:space="preserve"> PAGEREF _Toc31991 \h </w:instrText>
          </w:r>
          <w:r>
            <w:rPr>
              <w:color w:val="auto"/>
              <w:sz w:val="28"/>
              <w:szCs w:val="28"/>
            </w:rPr>
            <w:fldChar w:fldCharType="separate"/>
          </w:r>
          <w:r>
            <w:rPr>
              <w:color w:val="auto"/>
              <w:sz w:val="28"/>
              <w:szCs w:val="28"/>
            </w:rPr>
            <w:t>61</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66E7E312">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_Toc12052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3.</w:t>
          </w:r>
          <w:r>
            <w:rPr>
              <w:rFonts w:hint="default" w:ascii="楷体_GB2312" w:hAnsi="楷体_GB2312" w:eastAsia="楷体_GB2312" w:cs="楷体_GB2312"/>
              <w:bCs w:val="0"/>
              <w:color w:val="auto"/>
              <w:sz w:val="28"/>
              <w:szCs w:val="28"/>
              <w:lang w:val="en-US" w:eastAsia="zh-CN"/>
            </w:rPr>
            <w:t>森林消防综合救援支队驻地</w:t>
          </w:r>
          <w:r>
            <w:rPr>
              <w:rFonts w:hint="eastAsia" w:ascii="楷体_GB2312" w:hAnsi="楷体_GB2312" w:eastAsia="楷体_GB2312" w:cs="楷体_GB2312"/>
              <w:bCs w:val="0"/>
              <w:color w:val="auto"/>
              <w:sz w:val="28"/>
              <w:szCs w:val="28"/>
              <w:lang w:val="en-US" w:eastAsia="zh-CN"/>
            </w:rPr>
            <w:t>建设项目</w:t>
          </w:r>
          <w:r>
            <w:rPr>
              <w:color w:val="auto"/>
              <w:sz w:val="28"/>
              <w:szCs w:val="28"/>
            </w:rPr>
            <w:tab/>
          </w:r>
          <w:r>
            <w:rPr>
              <w:color w:val="auto"/>
              <w:sz w:val="28"/>
              <w:szCs w:val="28"/>
            </w:rPr>
            <w:fldChar w:fldCharType="begin"/>
          </w:r>
          <w:r>
            <w:rPr>
              <w:color w:val="auto"/>
              <w:sz w:val="28"/>
              <w:szCs w:val="28"/>
            </w:rPr>
            <w:instrText xml:space="preserve"> PAGEREF _Toc12052 \h </w:instrText>
          </w:r>
          <w:r>
            <w:rPr>
              <w:color w:val="auto"/>
              <w:sz w:val="28"/>
              <w:szCs w:val="28"/>
            </w:rPr>
            <w:fldChar w:fldCharType="separate"/>
          </w:r>
          <w:r>
            <w:rPr>
              <w:color w:val="auto"/>
              <w:sz w:val="28"/>
              <w:szCs w:val="28"/>
            </w:rPr>
            <w:t>61</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43CEAC58">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_Toc9223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三、危险化学品集中管理体系建设工程</w:t>
          </w:r>
          <w:r>
            <w:rPr>
              <w:color w:val="auto"/>
              <w:sz w:val="28"/>
              <w:szCs w:val="28"/>
            </w:rPr>
            <w:tab/>
          </w:r>
          <w:r>
            <w:rPr>
              <w:color w:val="auto"/>
              <w:sz w:val="28"/>
              <w:szCs w:val="28"/>
            </w:rPr>
            <w:fldChar w:fldCharType="begin"/>
          </w:r>
          <w:r>
            <w:rPr>
              <w:color w:val="auto"/>
              <w:sz w:val="28"/>
              <w:szCs w:val="28"/>
            </w:rPr>
            <w:instrText xml:space="preserve"> PAGEREF _Toc9223 \h </w:instrText>
          </w:r>
          <w:r>
            <w:rPr>
              <w:color w:val="auto"/>
              <w:sz w:val="28"/>
              <w:szCs w:val="28"/>
            </w:rPr>
            <w:fldChar w:fldCharType="separate"/>
          </w:r>
          <w:r>
            <w:rPr>
              <w:color w:val="auto"/>
              <w:sz w:val="28"/>
              <w:szCs w:val="28"/>
            </w:rPr>
            <w:t>62</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44C85832">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_Toc31997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highlight w:val="none"/>
              <w:lang w:val="en-US" w:eastAsia="zh-CN"/>
            </w:rPr>
            <w:t>4.怀柔区危险化学品快速周转节点建设项目</w:t>
          </w:r>
          <w:r>
            <w:rPr>
              <w:color w:val="auto"/>
              <w:sz w:val="28"/>
              <w:szCs w:val="28"/>
            </w:rPr>
            <w:tab/>
          </w:r>
          <w:r>
            <w:rPr>
              <w:color w:val="auto"/>
              <w:sz w:val="28"/>
              <w:szCs w:val="28"/>
            </w:rPr>
            <w:fldChar w:fldCharType="begin"/>
          </w:r>
          <w:r>
            <w:rPr>
              <w:color w:val="auto"/>
              <w:sz w:val="28"/>
              <w:szCs w:val="28"/>
            </w:rPr>
            <w:instrText xml:space="preserve"> PAGEREF _Toc31997 \h </w:instrText>
          </w:r>
          <w:r>
            <w:rPr>
              <w:color w:val="auto"/>
              <w:sz w:val="28"/>
              <w:szCs w:val="28"/>
            </w:rPr>
            <w:fldChar w:fldCharType="separate"/>
          </w:r>
          <w:r>
            <w:rPr>
              <w:color w:val="auto"/>
              <w:sz w:val="28"/>
              <w:szCs w:val="28"/>
            </w:rPr>
            <w:t>62</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561E349A">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_Toc32155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四、消防救援站建设工程</w:t>
          </w:r>
          <w:r>
            <w:rPr>
              <w:color w:val="auto"/>
              <w:sz w:val="28"/>
              <w:szCs w:val="28"/>
            </w:rPr>
            <w:tab/>
          </w:r>
          <w:r>
            <w:rPr>
              <w:color w:val="auto"/>
              <w:sz w:val="28"/>
              <w:szCs w:val="28"/>
            </w:rPr>
            <w:fldChar w:fldCharType="begin"/>
          </w:r>
          <w:r>
            <w:rPr>
              <w:color w:val="auto"/>
              <w:sz w:val="28"/>
              <w:szCs w:val="28"/>
            </w:rPr>
            <w:instrText xml:space="preserve"> PAGEREF _Toc32155 \h </w:instrText>
          </w:r>
          <w:r>
            <w:rPr>
              <w:color w:val="auto"/>
              <w:sz w:val="28"/>
              <w:szCs w:val="28"/>
            </w:rPr>
            <w:fldChar w:fldCharType="separate"/>
          </w:r>
          <w:r>
            <w:rPr>
              <w:color w:val="auto"/>
              <w:sz w:val="28"/>
              <w:szCs w:val="28"/>
            </w:rPr>
            <w:t>62</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3B80382">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_Toc112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5.消防救援站新建项目</w:t>
          </w:r>
          <w:r>
            <w:rPr>
              <w:color w:val="auto"/>
              <w:sz w:val="28"/>
              <w:szCs w:val="28"/>
            </w:rPr>
            <w:tab/>
          </w:r>
          <w:r>
            <w:rPr>
              <w:color w:val="auto"/>
              <w:sz w:val="28"/>
              <w:szCs w:val="28"/>
            </w:rPr>
            <w:fldChar w:fldCharType="begin"/>
          </w:r>
          <w:r>
            <w:rPr>
              <w:color w:val="auto"/>
              <w:sz w:val="28"/>
              <w:szCs w:val="28"/>
            </w:rPr>
            <w:instrText xml:space="preserve"> PAGEREF _Toc112 \h </w:instrText>
          </w:r>
          <w:r>
            <w:rPr>
              <w:color w:val="auto"/>
              <w:sz w:val="28"/>
              <w:szCs w:val="28"/>
            </w:rPr>
            <w:fldChar w:fldCharType="separate"/>
          </w:r>
          <w:r>
            <w:rPr>
              <w:color w:val="auto"/>
              <w:sz w:val="28"/>
              <w:szCs w:val="28"/>
            </w:rPr>
            <w:t>62</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368F7894">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_Toc13394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五、消防安全标准化与设施提质工程</w:t>
          </w:r>
          <w:r>
            <w:rPr>
              <w:color w:val="auto"/>
              <w:sz w:val="28"/>
              <w:szCs w:val="28"/>
            </w:rPr>
            <w:tab/>
          </w:r>
          <w:r>
            <w:rPr>
              <w:color w:val="auto"/>
              <w:sz w:val="28"/>
              <w:szCs w:val="28"/>
            </w:rPr>
            <w:fldChar w:fldCharType="begin"/>
          </w:r>
          <w:r>
            <w:rPr>
              <w:color w:val="auto"/>
              <w:sz w:val="28"/>
              <w:szCs w:val="28"/>
            </w:rPr>
            <w:instrText xml:space="preserve"> PAGEREF _Toc13394 \h </w:instrText>
          </w:r>
          <w:r>
            <w:rPr>
              <w:color w:val="auto"/>
              <w:sz w:val="28"/>
              <w:szCs w:val="28"/>
            </w:rPr>
            <w:fldChar w:fldCharType="separate"/>
          </w:r>
          <w:r>
            <w:rPr>
              <w:color w:val="auto"/>
              <w:sz w:val="28"/>
              <w:szCs w:val="28"/>
            </w:rPr>
            <w:t>63</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6398447D">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_Toc17467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6.行业消防安全标准化建设与星级评价项目</w:t>
          </w:r>
          <w:r>
            <w:rPr>
              <w:color w:val="auto"/>
              <w:sz w:val="28"/>
              <w:szCs w:val="28"/>
            </w:rPr>
            <w:tab/>
          </w:r>
          <w:r>
            <w:rPr>
              <w:color w:val="auto"/>
              <w:sz w:val="28"/>
              <w:szCs w:val="28"/>
            </w:rPr>
            <w:fldChar w:fldCharType="begin"/>
          </w:r>
          <w:r>
            <w:rPr>
              <w:color w:val="auto"/>
              <w:sz w:val="28"/>
              <w:szCs w:val="28"/>
            </w:rPr>
            <w:instrText xml:space="preserve"> PAGEREF _Toc17467 \h </w:instrText>
          </w:r>
          <w:r>
            <w:rPr>
              <w:color w:val="auto"/>
              <w:sz w:val="28"/>
              <w:szCs w:val="28"/>
            </w:rPr>
            <w:fldChar w:fldCharType="separate"/>
          </w:r>
          <w:r>
            <w:rPr>
              <w:color w:val="auto"/>
              <w:sz w:val="28"/>
              <w:szCs w:val="28"/>
            </w:rPr>
            <w:t>63</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4713C7FD">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_Toc12227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7.城市老旧消防设施更新升级项目</w:t>
          </w:r>
          <w:r>
            <w:rPr>
              <w:color w:val="auto"/>
              <w:sz w:val="28"/>
              <w:szCs w:val="28"/>
            </w:rPr>
            <w:tab/>
          </w:r>
          <w:r>
            <w:rPr>
              <w:color w:val="auto"/>
              <w:sz w:val="28"/>
              <w:szCs w:val="28"/>
            </w:rPr>
            <w:fldChar w:fldCharType="begin"/>
          </w:r>
          <w:r>
            <w:rPr>
              <w:color w:val="auto"/>
              <w:sz w:val="28"/>
              <w:szCs w:val="28"/>
            </w:rPr>
            <w:instrText xml:space="preserve"> PAGEREF _Toc12227 \h </w:instrText>
          </w:r>
          <w:r>
            <w:rPr>
              <w:color w:val="auto"/>
              <w:sz w:val="28"/>
              <w:szCs w:val="28"/>
            </w:rPr>
            <w:fldChar w:fldCharType="separate"/>
          </w:r>
          <w:r>
            <w:rPr>
              <w:color w:val="auto"/>
              <w:sz w:val="28"/>
              <w:szCs w:val="28"/>
            </w:rPr>
            <w:t>64</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A771F12">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_Toc402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六、智慧应急建设工程</w:t>
          </w:r>
          <w:r>
            <w:rPr>
              <w:color w:val="auto"/>
              <w:sz w:val="28"/>
              <w:szCs w:val="28"/>
            </w:rPr>
            <w:tab/>
          </w:r>
          <w:r>
            <w:rPr>
              <w:color w:val="auto"/>
              <w:sz w:val="28"/>
              <w:szCs w:val="28"/>
            </w:rPr>
            <w:fldChar w:fldCharType="begin"/>
          </w:r>
          <w:r>
            <w:rPr>
              <w:color w:val="auto"/>
              <w:sz w:val="28"/>
              <w:szCs w:val="28"/>
            </w:rPr>
            <w:instrText xml:space="preserve"> PAGEREF _Toc402 \h </w:instrText>
          </w:r>
          <w:r>
            <w:rPr>
              <w:color w:val="auto"/>
              <w:sz w:val="28"/>
              <w:szCs w:val="28"/>
            </w:rPr>
            <w:fldChar w:fldCharType="separate"/>
          </w:r>
          <w:r>
            <w:rPr>
              <w:color w:val="auto"/>
              <w:sz w:val="28"/>
              <w:szCs w:val="28"/>
            </w:rPr>
            <w:t>64</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5E38F1CD">
          <w:pPr>
            <w:pStyle w:val="3"/>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_Toc23655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楷体_GB2312" w:hAnsi="楷体_GB2312" w:eastAsia="楷体_GB2312" w:cs="楷体_GB2312"/>
              <w:bCs w:val="0"/>
              <w:color w:val="auto"/>
              <w:sz w:val="28"/>
              <w:szCs w:val="28"/>
              <w:lang w:val="en-US" w:eastAsia="zh-CN"/>
            </w:rPr>
            <w:t>8.基层应急监测预警系统提升项目</w:t>
          </w:r>
          <w:r>
            <w:rPr>
              <w:color w:val="auto"/>
              <w:sz w:val="28"/>
              <w:szCs w:val="28"/>
            </w:rPr>
            <w:tab/>
          </w:r>
          <w:r>
            <w:rPr>
              <w:color w:val="auto"/>
              <w:sz w:val="28"/>
              <w:szCs w:val="28"/>
            </w:rPr>
            <w:fldChar w:fldCharType="begin"/>
          </w:r>
          <w:r>
            <w:rPr>
              <w:color w:val="auto"/>
              <w:sz w:val="28"/>
              <w:szCs w:val="28"/>
            </w:rPr>
            <w:instrText xml:space="preserve"> PAGEREF _Toc23655 \h </w:instrText>
          </w:r>
          <w:r>
            <w:rPr>
              <w:color w:val="auto"/>
              <w:sz w:val="28"/>
              <w:szCs w:val="28"/>
            </w:rPr>
            <w:fldChar w:fldCharType="separate"/>
          </w:r>
          <w:r>
            <w:rPr>
              <w:color w:val="auto"/>
              <w:sz w:val="28"/>
              <w:szCs w:val="28"/>
            </w:rPr>
            <w:t>64</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0A96460E">
          <w:pPr>
            <w:pStyle w:val="6"/>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_Toc29392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方正小标宋简体" w:hAnsi="方正小标宋简体" w:eastAsia="方正小标宋简体" w:cs="方正小标宋简体"/>
              <w:color w:val="auto"/>
              <w:sz w:val="28"/>
              <w:szCs w:val="28"/>
              <w:lang w:val="en-US" w:eastAsia="zh-CN"/>
            </w:rPr>
            <w:t>第六章 保障措施</w:t>
          </w:r>
          <w:r>
            <w:rPr>
              <w:color w:val="auto"/>
              <w:sz w:val="28"/>
              <w:szCs w:val="28"/>
            </w:rPr>
            <w:tab/>
          </w:r>
          <w:r>
            <w:rPr>
              <w:color w:val="auto"/>
              <w:sz w:val="28"/>
              <w:szCs w:val="28"/>
            </w:rPr>
            <w:fldChar w:fldCharType="begin"/>
          </w:r>
          <w:r>
            <w:rPr>
              <w:color w:val="auto"/>
              <w:sz w:val="28"/>
              <w:szCs w:val="28"/>
            </w:rPr>
            <w:instrText xml:space="preserve"> PAGEREF _Toc29392 \h </w:instrText>
          </w:r>
          <w:r>
            <w:rPr>
              <w:color w:val="auto"/>
              <w:sz w:val="28"/>
              <w:szCs w:val="28"/>
            </w:rPr>
            <w:fldChar w:fldCharType="separate"/>
          </w:r>
          <w:r>
            <w:rPr>
              <w:color w:val="auto"/>
              <w:sz w:val="28"/>
              <w:szCs w:val="28"/>
            </w:rPr>
            <w:t>65</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24B21022">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_Toc13255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一、加强组织领导</w:t>
          </w:r>
          <w:r>
            <w:rPr>
              <w:color w:val="auto"/>
              <w:sz w:val="28"/>
              <w:szCs w:val="28"/>
            </w:rPr>
            <w:tab/>
          </w:r>
          <w:r>
            <w:rPr>
              <w:color w:val="auto"/>
              <w:sz w:val="28"/>
              <w:szCs w:val="28"/>
            </w:rPr>
            <w:fldChar w:fldCharType="begin"/>
          </w:r>
          <w:r>
            <w:rPr>
              <w:color w:val="auto"/>
              <w:sz w:val="28"/>
              <w:szCs w:val="28"/>
            </w:rPr>
            <w:instrText xml:space="preserve"> PAGEREF _Toc13255 \h </w:instrText>
          </w:r>
          <w:r>
            <w:rPr>
              <w:color w:val="auto"/>
              <w:sz w:val="28"/>
              <w:szCs w:val="28"/>
            </w:rPr>
            <w:fldChar w:fldCharType="separate"/>
          </w:r>
          <w:r>
            <w:rPr>
              <w:color w:val="auto"/>
              <w:sz w:val="28"/>
              <w:szCs w:val="28"/>
            </w:rPr>
            <w:t>65</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13A46649">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_Toc14712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二、强化政策保障</w:t>
          </w:r>
          <w:r>
            <w:rPr>
              <w:color w:val="auto"/>
              <w:sz w:val="28"/>
              <w:szCs w:val="28"/>
            </w:rPr>
            <w:tab/>
          </w:r>
          <w:r>
            <w:rPr>
              <w:color w:val="auto"/>
              <w:sz w:val="28"/>
              <w:szCs w:val="28"/>
            </w:rPr>
            <w:fldChar w:fldCharType="begin"/>
          </w:r>
          <w:r>
            <w:rPr>
              <w:color w:val="auto"/>
              <w:sz w:val="28"/>
              <w:szCs w:val="28"/>
            </w:rPr>
            <w:instrText xml:space="preserve"> PAGEREF _Toc14712 \h </w:instrText>
          </w:r>
          <w:r>
            <w:rPr>
              <w:color w:val="auto"/>
              <w:sz w:val="28"/>
              <w:szCs w:val="28"/>
            </w:rPr>
            <w:fldChar w:fldCharType="separate"/>
          </w:r>
          <w:r>
            <w:rPr>
              <w:color w:val="auto"/>
              <w:sz w:val="28"/>
              <w:szCs w:val="28"/>
            </w:rPr>
            <w:t>65</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7B2CE82C">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sz w:val="28"/>
              <w:szCs w:val="28"/>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_Toc3863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三、加强监督评估</w:t>
          </w:r>
          <w:r>
            <w:rPr>
              <w:color w:val="auto"/>
              <w:sz w:val="28"/>
              <w:szCs w:val="28"/>
            </w:rPr>
            <w:tab/>
          </w:r>
          <w:r>
            <w:rPr>
              <w:color w:val="auto"/>
              <w:sz w:val="28"/>
              <w:szCs w:val="28"/>
            </w:rPr>
            <w:fldChar w:fldCharType="begin"/>
          </w:r>
          <w:r>
            <w:rPr>
              <w:color w:val="auto"/>
              <w:sz w:val="28"/>
              <w:szCs w:val="28"/>
            </w:rPr>
            <w:instrText xml:space="preserve"> PAGEREF _Toc3863 \h </w:instrText>
          </w:r>
          <w:r>
            <w:rPr>
              <w:color w:val="auto"/>
              <w:sz w:val="28"/>
              <w:szCs w:val="28"/>
            </w:rPr>
            <w:fldChar w:fldCharType="separate"/>
          </w:r>
          <w:r>
            <w:rPr>
              <w:color w:val="auto"/>
              <w:sz w:val="28"/>
              <w:szCs w:val="28"/>
            </w:rPr>
            <w:t>66</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746C10E7">
          <w:pPr>
            <w:pStyle w:val="7"/>
            <w:keepNext w:val="0"/>
            <w:keepLines w:val="0"/>
            <w:pageBreakBefore w:val="0"/>
            <w:widowControl w:val="0"/>
            <w:tabs>
              <w:tab w:val="right" w:leader="dot" w:pos="8845"/>
            </w:tabs>
            <w:kinsoku/>
            <w:wordWrap/>
            <w:overflowPunct/>
            <w:topLinePunct w:val="0"/>
            <w:autoSpaceDE/>
            <w:autoSpaceDN/>
            <w:bidi w:val="0"/>
            <w:adjustRightInd w:val="0"/>
            <w:snapToGrid w:val="0"/>
            <w:spacing w:line="480" w:lineRule="exact"/>
            <w:ind w:firstLine="0" w:firstLineChars="0"/>
            <w:textAlignment w:val="auto"/>
            <w:rPr>
              <w:color w:val="auto"/>
            </w:rPr>
          </w:pPr>
          <w:r>
            <w:rPr>
              <w:rFonts w:hint="eastAsia" w:ascii="方正小标宋简体" w:hAnsi="方正小标宋简体" w:eastAsia="方正小标宋简体" w:cs="方正小标宋简体"/>
              <w:color w:val="auto"/>
              <w:sz w:val="28"/>
              <w:szCs w:val="28"/>
              <w:lang w:val="en-US" w:eastAsia="zh-CN" w:bidi="ar-SA"/>
            </w:rPr>
            <w:fldChar w:fldCharType="begin"/>
          </w:r>
          <w:r>
            <w:rPr>
              <w:rFonts w:hint="eastAsia" w:ascii="方正小标宋简体" w:hAnsi="方正小标宋简体" w:eastAsia="方正小标宋简体" w:cs="方正小标宋简体"/>
              <w:color w:val="auto"/>
              <w:sz w:val="28"/>
              <w:szCs w:val="28"/>
              <w:lang w:val="en-US" w:eastAsia="zh-CN" w:bidi="ar-SA"/>
            </w:rPr>
            <w:instrText xml:space="preserve"> HYPERLINK \l _Toc22745 </w:instrText>
          </w:r>
          <w:r>
            <w:rPr>
              <w:rFonts w:hint="eastAsia" w:ascii="方正小标宋简体" w:hAnsi="方正小标宋简体" w:eastAsia="方正小标宋简体" w:cs="方正小标宋简体"/>
              <w:color w:val="auto"/>
              <w:sz w:val="28"/>
              <w:szCs w:val="28"/>
              <w:lang w:val="en-US" w:eastAsia="zh-CN" w:bidi="ar-SA"/>
            </w:rPr>
            <w:fldChar w:fldCharType="separate"/>
          </w:r>
          <w:r>
            <w:rPr>
              <w:rFonts w:hint="eastAsia" w:ascii="黑体" w:hAnsi="黑体" w:eastAsia="黑体" w:cs="黑体"/>
              <w:color w:val="auto"/>
              <w:sz w:val="28"/>
              <w:szCs w:val="28"/>
              <w:lang w:val="en-US" w:eastAsia="zh-CN"/>
            </w:rPr>
            <w:t>四、强化协同机制</w:t>
          </w:r>
          <w:r>
            <w:rPr>
              <w:color w:val="auto"/>
              <w:sz w:val="28"/>
              <w:szCs w:val="28"/>
            </w:rPr>
            <w:tab/>
          </w:r>
          <w:r>
            <w:rPr>
              <w:color w:val="auto"/>
              <w:sz w:val="28"/>
              <w:szCs w:val="28"/>
            </w:rPr>
            <w:fldChar w:fldCharType="begin"/>
          </w:r>
          <w:r>
            <w:rPr>
              <w:color w:val="auto"/>
              <w:sz w:val="28"/>
              <w:szCs w:val="28"/>
            </w:rPr>
            <w:instrText xml:space="preserve"> PAGEREF _Toc22745 \h </w:instrText>
          </w:r>
          <w:r>
            <w:rPr>
              <w:color w:val="auto"/>
              <w:sz w:val="28"/>
              <w:szCs w:val="28"/>
            </w:rPr>
            <w:fldChar w:fldCharType="separate"/>
          </w:r>
          <w:r>
            <w:rPr>
              <w:color w:val="auto"/>
              <w:sz w:val="28"/>
              <w:szCs w:val="28"/>
            </w:rPr>
            <w:t>66</w:t>
          </w:r>
          <w:r>
            <w:rPr>
              <w:color w:val="auto"/>
              <w:sz w:val="28"/>
              <w:szCs w:val="28"/>
            </w:rPr>
            <w:fldChar w:fldCharType="end"/>
          </w:r>
          <w:r>
            <w:rPr>
              <w:rFonts w:hint="eastAsia" w:ascii="方正小标宋简体" w:hAnsi="方正小标宋简体" w:eastAsia="方正小标宋简体" w:cs="方正小标宋简体"/>
              <w:color w:val="auto"/>
              <w:sz w:val="28"/>
              <w:szCs w:val="28"/>
              <w:lang w:val="en-US" w:eastAsia="zh-CN" w:bidi="ar-SA"/>
            </w:rPr>
            <w:fldChar w:fldCharType="end"/>
          </w:r>
        </w:p>
        <w:p w14:paraId="4F0E4D77">
          <w:pPr>
            <w:ind w:left="0" w:leftChars="0" w:firstLine="0" w:firstLineChars="0"/>
            <w:jc w:val="center"/>
            <w:rPr>
              <w:rFonts w:hint="eastAsia" w:ascii="方正小标宋简体" w:hAnsi="方正小标宋简体" w:eastAsia="方正小标宋简体" w:cs="方正小标宋简体"/>
              <w:color w:val="auto"/>
              <w:sz w:val="32"/>
              <w:szCs w:val="44"/>
              <w:lang w:val="en-US" w:eastAsia="zh-CN" w:bidi="ar-SA"/>
            </w:rPr>
          </w:pPr>
          <w:r>
            <w:rPr>
              <w:rFonts w:hint="eastAsia" w:ascii="方正小标宋简体" w:hAnsi="方正小标宋简体" w:eastAsia="方正小标宋简体" w:cs="方正小标宋简体"/>
              <w:color w:val="auto"/>
              <w:szCs w:val="44"/>
              <w:lang w:val="en-US" w:eastAsia="zh-CN" w:bidi="ar-SA"/>
            </w:rPr>
            <w:fldChar w:fldCharType="end"/>
          </w:r>
        </w:p>
      </w:sdtContent>
    </w:sdt>
    <w:p w14:paraId="2A6653B6">
      <w:pPr>
        <w:ind w:left="0" w:leftChars="0" w:firstLine="0" w:firstLineChars="0"/>
        <w:jc w:val="center"/>
        <w:outlineLvl w:val="0"/>
        <w:rPr>
          <w:rFonts w:hint="eastAsia" w:ascii="黑体" w:hAnsi="黑体" w:eastAsia="黑体" w:cs="黑体"/>
          <w:color w:val="auto"/>
          <w:sz w:val="44"/>
          <w:szCs w:val="44"/>
          <w:lang w:val="en-US" w:eastAsia="zh-CN"/>
        </w:rPr>
        <w:sectPr>
          <w:footerReference r:id="rId5" w:type="default"/>
          <w:pgSz w:w="11906" w:h="16838"/>
          <w:pgMar w:top="2098" w:right="1474" w:bottom="1984" w:left="158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bookmarkStart w:id="0" w:name="_Toc27617"/>
    </w:p>
    <w:p w14:paraId="30575561">
      <w:pPr>
        <w:keepNext w:val="0"/>
        <w:keepLines w:val="0"/>
        <w:pageBreakBefore w:val="0"/>
        <w:widowControl w:val="0"/>
        <w:kinsoku/>
        <w:wordWrap/>
        <w:overflowPunct/>
        <w:topLinePunct w:val="0"/>
        <w:autoSpaceDE/>
        <w:autoSpaceDN/>
        <w:bidi w:val="0"/>
        <w:adjustRightInd w:val="0"/>
        <w:snapToGrid w:val="0"/>
        <w:spacing w:before="340" w:after="330"/>
        <w:ind w:left="0" w:leftChars="0" w:firstLine="0" w:firstLineChars="0"/>
        <w:jc w:val="center"/>
        <w:textAlignment w:val="auto"/>
        <w:outlineLvl w:val="0"/>
        <w:rPr>
          <w:rFonts w:hint="eastAsia" w:ascii="方正小标宋简体" w:hAnsi="方正小标宋简体" w:eastAsia="方正小标宋简体" w:cs="方正小标宋简体"/>
          <w:color w:val="auto"/>
          <w:sz w:val="44"/>
          <w:szCs w:val="44"/>
          <w:lang w:val="en-US" w:eastAsia="zh-CN"/>
        </w:rPr>
      </w:pPr>
      <w:bookmarkStart w:id="1" w:name="_Toc874"/>
      <w:r>
        <w:rPr>
          <w:rFonts w:hint="eastAsia" w:ascii="方正小标宋简体" w:hAnsi="方正小标宋简体" w:eastAsia="方正小标宋简体" w:cs="方正小标宋简体"/>
          <w:color w:val="auto"/>
          <w:sz w:val="44"/>
          <w:szCs w:val="44"/>
          <w:lang w:val="en-US" w:eastAsia="zh-CN"/>
        </w:rPr>
        <w:t>前 言</w:t>
      </w:r>
      <w:bookmarkEnd w:id="0"/>
      <w:bookmarkEnd w:id="1"/>
    </w:p>
    <w:p w14:paraId="14A0A68B">
      <w:pPr>
        <w:rPr>
          <w:rFonts w:hint="eastAsia"/>
          <w:color w:val="auto"/>
          <w:lang w:val="en-US" w:eastAsia="zh-CN"/>
        </w:rPr>
      </w:pPr>
      <w:r>
        <w:rPr>
          <w:rFonts w:hint="eastAsia"/>
          <w:color w:val="auto"/>
          <w:lang w:val="en-US" w:eastAsia="zh-CN"/>
        </w:rPr>
        <w:t>“十五五”时期是我国全面建设社会主义现代化国家新征程的关键阶段，是北京市落实首都城市战略定位、加快推进国际一流和谐宜居之都建设的重要时期，也是怀柔区全力建设国际一流的战略科技融合发展示范区、全面提升区域应急管理能力的历史机遇期。作为首都重要的生态涵养区和科技创新高地，怀柔区肩负着服务国家战略和保障城市安全运行的双重使命。</w:t>
      </w:r>
    </w:p>
    <w:p w14:paraId="3F0CF497">
      <w:pPr>
        <w:rPr>
          <w:rFonts w:hint="eastAsia"/>
          <w:color w:val="auto"/>
          <w:lang w:val="en-US" w:eastAsia="zh-CN"/>
        </w:rPr>
      </w:pPr>
      <w:r>
        <w:rPr>
          <w:rFonts w:hint="eastAsia"/>
          <w:color w:val="auto"/>
          <w:lang w:val="en-US" w:eastAsia="zh-CN"/>
        </w:rPr>
        <w:t>为深入贯彻习近平总书记关于应急管理的重要论述和党的二十大精神，全面落实党中央、国务院决策部署及北京市委、市政府工作要求，加快推进应急管理体系和能力现代化，依据《中华人民共和国突发事件应对法》《中华人民共和国安全生产法》《中华人民共和国消防法》《中华人民共和国防震减灾法》等法律法规，以及《北京城市总体规划（2016年—2035年）》《北京市“十五五”时期应急管理体系规划》</w:t>
      </w:r>
      <w:r>
        <w:rPr>
          <w:rFonts w:hint="eastAsia"/>
          <w:color w:val="auto"/>
          <w:lang w:val="en-US" w:eastAsia="zh-CN"/>
        </w:rPr>
        <w:t>《北京市怀柔区国民经济和社会发展第十五个五年规划纲要》</w:t>
      </w:r>
      <w:r>
        <w:rPr>
          <w:rFonts w:hint="eastAsia"/>
          <w:color w:val="auto"/>
          <w:lang w:val="en-US" w:eastAsia="zh-CN"/>
        </w:rPr>
        <w:t>等文件，立足怀柔区“一区、五高地”建设目标，紧扣“一城两都”融合发展和科学城、会都、影都建设实际，制定本规划。</w:t>
      </w:r>
    </w:p>
    <w:p w14:paraId="04382B8B">
      <w:pPr>
        <w:rPr>
          <w:rFonts w:hint="eastAsia"/>
          <w:color w:val="auto"/>
          <w:lang w:val="en-US" w:eastAsia="zh-CN"/>
        </w:rPr>
      </w:pPr>
      <w:r>
        <w:rPr>
          <w:rFonts w:hint="eastAsia"/>
          <w:color w:val="auto"/>
          <w:lang w:val="en-US" w:eastAsia="zh-CN"/>
        </w:rPr>
        <w:t>本规划立足怀柔区域特点和发展需求，系统谋划未来五年应急管理事业发展蓝图，是指导全区应急管理工作的纲领性文件，对提升防范化解重大风险能力、保障人民群众生命财产安全、服务区域高质量发展具有重要意义。</w:t>
      </w:r>
    </w:p>
    <w:p w14:paraId="66B7E7CD">
      <w:pPr>
        <w:keepNext w:val="0"/>
        <w:keepLines w:val="0"/>
        <w:pageBreakBefore w:val="0"/>
        <w:widowControl w:val="0"/>
        <w:kinsoku/>
        <w:wordWrap/>
        <w:overflowPunct/>
        <w:topLinePunct w:val="0"/>
        <w:autoSpaceDE/>
        <w:autoSpaceDN/>
        <w:bidi w:val="0"/>
        <w:adjustRightInd w:val="0"/>
        <w:snapToGrid w:val="0"/>
        <w:spacing w:before="340" w:after="330"/>
        <w:ind w:left="0" w:leftChars="0" w:firstLine="0" w:firstLineChars="0"/>
        <w:jc w:val="center"/>
        <w:textAlignment w:val="auto"/>
        <w:outlineLvl w:val="0"/>
        <w:rPr>
          <w:rFonts w:hint="eastAsia" w:ascii="方正小标宋简体" w:hAnsi="方正小标宋简体" w:eastAsia="方正小标宋简体" w:cs="方正小标宋简体"/>
          <w:color w:val="auto"/>
          <w:sz w:val="44"/>
          <w:szCs w:val="44"/>
          <w:lang w:val="en-US" w:eastAsia="zh-CN"/>
        </w:rPr>
      </w:pPr>
      <w:bookmarkStart w:id="2" w:name="_Toc31240"/>
      <w:bookmarkStart w:id="3" w:name="_Toc5072"/>
      <w:r>
        <w:rPr>
          <w:rFonts w:hint="eastAsia" w:ascii="方正小标宋简体" w:hAnsi="方正小标宋简体" w:eastAsia="方正小标宋简体" w:cs="方正小标宋简体"/>
          <w:color w:val="auto"/>
          <w:sz w:val="44"/>
          <w:szCs w:val="44"/>
          <w:lang w:val="en-US" w:eastAsia="zh-CN"/>
        </w:rPr>
        <w:t>第一章 “十四五”期间</w:t>
      </w:r>
      <w:bookmarkEnd w:id="2"/>
      <w:r>
        <w:rPr>
          <w:rFonts w:hint="eastAsia" w:ascii="方正小标宋简体" w:hAnsi="方正小标宋简体" w:eastAsia="方正小标宋简体" w:cs="方正小标宋简体"/>
          <w:color w:val="auto"/>
          <w:sz w:val="44"/>
          <w:szCs w:val="44"/>
          <w:lang w:val="en-US" w:eastAsia="zh-CN"/>
        </w:rPr>
        <w:t>发展情况</w:t>
      </w:r>
      <w:bookmarkEnd w:id="3"/>
    </w:p>
    <w:p w14:paraId="3641277A">
      <w:pPr>
        <w:outlineLvl w:val="1"/>
        <w:rPr>
          <w:rFonts w:hint="eastAsia" w:ascii="黑体" w:hAnsi="黑体" w:eastAsia="黑体" w:cs="黑体"/>
          <w:color w:val="auto"/>
          <w:lang w:val="en-US" w:eastAsia="zh-CN"/>
        </w:rPr>
      </w:pPr>
      <w:bookmarkStart w:id="4" w:name="_Toc22671"/>
      <w:bookmarkStart w:id="5" w:name="_Toc16141"/>
      <w:r>
        <w:rPr>
          <w:rFonts w:hint="eastAsia" w:ascii="黑体" w:hAnsi="黑体" w:eastAsia="黑体" w:cs="黑体"/>
          <w:color w:val="auto"/>
          <w:lang w:val="en-US" w:eastAsia="zh-CN"/>
        </w:rPr>
        <w:t>一、发展成效</w:t>
      </w:r>
      <w:bookmarkEnd w:id="4"/>
    </w:p>
    <w:p w14:paraId="4CE37D78">
      <w:pPr>
        <w:outlineLvl w:val="2"/>
        <w:rPr>
          <w:rFonts w:hint="eastAsia" w:ascii="楷体_GB2312" w:hAnsi="楷体_GB2312" w:eastAsia="楷体_GB2312" w:cs="楷体_GB2312"/>
          <w:b w:val="0"/>
          <w:bCs w:val="0"/>
          <w:color w:val="auto"/>
          <w:lang w:val="en-US" w:eastAsia="zh-CN"/>
        </w:rPr>
      </w:pPr>
      <w:bookmarkStart w:id="6" w:name="_Toc22066"/>
      <w:r>
        <w:rPr>
          <w:rFonts w:hint="eastAsia" w:ascii="楷体_GB2312" w:hAnsi="楷体_GB2312" w:eastAsia="楷体_GB2312" w:cs="楷体_GB2312"/>
          <w:b w:val="0"/>
          <w:bCs w:val="0"/>
          <w:color w:val="auto"/>
          <w:lang w:val="en-US" w:eastAsia="zh-CN"/>
        </w:rPr>
        <w:t>（一）应急管理机制不断完善</w:t>
      </w:r>
      <w:bookmarkEnd w:id="5"/>
      <w:bookmarkEnd w:id="6"/>
    </w:p>
    <w:p w14:paraId="27B425F8">
      <w:pPr>
        <w:rPr>
          <w:rFonts w:hint="eastAsia"/>
          <w:color w:val="auto"/>
          <w:lang w:val="en-US" w:eastAsia="zh-CN"/>
        </w:rPr>
      </w:pPr>
      <w:r>
        <w:rPr>
          <w:rFonts w:hint="eastAsia"/>
          <w:b/>
          <w:bCs/>
          <w:color w:val="auto"/>
          <w:lang w:val="en-US" w:eastAsia="zh-CN"/>
        </w:rPr>
        <w:t>组织领导体系更加健全。</w:t>
      </w:r>
      <w:r>
        <w:rPr>
          <w:rFonts w:hint="eastAsia"/>
          <w:color w:val="auto"/>
          <w:lang w:val="en-US" w:eastAsia="zh-CN"/>
        </w:rPr>
        <w:t>制定并实施《怀柔区城市重大安全风险联防联控机制》，整合了原分散于安全生产、森林防火、水旱灾害、减灾救灾、消防救援等领域的应急管理职责，构建起统一指挥、分工协作的工作格局，推动形成打防一体、精准防控的工作局面。</w:t>
      </w:r>
    </w:p>
    <w:p w14:paraId="43257007">
      <w:pPr>
        <w:rPr>
          <w:rFonts w:hint="eastAsia"/>
          <w:color w:val="auto"/>
          <w:lang w:val="en-US" w:eastAsia="zh-CN"/>
        </w:rPr>
      </w:pPr>
      <w:r>
        <w:rPr>
          <w:rFonts w:hint="eastAsia"/>
          <w:b/>
          <w:bCs/>
          <w:color w:val="auto"/>
          <w:lang w:val="en-US" w:eastAsia="zh-CN"/>
        </w:rPr>
        <w:t>协调联动机制持续优化。</w:t>
      </w:r>
      <w:r>
        <w:rPr>
          <w:rFonts w:hint="eastAsia"/>
          <w:color w:val="auto"/>
          <w:lang w:val="en-US" w:eastAsia="zh-CN"/>
        </w:rPr>
        <w:t>完善区级联席会议制度，强化高位协调，确保各责任单位系统性地开展自然灾害防治和安全生产事故防范工作。建立区安委办协调属地、行业相关部门配合工作机制，确保各类高风险设备、大科学装置、危险化学品等安全管理到位。建立健全党委引导、区政府和社会力量协同联动、救援力量调配、物资储运调配等应急联动机制，形成灾后救助、灾害损失评估等长效机制。</w:t>
      </w:r>
    </w:p>
    <w:p w14:paraId="32FDC721">
      <w:pPr>
        <w:rPr>
          <w:rFonts w:hint="eastAsia"/>
          <w:color w:val="auto"/>
          <w:lang w:val="en-US" w:eastAsia="zh-CN"/>
        </w:rPr>
      </w:pPr>
      <w:r>
        <w:rPr>
          <w:rFonts w:hint="eastAsia"/>
          <w:b/>
          <w:bCs/>
          <w:color w:val="auto"/>
          <w:lang w:val="en-US" w:eastAsia="zh-CN"/>
        </w:rPr>
        <w:t>执法监管机制创新完善。</w:t>
      </w:r>
      <w:r>
        <w:rPr>
          <w:rFonts w:hint="eastAsia"/>
          <w:color w:val="auto"/>
          <w:lang w:val="en-US" w:eastAsia="zh-CN"/>
        </w:rPr>
        <w:t>全面推进应急管理综合行政执法“四位一体”体系建设，落实应急管理综合行政执法改革。制定印发《怀柔区应急管理行政执法公示办法》《怀柔区应急管理行政执法全过程记录办法》《怀柔区应急管理重大行政执法决定法制审核办法》，规范行政执法“三项制度”。创新执法方式，采取联合执法、专项执法、“执法+专家”式执法等方式，提升安全监管执法质效，加大帮扶指导的频次和力度。建立应急管理轻微违法行为依法免予处罚清单，优化营商环境。</w:t>
      </w:r>
    </w:p>
    <w:p w14:paraId="0ACAEFAB">
      <w:pPr>
        <w:rPr>
          <w:rFonts w:hint="eastAsia"/>
          <w:color w:val="auto"/>
          <w:highlight w:val="none"/>
          <w:lang w:val="en-US" w:eastAsia="zh-CN"/>
        </w:rPr>
      </w:pPr>
      <w:r>
        <w:rPr>
          <w:rFonts w:hint="eastAsia"/>
          <w:b/>
          <w:bCs/>
          <w:color w:val="auto"/>
          <w:highlight w:val="none"/>
          <w:lang w:val="en-US" w:eastAsia="zh-CN"/>
        </w:rPr>
        <w:t>社会协同机制深入推进。</w:t>
      </w:r>
      <w:r>
        <w:rPr>
          <w:rFonts w:hint="eastAsia"/>
          <w:color w:val="auto"/>
          <w:highlight w:val="none"/>
          <w:lang w:val="en-US" w:eastAsia="zh-CN"/>
        </w:rPr>
        <w:t>基本完成街道社区管理体制改革与协管员管理体制改革，整合街巷长、小巷管家和专兼职网格队伍。落实老旧小区物业服务覆盖工作。制定了《怀柔区网上12345接诉即办工作办法（试行）》，开展挂账诉求“清零行动”，挂账诉求销账率达到100%。城市安全隐患整改率达98.8%，电诈“三扫”覆盖全区总人口的96%，发案和损失数分别下降63.4%和67.5%。</w:t>
      </w:r>
    </w:p>
    <w:p w14:paraId="0B182350">
      <w:pPr>
        <w:outlineLvl w:val="2"/>
        <w:rPr>
          <w:rFonts w:hint="eastAsia" w:ascii="楷体_GB2312" w:hAnsi="楷体_GB2312" w:eastAsia="楷体_GB2312" w:cs="楷体_GB2312"/>
          <w:b w:val="0"/>
          <w:bCs w:val="0"/>
          <w:color w:val="auto"/>
          <w:lang w:val="en-US" w:eastAsia="zh-CN"/>
        </w:rPr>
      </w:pPr>
      <w:bookmarkStart w:id="7" w:name="_Toc28487"/>
      <w:bookmarkStart w:id="8" w:name="_Toc12437"/>
      <w:r>
        <w:rPr>
          <w:rFonts w:hint="eastAsia" w:ascii="楷体_GB2312" w:hAnsi="楷体_GB2312" w:eastAsia="楷体_GB2312" w:cs="楷体_GB2312"/>
          <w:b w:val="0"/>
          <w:bCs w:val="0"/>
          <w:color w:val="auto"/>
          <w:lang w:val="en-US" w:eastAsia="zh-CN"/>
        </w:rPr>
        <w:t>（二）安全生产形势稳定向好</w:t>
      </w:r>
      <w:bookmarkEnd w:id="7"/>
      <w:bookmarkEnd w:id="8"/>
    </w:p>
    <w:p w14:paraId="6BFEF569">
      <w:pPr>
        <w:rPr>
          <w:rFonts w:hint="eastAsia"/>
          <w:color w:val="auto"/>
          <w:highlight w:val="lightGray"/>
          <w:lang w:val="en-US" w:eastAsia="zh-CN"/>
        </w:rPr>
      </w:pPr>
      <w:r>
        <w:rPr>
          <w:rFonts w:hint="eastAsia"/>
          <w:b/>
          <w:bCs/>
          <w:color w:val="auto"/>
          <w:lang w:val="en-US" w:eastAsia="zh-CN"/>
        </w:rPr>
        <w:t>安全生产指标持续改善。</w:t>
      </w:r>
      <w:r>
        <w:rPr>
          <w:rFonts w:hint="eastAsia"/>
          <w:color w:val="auto"/>
          <w:highlight w:val="none"/>
          <w:lang w:val="en-US" w:eastAsia="zh-CN"/>
        </w:rPr>
        <w:t>2021年至2025年，单位地区生产总值生产安全事故死亡率近年来持续保持较低水平。亡人交通事故起数和死亡人数连续四年实现“双下降”，2025年亡人交通事故29起、死亡30人，同比分别下降3.33%和3.23%。火灾形势总体平稳，2023年火灾起数同比下降6.33%，未发生有影响和亡人火灾事故；2024年发生火灾141起，无人死亡；2025年发生火灾150起，同比下降11.24%。</w:t>
      </w:r>
    </w:p>
    <w:p w14:paraId="4B468DE5">
      <w:pPr>
        <w:rPr>
          <w:rFonts w:hint="eastAsia"/>
          <w:color w:val="auto"/>
          <w:lang w:val="en-US" w:eastAsia="zh-CN"/>
        </w:rPr>
      </w:pPr>
      <w:r>
        <w:rPr>
          <w:rFonts w:hint="eastAsia"/>
          <w:b/>
          <w:bCs/>
          <w:color w:val="auto"/>
          <w:lang w:val="en-US" w:eastAsia="zh-CN"/>
        </w:rPr>
        <w:t>责任体系更加严密完善。</w:t>
      </w:r>
      <w:r>
        <w:rPr>
          <w:rFonts w:hint="eastAsia"/>
          <w:color w:val="auto"/>
          <w:lang w:val="en-US" w:eastAsia="zh-CN"/>
        </w:rPr>
        <w:t>编制怀柔区党政领导干部安全生产职责清单和2021至2025年度怀柔区安全生产重点工作任务清单，将履行安全生产工作责任情况列入年度考核述职内容。重点防控节点，区领导采取“四不两直”方式多次带队深入一线检查安全生产，各项安全生产工作均有序推进。</w:t>
      </w:r>
    </w:p>
    <w:p w14:paraId="279A6700">
      <w:pPr>
        <w:rPr>
          <w:rFonts w:hint="eastAsia"/>
          <w:color w:val="auto"/>
          <w:lang w:val="en-US" w:eastAsia="zh-CN"/>
        </w:rPr>
      </w:pPr>
      <w:r>
        <w:rPr>
          <w:rFonts w:hint="eastAsia"/>
          <w:b/>
          <w:bCs/>
          <w:color w:val="auto"/>
          <w:lang w:val="en-US" w:eastAsia="zh-CN"/>
        </w:rPr>
        <w:t>重点领域治理成效显著。</w:t>
      </w:r>
      <w:r>
        <w:rPr>
          <w:rFonts w:hint="eastAsia"/>
          <w:color w:val="auto"/>
          <w:lang w:val="en-US" w:eastAsia="zh-CN"/>
        </w:rPr>
        <w:t>深入开展安全生产专项整治三年行动，成立区级工作专班，以目标任务清单、隐患问题清单为抓手，聚焦重大隐患排查治理、突出问题集中治理、“双挂账”机制落实和隐患销账核查。</w:t>
      </w:r>
      <w:r>
        <w:rPr>
          <w:rFonts w:hint="eastAsia"/>
          <w:color w:val="auto"/>
          <w:highlight w:val="none"/>
          <w:lang w:val="en-US" w:eastAsia="zh-CN"/>
        </w:rPr>
        <w:t>截至2025年上半年，</w:t>
      </w:r>
      <w:r>
        <w:rPr>
          <w:rFonts w:hint="eastAsia"/>
          <w:color w:val="auto"/>
          <w:lang w:val="en-US" w:eastAsia="zh-CN"/>
        </w:rPr>
        <w:t>企业主要负责人培训453次，培训40477人次；录入重大隐患509条，已整改507条；“一案双罚”4次，公布典型执法案例56个，责任倒查追责问责8人，约谈通报55次。危险化学品安全专项整治三年行动验收合格率达100%，化工和医药制造企业专项整治验收合格率达100%。</w:t>
      </w:r>
    </w:p>
    <w:p w14:paraId="66FB244F">
      <w:pPr>
        <w:rPr>
          <w:rFonts w:hint="eastAsia"/>
          <w:color w:val="auto"/>
          <w:lang w:val="en-US" w:eastAsia="zh-CN"/>
        </w:rPr>
      </w:pPr>
      <w:r>
        <w:rPr>
          <w:rFonts w:hint="eastAsia"/>
          <w:b/>
          <w:bCs/>
          <w:color w:val="auto"/>
          <w:lang w:val="en-US" w:eastAsia="zh-CN"/>
        </w:rPr>
        <w:t>风险防控能力全面提升。</w:t>
      </w:r>
      <w:r>
        <w:rPr>
          <w:rFonts w:hint="eastAsia"/>
          <w:color w:val="auto"/>
          <w:lang w:val="en-US" w:eastAsia="zh-CN"/>
        </w:rPr>
        <w:t>全覆盖开展城市安全风险评估工作，完成已开展评估的14个行业领域的非小微社会单位（约550家）安全风险评估工作。组织指导非小微企业每季度至少完成1次风险更新，小微企业每年至少完成1次风险更新，更新率不低于92%，安全风险源月度审核率不低于95%。加大对各行业、属地、企业的培训和指导帮扶力度，强化监督考核，提高相关工作人员的业务能力。重点行业领域生产经营单位事故隐患内部报告奖励机制建立率达到100%。</w:t>
      </w:r>
    </w:p>
    <w:p w14:paraId="2648523C">
      <w:pPr>
        <w:outlineLvl w:val="2"/>
        <w:rPr>
          <w:rFonts w:hint="eastAsia" w:ascii="楷体_GB2312" w:hAnsi="楷体_GB2312" w:eastAsia="楷体_GB2312" w:cs="楷体_GB2312"/>
          <w:b w:val="0"/>
          <w:bCs w:val="0"/>
          <w:color w:val="auto"/>
          <w:lang w:val="en-US" w:eastAsia="zh-CN"/>
        </w:rPr>
      </w:pPr>
      <w:bookmarkStart w:id="9" w:name="_Toc14253"/>
      <w:bookmarkStart w:id="10" w:name="_Toc17078"/>
      <w:r>
        <w:rPr>
          <w:rFonts w:hint="eastAsia" w:ascii="楷体_GB2312" w:hAnsi="楷体_GB2312" w:eastAsia="楷体_GB2312" w:cs="楷体_GB2312"/>
          <w:b w:val="0"/>
          <w:bCs w:val="0"/>
          <w:color w:val="auto"/>
          <w:lang w:val="en-US" w:eastAsia="zh-CN"/>
        </w:rPr>
        <w:t>（三）灾害防治能力显著提升</w:t>
      </w:r>
      <w:bookmarkEnd w:id="9"/>
      <w:bookmarkEnd w:id="10"/>
    </w:p>
    <w:p w14:paraId="50D1E616">
      <w:pPr>
        <w:rPr>
          <w:rFonts w:hint="eastAsia"/>
          <w:color w:val="auto"/>
          <w:lang w:val="en-US" w:eastAsia="zh-CN"/>
        </w:rPr>
      </w:pPr>
      <w:r>
        <w:rPr>
          <w:rFonts w:hint="eastAsia"/>
          <w:b/>
          <w:bCs/>
          <w:color w:val="auto"/>
          <w:lang w:val="en-US" w:eastAsia="zh-CN"/>
        </w:rPr>
        <w:t>自然灾害风险普查成果丰硕。</w:t>
      </w:r>
      <w:r>
        <w:rPr>
          <w:rFonts w:hint="eastAsia"/>
          <w:color w:val="auto"/>
          <w:lang w:val="en-US" w:eastAsia="zh-CN"/>
        </w:rPr>
        <w:t>圆满完成第一次全国自然灾害综合风险普查工作，健全普查工作体系，明确各部门职责分工。依托现有机构框架落实普查任务，印发了《怀柔区第一次全国自然灾害综合风险普查实施细则》，明确了各部门的任务清单、任务量、工作流程及技术方法。配合市级完成了区划评估工作，形成了怀柔区自然灾害综合风险评估与区划成果技术报告初稿，为有效开展自然灾害防治工作提供了权威的灾害风险信息和科学决策依据。</w:t>
      </w:r>
    </w:p>
    <w:p w14:paraId="78BCDDC1">
      <w:pPr>
        <w:rPr>
          <w:rFonts w:hint="eastAsia"/>
          <w:color w:val="auto"/>
          <w:lang w:val="en-US" w:eastAsia="zh-CN"/>
        </w:rPr>
      </w:pPr>
      <w:r>
        <w:rPr>
          <w:rFonts w:hint="eastAsia"/>
          <w:b/>
          <w:bCs/>
          <w:color w:val="auto"/>
          <w:lang w:val="en-US" w:eastAsia="zh-CN"/>
        </w:rPr>
        <w:t>监测预警体系更加完善。</w:t>
      </w:r>
      <w:r>
        <w:rPr>
          <w:rFonts w:hint="eastAsia"/>
          <w:color w:val="auto"/>
          <w:lang w:val="en-US" w:eastAsia="zh-CN"/>
        </w:rPr>
        <w:t>修订《怀柔区突发事件预警信息发布管理办法》，完善预警信息发布系统，完成系统开发，定期进行预警信息发布测试，实现了预警信息发布系统双平台运行和全年分区域短信发送。建立自然灾害风险会商制度，密切关注风雹、强降雨等极端天气情况，及时转发相关预警信息，统筹各属地做好灾情统计上报及应对工作。动态更新灾害信息员数据库，组织全区灾害信息员参加业务培训，确保灾害信息员明确工作职责、熟练掌握业务。</w:t>
      </w:r>
    </w:p>
    <w:p w14:paraId="381E2389">
      <w:pPr>
        <w:rPr>
          <w:rFonts w:hint="eastAsia"/>
          <w:color w:val="auto"/>
          <w:highlight w:val="lightGray"/>
          <w:lang w:val="en-US" w:eastAsia="zh-CN"/>
        </w:rPr>
      </w:pPr>
      <w:r>
        <w:rPr>
          <w:rFonts w:hint="eastAsia"/>
          <w:b/>
          <w:bCs/>
          <w:color w:val="auto"/>
          <w:lang w:val="en-US" w:eastAsia="zh-CN"/>
        </w:rPr>
        <w:t>防汛抗旱体系更加健全。</w:t>
      </w:r>
      <w:r>
        <w:rPr>
          <w:rFonts w:hint="eastAsia"/>
          <w:color w:val="auto"/>
          <w:lang w:val="en-US" w:eastAsia="zh-CN"/>
        </w:rPr>
        <w:t>完善区“1+4+8+16”防汛指挥体系建设并优化调整为“1+7+16”体系，压实区、乡镇（街道）、村（社区）三级防汛责任。</w:t>
      </w:r>
      <w:r>
        <w:rPr>
          <w:rFonts w:hint="eastAsia"/>
          <w:color w:val="auto"/>
          <w:highlight w:val="none"/>
          <w:lang w:val="en-US" w:eastAsia="zh-CN"/>
        </w:rPr>
        <w:t>修订完善了怀柔区防汛应急预案，编制了7个专项分指、16个镇乡街道及41个成员单位的防汛抢险应急预案，编制完善64个险村避险转移方案、24座下凹桥“一桥一预案”、建立城区12处易积滞水点“一点一册”、15座水库防汛抢险应急预案，226处威胁居民地质灾害隐患点“一点一预案”，进一步完善和落实了预案中的工作流程、责任制、调度、抢险措施、物资、队伍、通讯保障等各项内容。</w:t>
      </w:r>
    </w:p>
    <w:p w14:paraId="60784CF2">
      <w:pPr>
        <w:outlineLvl w:val="2"/>
        <w:rPr>
          <w:rFonts w:hint="eastAsia" w:ascii="楷体_GB2312" w:hAnsi="楷体_GB2312" w:eastAsia="楷体_GB2312" w:cs="楷体_GB2312"/>
          <w:b w:val="0"/>
          <w:bCs w:val="0"/>
          <w:color w:val="auto"/>
          <w:lang w:val="en-US" w:eastAsia="zh-CN"/>
        </w:rPr>
      </w:pPr>
      <w:bookmarkStart w:id="11" w:name="_Toc5864"/>
      <w:bookmarkStart w:id="12" w:name="_Toc3691"/>
      <w:r>
        <w:rPr>
          <w:rFonts w:hint="eastAsia" w:ascii="楷体_GB2312" w:hAnsi="楷体_GB2312" w:eastAsia="楷体_GB2312" w:cs="楷体_GB2312"/>
          <w:b w:val="0"/>
          <w:bCs w:val="0"/>
          <w:color w:val="auto"/>
          <w:lang w:val="en-US" w:eastAsia="zh-CN"/>
        </w:rPr>
        <w:t>（四）消防安全监管提质增效</w:t>
      </w:r>
      <w:bookmarkEnd w:id="11"/>
      <w:bookmarkEnd w:id="12"/>
    </w:p>
    <w:p w14:paraId="2ED8D265">
      <w:pPr>
        <w:rPr>
          <w:rFonts w:hint="eastAsia"/>
          <w:color w:val="auto"/>
          <w:lang w:val="en-US" w:eastAsia="zh-CN"/>
        </w:rPr>
      </w:pPr>
      <w:r>
        <w:rPr>
          <w:rFonts w:hint="eastAsia"/>
          <w:b/>
          <w:bCs/>
          <w:color w:val="auto"/>
          <w:lang w:val="en-US" w:eastAsia="zh-CN"/>
        </w:rPr>
        <w:t>安全责任体系更加严密。</w:t>
      </w:r>
      <w:r>
        <w:rPr>
          <w:rFonts w:hint="eastAsia"/>
          <w:color w:val="auto"/>
          <w:lang w:val="en-US" w:eastAsia="zh-CN"/>
        </w:rPr>
        <w:t>区委区政府高度重视消防工作，区委常委会、区委扩大会多次听取审议消防工作汇报，区政府常务会每季度必议消防安全，剖析消防安全形势，部署重大保卫活动和专项行动。各级区领导先后组织联席会、专题会、调度会，研究推进重大安保、火灾防控、消防基础设施建设及专项整治等工作。调整、创新考核方式，对属地政府和行业部门采取“月度+年度”考核模式，将其纳入政府督查范畴。</w:t>
      </w:r>
    </w:p>
    <w:p w14:paraId="203E0DE6">
      <w:pPr>
        <w:rPr>
          <w:rFonts w:hint="eastAsia"/>
          <w:color w:val="auto"/>
          <w:lang w:val="en-US" w:eastAsia="zh-CN"/>
        </w:rPr>
      </w:pPr>
      <w:r>
        <w:rPr>
          <w:rFonts w:hint="eastAsia"/>
          <w:b/>
          <w:bCs/>
          <w:color w:val="auto"/>
          <w:lang w:val="en-US" w:eastAsia="zh-CN"/>
        </w:rPr>
        <w:t>隐患排查整治深入有效。</w:t>
      </w:r>
      <w:r>
        <w:rPr>
          <w:rFonts w:hint="eastAsia"/>
          <w:color w:val="auto"/>
          <w:lang w:val="en-US" w:eastAsia="zh-CN"/>
        </w:rPr>
        <w:t>各行业部门结合本行业、本系统实际特点，制定《消防工作任务清单》，开展商市场、宾馆饭店、公共娱乐场所、卫生医疗机构、民俗旅游度假场所、易燃易爆场所、养老福利机构、施工现场等专项清查行动。2025年共检查单位2100余家次，发现并整改隐患1800余处。推进老旧小区燃气安全整治，完成维修改造老旧供热管网2338米；加快推广燃气安全技术设备，完成安全型配件安装工作69551户。</w:t>
      </w:r>
    </w:p>
    <w:p w14:paraId="2F6725B7">
      <w:pPr>
        <w:rPr>
          <w:rFonts w:hint="eastAsia"/>
          <w:color w:val="auto"/>
          <w:lang w:val="en-US" w:eastAsia="zh-CN"/>
        </w:rPr>
      </w:pPr>
      <w:r>
        <w:rPr>
          <w:rFonts w:hint="eastAsia"/>
          <w:b/>
          <w:bCs/>
          <w:color w:val="auto"/>
          <w:lang w:val="en-US" w:eastAsia="zh-CN"/>
        </w:rPr>
        <w:t>公共消防设施持续完善。</w:t>
      </w:r>
      <w:r>
        <w:rPr>
          <w:rFonts w:hint="eastAsia"/>
          <w:color w:val="auto"/>
          <w:lang w:val="en-US" w:eastAsia="zh-CN"/>
        </w:rPr>
        <w:t>桥梓“三合一”消防救援站已经建设完成并正式投入使用；红螺湖消防站、科学城消防站、渤海消防站等项目正在加快推进。16个镇乡街道均成立了各自辖区的政府专职消防队伍，310个社区（村）均已组建完成自防自救力量，并统一配备手持电台，全部纳入区级消防指挥中心调派体系。市政消火栓完好率达96%以上，新建消防水鹤3座，消防水池2座，任务完成率分别为150%和200%。</w:t>
      </w:r>
    </w:p>
    <w:p w14:paraId="369583A7">
      <w:pPr>
        <w:rPr>
          <w:rFonts w:hint="eastAsia"/>
          <w:color w:val="auto"/>
          <w:lang w:val="en-US" w:eastAsia="zh-CN"/>
        </w:rPr>
      </w:pPr>
      <w:r>
        <w:rPr>
          <w:rFonts w:hint="eastAsia"/>
          <w:b/>
          <w:bCs/>
          <w:color w:val="auto"/>
          <w:lang w:val="en-US" w:eastAsia="zh-CN"/>
        </w:rPr>
        <w:t>智慧消防建设初见成效。</w:t>
      </w:r>
      <w:r>
        <w:rPr>
          <w:rFonts w:hint="eastAsia"/>
          <w:color w:val="auto"/>
          <w:lang w:val="en-US" w:eastAsia="zh-CN"/>
        </w:rPr>
        <w:t>结合“韧性城市”建设目标，探索开发韧性城市智慧监管平台，完善辖区重点单位大数据收集，整合消防物联网资源，持续提升消防安全监管信息化水平。选定村民自建出租房屋集中连片的南关村和潘家园村安装500套“电流指纹”识别监控装置和2000个智能充电接口，精准识别入户充电行为。完成电动自行车集中充电设施规范化建设，建立电动自行车室内集中停放、充电试点。</w:t>
      </w:r>
    </w:p>
    <w:p w14:paraId="199B814A">
      <w:pPr>
        <w:rPr>
          <w:rFonts w:hint="eastAsia"/>
          <w:color w:val="auto"/>
          <w:lang w:val="en-US" w:eastAsia="zh-CN"/>
        </w:rPr>
      </w:pPr>
      <w:r>
        <w:rPr>
          <w:rFonts w:hint="eastAsia"/>
          <w:b/>
          <w:bCs/>
          <w:color w:val="auto"/>
          <w:lang w:val="en-US" w:eastAsia="zh-CN"/>
        </w:rPr>
        <w:t>宣传培训体系更加健全。</w:t>
      </w:r>
      <w:r>
        <w:rPr>
          <w:rFonts w:hint="eastAsia"/>
          <w:color w:val="auto"/>
          <w:lang w:val="en-US" w:eastAsia="zh-CN"/>
        </w:rPr>
        <w:t>针对餐饮场所、施工现场、商超市场等从业人员开展“一警六员”实操实训，2025年组织各类重点场所开展消防技能实操实训3850人次，超额完成全区年度任务。多元化开展宣传“五进”活动，联合属地政府、行业部门深入施工工地、重点企业、事业单位、老旧小区、村民自建房等重点区域开展系列消防宣传培训活动，全年开展宣传活动540余次，宣传人群32000余人次。</w:t>
      </w:r>
    </w:p>
    <w:p w14:paraId="41CAFD40">
      <w:pPr>
        <w:outlineLvl w:val="2"/>
        <w:rPr>
          <w:rFonts w:hint="eastAsia" w:ascii="楷体_GB2312" w:hAnsi="楷体_GB2312" w:eastAsia="楷体_GB2312" w:cs="楷体_GB2312"/>
          <w:b w:val="0"/>
          <w:bCs w:val="0"/>
          <w:color w:val="auto"/>
          <w:lang w:val="en-US" w:eastAsia="zh-CN"/>
        </w:rPr>
      </w:pPr>
      <w:bookmarkStart w:id="13" w:name="_Toc2254"/>
      <w:bookmarkStart w:id="14" w:name="_Toc28480"/>
      <w:r>
        <w:rPr>
          <w:rFonts w:hint="eastAsia" w:ascii="楷体_GB2312" w:hAnsi="楷体_GB2312" w:eastAsia="楷体_GB2312" w:cs="楷体_GB2312"/>
          <w:b w:val="0"/>
          <w:bCs w:val="0"/>
          <w:color w:val="auto"/>
          <w:lang w:val="en-US" w:eastAsia="zh-CN"/>
        </w:rPr>
        <w:t>（五）防震减灾体系逐步完善</w:t>
      </w:r>
      <w:bookmarkEnd w:id="13"/>
      <w:bookmarkEnd w:id="14"/>
    </w:p>
    <w:p w14:paraId="7D1FAC96">
      <w:pPr>
        <w:rPr>
          <w:rFonts w:hint="eastAsia"/>
          <w:color w:val="auto"/>
          <w:lang w:val="en-US" w:eastAsia="zh-CN"/>
        </w:rPr>
      </w:pPr>
      <w:r>
        <w:rPr>
          <w:rFonts w:hint="eastAsia"/>
          <w:b/>
          <w:bCs/>
          <w:color w:val="auto"/>
          <w:lang w:val="en-US" w:eastAsia="zh-CN"/>
        </w:rPr>
        <w:t>房屋抗震能力稳步提升。</w:t>
      </w:r>
      <w:r>
        <w:rPr>
          <w:rFonts w:hint="eastAsia"/>
          <w:color w:val="auto"/>
          <w:lang w:val="en-US" w:eastAsia="zh-CN"/>
        </w:rPr>
        <w:t>统筹推进全区房屋设施抗震加固工程，重点对居民小区、大中小学校、医院、农村民居以及重要交通生命线、电力和电信网络、应急避难场所等关键设施进行抗震加固。完成一批加固、新改扩建工程，所有项目均录入全国房屋设施抗震设防信息采集和管理平台系统管理。</w:t>
      </w:r>
    </w:p>
    <w:p w14:paraId="1953776D">
      <w:pPr>
        <w:rPr>
          <w:rFonts w:hint="eastAsia"/>
          <w:color w:val="auto"/>
          <w:lang w:val="en-US" w:eastAsia="zh-CN"/>
        </w:rPr>
      </w:pPr>
      <w:r>
        <w:rPr>
          <w:rFonts w:hint="eastAsia"/>
          <w:b/>
          <w:bCs/>
          <w:color w:val="auto"/>
          <w:lang w:val="en-US" w:eastAsia="zh-CN"/>
        </w:rPr>
        <w:t>应急准备持续加强。</w:t>
      </w:r>
      <w:r>
        <w:rPr>
          <w:rFonts w:hint="eastAsia"/>
          <w:color w:val="auto"/>
          <w:lang w:val="en-US" w:eastAsia="zh-CN"/>
        </w:rPr>
        <w:t>完善地震应急预案体系，制定详细的地震应急处置流程和工作规范。加强救灾物资储备和调拨机制建设，制定区级救灾储备物资调拨制度，确保灾后救助及时有效。建立健全灾情管理机制，规范灾情统计、上报流程，形成完善的灾前预警、灾后报灾核灾的工作模式。</w:t>
      </w:r>
    </w:p>
    <w:p w14:paraId="518E4235">
      <w:pPr>
        <w:rPr>
          <w:rFonts w:hint="eastAsia"/>
          <w:color w:val="auto"/>
          <w:lang w:val="en-US" w:eastAsia="zh-CN"/>
        </w:rPr>
      </w:pPr>
      <w:r>
        <w:rPr>
          <w:rFonts w:hint="eastAsia"/>
          <w:b/>
          <w:bCs/>
          <w:color w:val="auto"/>
          <w:lang w:val="en-US" w:eastAsia="zh-CN"/>
        </w:rPr>
        <w:t>科普宣传深入人心。</w:t>
      </w:r>
      <w:r>
        <w:rPr>
          <w:rFonts w:hint="eastAsia"/>
          <w:color w:val="auto"/>
          <w:lang w:val="en-US" w:eastAsia="zh-CN"/>
        </w:rPr>
        <w:t>结合“5·12”全国防灾减灾日等活动，组织开展形式多样的防震减灾知识宣传和应急演练活动。在北房小学、中国科学院大学雁栖湖校区等学校开展防灾减灾知识、灭火机具使用、应急逃生和疏散演练等宣传活动，提升师生防震意识和自救互救能力。</w:t>
      </w:r>
    </w:p>
    <w:p w14:paraId="2D68751A">
      <w:pPr>
        <w:rPr>
          <w:rFonts w:hint="eastAsia"/>
          <w:color w:val="auto"/>
          <w:lang w:val="en-US" w:eastAsia="zh-CN"/>
        </w:rPr>
      </w:pPr>
      <w:r>
        <w:rPr>
          <w:rFonts w:hint="eastAsia"/>
          <w:b/>
          <w:bCs/>
          <w:color w:val="auto"/>
          <w:lang w:val="en-US" w:eastAsia="zh-CN"/>
        </w:rPr>
        <w:t>应急避难场所建设规范推进。</w:t>
      </w:r>
      <w:r>
        <w:rPr>
          <w:rFonts w:hint="eastAsia"/>
          <w:color w:val="auto"/>
          <w:lang w:val="en-US" w:eastAsia="zh-CN"/>
        </w:rPr>
        <w:t>完成应急避难场所专项规划编制工作，梳理全区应急避难场所现状，依托现有条件，建设、认定一批功能完备、设施齐全、物资保障充足的应急避难场所。按照北京市地标对破损、丢失的标识牌进行更换，开展应急避难场所标识牌优化整治工作。加强外语标识建设，针对全区应急避难场所标识牌全覆盖开展外语标识自查自纠工作。</w:t>
      </w:r>
    </w:p>
    <w:p w14:paraId="07D5C344">
      <w:pPr>
        <w:outlineLvl w:val="2"/>
        <w:rPr>
          <w:rFonts w:hint="eastAsia" w:ascii="楷体_GB2312" w:hAnsi="楷体_GB2312" w:eastAsia="楷体_GB2312" w:cs="楷体_GB2312"/>
          <w:b w:val="0"/>
          <w:bCs w:val="0"/>
          <w:color w:val="auto"/>
          <w:lang w:val="en-US" w:eastAsia="zh-CN"/>
        </w:rPr>
      </w:pPr>
      <w:bookmarkStart w:id="15" w:name="_Toc18778"/>
      <w:bookmarkStart w:id="16" w:name="_Toc12926"/>
      <w:r>
        <w:rPr>
          <w:rFonts w:hint="eastAsia" w:ascii="楷体_GB2312" w:hAnsi="楷体_GB2312" w:eastAsia="楷体_GB2312" w:cs="楷体_GB2312"/>
          <w:b w:val="0"/>
          <w:bCs w:val="0"/>
          <w:color w:val="auto"/>
          <w:lang w:val="en-US" w:eastAsia="zh-CN"/>
        </w:rPr>
        <w:t>（六）基层应急能力不断夯实</w:t>
      </w:r>
      <w:bookmarkEnd w:id="15"/>
      <w:bookmarkEnd w:id="16"/>
    </w:p>
    <w:p w14:paraId="7EFA35AC">
      <w:pPr>
        <w:rPr>
          <w:rFonts w:hint="eastAsia"/>
          <w:color w:val="auto"/>
          <w:lang w:val="en-US" w:eastAsia="zh-CN"/>
        </w:rPr>
      </w:pPr>
      <w:r>
        <w:rPr>
          <w:rFonts w:hint="eastAsia"/>
          <w:b/>
          <w:bCs/>
          <w:color w:val="auto"/>
          <w:lang w:val="en-US" w:eastAsia="zh-CN"/>
        </w:rPr>
        <w:t>基层队伍建设持续加强。</w:t>
      </w:r>
      <w:r>
        <w:rPr>
          <w:rFonts w:hint="eastAsia"/>
          <w:color w:val="auto"/>
          <w:lang w:val="en-US" w:eastAsia="zh-CN"/>
        </w:rPr>
        <w:t>完成街道社区管理体制改革与协管员管理体制改革，整合街巷长、小巷管家和专兼职网格员队伍，打造20个楼门院治理示范点。加强灾害信息员、安全员、巡查员等队伍建设，组织开展安全生产检查工作城市协管员及安全生产专职安全员培训、街乡镇和区级职能部门主管领导安全生产专题培训、村级安全生产专兼巡查员培训、全区灾害信息员培训等业务培训，共计培训6000余人次。</w:t>
      </w:r>
    </w:p>
    <w:p w14:paraId="0545C7BE">
      <w:pPr>
        <w:rPr>
          <w:rFonts w:hint="eastAsia"/>
          <w:color w:val="auto"/>
          <w:lang w:val="en-US" w:eastAsia="zh-CN"/>
        </w:rPr>
      </w:pPr>
      <w:r>
        <w:rPr>
          <w:rFonts w:hint="eastAsia"/>
          <w:b/>
          <w:bCs/>
          <w:color w:val="auto"/>
          <w:lang w:val="en-US" w:eastAsia="zh-CN"/>
        </w:rPr>
        <w:t>应急小分队作用凸显。</w:t>
      </w:r>
      <w:r>
        <w:rPr>
          <w:rFonts w:hint="eastAsia"/>
          <w:color w:val="auto"/>
          <w:lang w:val="en-US" w:eastAsia="zh-CN"/>
        </w:rPr>
        <w:t>各属地均建立应急小分队，纳入区级指挥体系，建立完善联勤、联训、联调、联战工作机制。在日常巡查检查、宣传提示、联勤值守等工作中发挥重要作用，在重大活动、防汛防火等特殊时期，车辆、人员全部24小时在岗在位，随时待命，秒级响应。结合领导包片工作，对各属地应急小分队建设情况进行专项督查，检查应急物资储备情况和队伍日常训练、管理等情况。</w:t>
      </w:r>
    </w:p>
    <w:p w14:paraId="3FB92078">
      <w:pPr>
        <w:rPr>
          <w:rFonts w:hint="eastAsia"/>
          <w:color w:val="auto"/>
          <w:lang w:val="en-US" w:eastAsia="zh-CN"/>
        </w:rPr>
      </w:pPr>
      <w:r>
        <w:rPr>
          <w:rFonts w:hint="eastAsia"/>
          <w:b/>
          <w:bCs/>
          <w:color w:val="auto"/>
          <w:lang w:val="en-US" w:eastAsia="zh-CN"/>
        </w:rPr>
        <w:t>社会动员能力显著提升。</w:t>
      </w:r>
      <w:r>
        <w:rPr>
          <w:rFonts w:hint="eastAsia"/>
          <w:color w:val="auto"/>
          <w:lang w:val="en-US" w:eastAsia="zh-CN"/>
        </w:rPr>
        <w:t>成功创建全国文明城区，城市文明程度、市民文明素质全面提升。深入推进“平安怀柔”建设，城市安全隐患整改率达98.8%。深入开展国防动员，成功创建全国双拥模范城。开展“应急先锋号”和“应急先锋·北京榜样”先进典型推选宣传活动，推荐14家单位参加“应急先锋号”评选，推荐26人参加“应急先锋·北京榜样（个人）”评选。</w:t>
      </w:r>
    </w:p>
    <w:p w14:paraId="5CCD4911">
      <w:pPr>
        <w:outlineLvl w:val="1"/>
        <w:rPr>
          <w:rFonts w:hint="eastAsia" w:ascii="黑体" w:hAnsi="黑体" w:eastAsia="黑体" w:cs="黑体"/>
          <w:color w:val="auto"/>
          <w:lang w:val="en-US" w:eastAsia="zh-CN"/>
        </w:rPr>
      </w:pPr>
      <w:bookmarkStart w:id="17" w:name="_Toc11227"/>
      <w:r>
        <w:rPr>
          <w:rFonts w:hint="eastAsia" w:ascii="黑体" w:hAnsi="黑体" w:eastAsia="黑体" w:cs="黑体"/>
          <w:color w:val="auto"/>
          <w:lang w:val="en-US" w:eastAsia="zh-CN"/>
        </w:rPr>
        <w:t>二、存在问题</w:t>
      </w:r>
      <w:bookmarkEnd w:id="17"/>
    </w:p>
    <w:p w14:paraId="5EB9EA71">
      <w:pPr>
        <w:outlineLvl w:val="2"/>
        <w:rPr>
          <w:rFonts w:hint="default" w:ascii="楷体_GB2312" w:hAnsi="楷体_GB2312" w:eastAsia="楷体_GB2312" w:cs="楷体_GB2312"/>
          <w:b w:val="0"/>
          <w:bCs w:val="0"/>
          <w:color w:val="auto"/>
          <w:lang w:val="en-US" w:eastAsia="zh-CN"/>
        </w:rPr>
      </w:pPr>
      <w:bookmarkStart w:id="18" w:name="_Toc9053"/>
      <w:r>
        <w:rPr>
          <w:rFonts w:hint="eastAsia" w:ascii="楷体_GB2312" w:hAnsi="楷体_GB2312" w:eastAsia="楷体_GB2312" w:cs="楷体_GB2312"/>
          <w:b w:val="0"/>
          <w:bCs w:val="0"/>
          <w:color w:val="auto"/>
          <w:lang w:val="en-US" w:eastAsia="zh-CN"/>
        </w:rPr>
        <w:t>（一）</w:t>
      </w:r>
      <w:r>
        <w:rPr>
          <w:rFonts w:hint="default" w:ascii="楷体_GB2312" w:hAnsi="楷体_GB2312" w:eastAsia="楷体_GB2312" w:cs="楷体_GB2312"/>
          <w:b w:val="0"/>
          <w:bCs w:val="0"/>
          <w:color w:val="auto"/>
          <w:lang w:val="en-US" w:eastAsia="zh-CN"/>
        </w:rPr>
        <w:t>应急统筹协调机制运行效能不高</w:t>
      </w:r>
      <w:bookmarkEnd w:id="18"/>
    </w:p>
    <w:p w14:paraId="0F7A9104">
      <w:pPr>
        <w:numPr>
          <w:ilvl w:val="0"/>
          <w:numId w:val="0"/>
        </w:numPr>
        <w:spacing w:line="560" w:lineRule="exact"/>
        <w:ind w:firstLine="640" w:firstLineChars="200"/>
        <w:jc w:val="both"/>
        <w:outlineLvl w:val="9"/>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区级联席会议制度虽已建立，但在应对多灾种耦合、跨部门联动的复杂事件时，高位协调机制响应不够迅速，“统”与“分”的职责边界在实战中仍有交叉模糊，相关责任单位系统思维不足，在自然灾害防治与安全生产事故防范工作中存在单打独斗现象。特别是怀柔科学城区域内，大量由中国科学院大学、科研院所直接管理的高科技设备、大科学装置及危险化学品，其安全管理权限与区级应急管理体系</w:t>
      </w:r>
      <w:r>
        <w:rPr>
          <w:rFonts w:hint="eastAsia" w:cs="仿宋_GB2312"/>
          <w:color w:val="auto"/>
          <w:sz w:val="32"/>
          <w:szCs w:val="32"/>
          <w:lang w:val="en-US" w:eastAsia="zh-CN"/>
        </w:rPr>
        <w:t>融合</w:t>
      </w:r>
      <w:r>
        <w:rPr>
          <w:rFonts w:hint="default" w:ascii="仿宋_GB2312" w:hAnsi="仿宋_GB2312" w:eastAsia="仿宋_GB2312" w:cs="仿宋_GB2312"/>
          <w:color w:val="auto"/>
          <w:sz w:val="32"/>
          <w:szCs w:val="32"/>
          <w:lang w:val="en-US" w:eastAsia="zh-CN"/>
        </w:rPr>
        <w:t>程度不深。怀柔科学城管委会与区安委办、属地政府、各科研主体之间的常态化安全生产联络机制尚未实质打通，对科研机构危险化学品使用、存储底数尚未实现全覆盖排查建账，一定程度上存在监管盲区。</w:t>
      </w:r>
    </w:p>
    <w:p w14:paraId="005553E5">
      <w:pPr>
        <w:outlineLvl w:val="2"/>
        <w:rPr>
          <w:rFonts w:hint="default" w:ascii="楷体_GB2312" w:hAnsi="楷体_GB2312" w:eastAsia="楷体_GB2312" w:cs="楷体_GB2312"/>
          <w:b w:val="0"/>
          <w:bCs w:val="0"/>
          <w:color w:val="auto"/>
          <w:lang w:val="en-US" w:eastAsia="zh-CN"/>
        </w:rPr>
      </w:pPr>
      <w:bookmarkStart w:id="19" w:name="_Toc19315"/>
      <w:r>
        <w:rPr>
          <w:rFonts w:hint="eastAsia" w:ascii="楷体_GB2312" w:hAnsi="楷体_GB2312" w:eastAsia="楷体_GB2312" w:cs="楷体_GB2312"/>
          <w:b w:val="0"/>
          <w:bCs w:val="0"/>
          <w:color w:val="auto"/>
          <w:lang w:val="en-US" w:eastAsia="zh-CN"/>
        </w:rPr>
        <w:t>（二）</w:t>
      </w:r>
      <w:r>
        <w:rPr>
          <w:rFonts w:hint="default" w:ascii="楷体_GB2312" w:hAnsi="楷体_GB2312" w:eastAsia="楷体_GB2312" w:cs="楷体_GB2312"/>
          <w:b w:val="0"/>
          <w:bCs w:val="0"/>
          <w:color w:val="auto"/>
          <w:lang w:val="en-US" w:eastAsia="zh-CN"/>
        </w:rPr>
        <w:t>安全生产责任落实存在末梢不畅</w:t>
      </w:r>
      <w:bookmarkEnd w:id="19"/>
    </w:p>
    <w:p w14:paraId="04B9ACB8">
      <w:pPr>
        <w:numPr>
          <w:ilvl w:val="0"/>
          <w:numId w:val="0"/>
        </w:numPr>
        <w:spacing w:line="560" w:lineRule="exact"/>
        <w:ind w:firstLine="640" w:firstLineChars="200"/>
        <w:jc w:val="both"/>
        <w:outlineLvl w:val="9"/>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企业安全生产主体责任落实不到位。压力传导机制未能有效穿透至基层末梢，企业“内生动力”不足问题依然突出。部分企业单位自查覆盖率低于全区平均水平，主要负责人带队检查率偏低，隐患排查流于形式，自查频次与隐患发现率不匹配。</w:t>
      </w:r>
    </w:p>
    <w:p w14:paraId="1C6E7EE2">
      <w:pPr>
        <w:numPr>
          <w:ilvl w:val="0"/>
          <w:numId w:val="0"/>
        </w:numPr>
        <w:spacing w:line="560" w:lineRule="exact"/>
        <w:ind w:firstLine="640" w:firstLineChars="200"/>
        <w:jc w:val="both"/>
        <w:outlineLvl w:val="9"/>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属地和行业部门监管责任落实有差距。部分属地和行业部门举一反三能力不足，未对问题根源进行深入剖析，隐患问题整改进度缓慢、反复出现。在重大事故隐患排查整治方面，各属地、各部门检查发现重大事故隐患数量偏少，“把重大隐患当事故对待”的思想认识尚未全面转化为行动自觉。部分区直部门、属地对重大事故隐患判定标准学习不够、检查力度不足，发现问题多集中于“灭火器被杂物遮挡”“配电箱无安全标识”等浅表性问题；整改措施较为单一，缺乏系统性深挖，如个体商户一层防护网影响逃生仅采取拆除措施，商店安全出口被堵塞仅清理堵塞物，未从制度层面推动问题根治。</w:t>
      </w:r>
    </w:p>
    <w:p w14:paraId="4BEA819F">
      <w:pPr>
        <w:outlineLvl w:val="2"/>
        <w:rPr>
          <w:rFonts w:hint="default" w:ascii="楷体_GB2312" w:hAnsi="楷体_GB2312" w:eastAsia="楷体_GB2312" w:cs="楷体_GB2312"/>
          <w:b w:val="0"/>
          <w:bCs w:val="0"/>
          <w:color w:val="auto"/>
          <w:lang w:val="en-US" w:eastAsia="zh-CN"/>
        </w:rPr>
      </w:pPr>
      <w:bookmarkStart w:id="20" w:name="_Toc9298"/>
      <w:r>
        <w:rPr>
          <w:rFonts w:hint="eastAsia" w:ascii="楷体_GB2312" w:hAnsi="楷体_GB2312" w:eastAsia="楷体_GB2312" w:cs="楷体_GB2312"/>
          <w:b w:val="0"/>
          <w:bCs w:val="0"/>
          <w:color w:val="auto"/>
          <w:lang w:val="en-US" w:eastAsia="zh-CN"/>
        </w:rPr>
        <w:t>（三）极端天气应对能力不足</w:t>
      </w:r>
      <w:bookmarkEnd w:id="20"/>
    </w:p>
    <w:p w14:paraId="07D97930">
      <w:pPr>
        <w:numPr>
          <w:ilvl w:val="0"/>
          <w:numId w:val="0"/>
        </w:numPr>
        <w:spacing w:line="560" w:lineRule="exact"/>
        <w:ind w:firstLine="640" w:firstLineChars="200"/>
        <w:jc w:val="both"/>
        <w:outlineLvl w:val="9"/>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全区已查明地质灾害隐患点</w:t>
      </w:r>
      <w:r>
        <w:rPr>
          <w:rFonts w:hint="eastAsia" w:cs="仿宋_GB2312"/>
          <w:color w:val="auto"/>
          <w:sz w:val="32"/>
          <w:szCs w:val="32"/>
          <w:lang w:val="en-US" w:eastAsia="zh-CN"/>
        </w:rPr>
        <w:t>1015处</w:t>
      </w:r>
      <w:r>
        <w:rPr>
          <w:rFonts w:hint="default" w:ascii="仿宋_GB2312" w:hAnsi="仿宋_GB2312" w:eastAsia="仿宋_GB2312" w:cs="仿宋_GB2312"/>
          <w:color w:val="auto"/>
          <w:sz w:val="32"/>
          <w:szCs w:val="32"/>
          <w:lang w:val="en-US" w:eastAsia="zh-CN"/>
        </w:rPr>
        <w:t>，但专业监测设备覆盖面有限，大量隐患点仍依赖群测群防员肉眼观察。山区道路两侧地质灾害隐患点监测预报难度大，滑坡、落石风险突出。城市排水管网建设相对滞后，下凹桥等区域易积水，极端强降雨引发内涝风险较高。旅游旺季与汛期高度重叠，旅游景点与山洪地灾隐患点、户外运动与风险区域、山区道路与人员活动等交叉叠加，增加了人员伤亡风险。尤为突出的是，高山远山区域在灾害发生时普遍存在通信信号盲区，导致难以实现组网，单兵系统、临时通讯设备等也</w:t>
      </w:r>
      <w:r>
        <w:rPr>
          <w:rFonts w:hint="eastAsia" w:cs="仿宋_GB2312"/>
          <w:color w:val="auto"/>
          <w:sz w:val="32"/>
          <w:szCs w:val="32"/>
          <w:lang w:val="en-US" w:eastAsia="zh-CN"/>
        </w:rPr>
        <w:t>难以</w:t>
      </w:r>
      <w:r>
        <w:rPr>
          <w:rFonts w:hint="default" w:ascii="仿宋_GB2312" w:hAnsi="仿宋_GB2312" w:eastAsia="仿宋_GB2312" w:cs="仿宋_GB2312"/>
          <w:color w:val="auto"/>
          <w:sz w:val="32"/>
          <w:szCs w:val="32"/>
          <w:lang w:val="en-US" w:eastAsia="zh-CN"/>
        </w:rPr>
        <w:t>有效运行；高空及进山路沟口监控设备配置不足，灾害初期信息传回</w:t>
      </w:r>
      <w:r>
        <w:rPr>
          <w:rFonts w:hint="eastAsia" w:cs="仿宋_GB2312"/>
          <w:color w:val="auto"/>
          <w:sz w:val="32"/>
          <w:szCs w:val="32"/>
          <w:lang w:val="en-US" w:eastAsia="zh-CN"/>
        </w:rPr>
        <w:t>不</w:t>
      </w:r>
      <w:r>
        <w:rPr>
          <w:rFonts w:hint="default" w:ascii="仿宋_GB2312" w:hAnsi="仿宋_GB2312" w:eastAsia="仿宋_GB2312" w:cs="仿宋_GB2312"/>
          <w:color w:val="auto"/>
          <w:sz w:val="32"/>
          <w:szCs w:val="32"/>
          <w:lang w:val="en-US" w:eastAsia="zh-CN"/>
        </w:rPr>
        <w:t>及时，给指挥决策和先期救援造成较大阻碍。同时，森林防火物资储备库较少，以水灭火基础设施仍显薄弱。</w:t>
      </w:r>
    </w:p>
    <w:p w14:paraId="140CF82B">
      <w:pPr>
        <w:outlineLvl w:val="2"/>
        <w:rPr>
          <w:rFonts w:hint="default" w:ascii="楷体_GB2312" w:hAnsi="楷体_GB2312" w:eastAsia="楷体_GB2312" w:cs="楷体_GB2312"/>
          <w:b w:val="0"/>
          <w:bCs w:val="0"/>
          <w:color w:val="auto"/>
          <w:lang w:val="en-US" w:eastAsia="zh-CN"/>
        </w:rPr>
      </w:pPr>
      <w:bookmarkStart w:id="21" w:name="_Toc28547"/>
      <w:r>
        <w:rPr>
          <w:rFonts w:hint="eastAsia" w:ascii="楷体_GB2312" w:hAnsi="楷体_GB2312" w:eastAsia="楷体_GB2312" w:cs="楷体_GB2312"/>
          <w:b w:val="0"/>
          <w:bCs w:val="0"/>
          <w:color w:val="auto"/>
          <w:lang w:val="en-US" w:eastAsia="zh-CN"/>
        </w:rPr>
        <w:t>（四）应急救援力量不足，基层末梢防控弱化</w:t>
      </w:r>
      <w:bookmarkEnd w:id="21"/>
    </w:p>
    <w:p w14:paraId="7F7ACA3C">
      <w:pPr>
        <w:numPr>
          <w:ilvl w:val="0"/>
          <w:numId w:val="0"/>
        </w:numPr>
        <w:spacing w:line="560" w:lineRule="exact"/>
        <w:ind w:firstLine="640" w:firstLineChars="200"/>
        <w:jc w:val="both"/>
        <w:outlineLvl w:val="9"/>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区消防救援支队不仅承担辖区灭火救援任务，还肩负国家级山岳救援大队、总队级水域分队、总队级地震轻型分队等多重专业队职责，但车辆装备更新增补速度及“高精尖”装备配备水平与其他区县相比存在差距，特种救援装备配备仍显不足。部分乡镇、社区和村的自防自救力量存在人员年龄老化、能力弱化问题，虽经消防站初期火灾处置培训，但实战响应速度慢、到场后往往仅能看护警戒，难以起到快速出水灭火、“打早灭小”的预期效果。“九小场所”消防器材缺失、线路敷设混乱、占用疏散通道等问题易反复回潮，经营业主整改主动性不足，末端治理仍存在薄弱环节。</w:t>
      </w:r>
    </w:p>
    <w:p w14:paraId="51C7E1D1">
      <w:pPr>
        <w:outlineLvl w:val="2"/>
        <w:rPr>
          <w:rFonts w:hint="default" w:ascii="楷体_GB2312" w:hAnsi="楷体_GB2312" w:eastAsia="楷体_GB2312" w:cs="楷体_GB2312"/>
          <w:b w:val="0"/>
          <w:bCs w:val="0"/>
          <w:color w:val="auto"/>
          <w:lang w:val="en-US" w:eastAsia="zh-CN"/>
        </w:rPr>
      </w:pPr>
      <w:bookmarkStart w:id="22" w:name="_Toc28916"/>
      <w:r>
        <w:rPr>
          <w:rFonts w:hint="eastAsia" w:ascii="楷体_GB2312" w:hAnsi="楷体_GB2312" w:eastAsia="楷体_GB2312" w:cs="楷体_GB2312"/>
          <w:b w:val="0"/>
          <w:bCs w:val="0"/>
          <w:color w:val="auto"/>
          <w:lang w:val="en-US" w:eastAsia="zh-CN"/>
        </w:rPr>
        <w:t>（五）</w:t>
      </w:r>
      <w:r>
        <w:rPr>
          <w:rFonts w:hint="default" w:ascii="楷体_GB2312" w:hAnsi="楷体_GB2312" w:eastAsia="楷体_GB2312" w:cs="楷体_GB2312"/>
          <w:b w:val="0"/>
          <w:bCs w:val="0"/>
          <w:color w:val="auto"/>
          <w:lang w:val="en-US" w:eastAsia="zh-CN"/>
        </w:rPr>
        <w:t>执法监管力量</w:t>
      </w:r>
      <w:r>
        <w:rPr>
          <w:rFonts w:hint="eastAsia" w:ascii="楷体_GB2312" w:hAnsi="楷体_GB2312" w:eastAsia="楷体_GB2312" w:cs="楷体_GB2312"/>
          <w:b w:val="0"/>
          <w:bCs w:val="0"/>
          <w:color w:val="auto"/>
          <w:lang w:val="en-US" w:eastAsia="zh-CN"/>
        </w:rPr>
        <w:t>不强，</w:t>
      </w:r>
      <w:r>
        <w:rPr>
          <w:rFonts w:hint="default" w:ascii="楷体_GB2312" w:hAnsi="楷体_GB2312" w:eastAsia="楷体_GB2312" w:cs="楷体_GB2312"/>
          <w:b w:val="0"/>
          <w:bCs w:val="0"/>
          <w:color w:val="auto"/>
          <w:lang w:val="en-US" w:eastAsia="zh-CN"/>
        </w:rPr>
        <w:t>基层检查效能下降</w:t>
      </w:r>
      <w:bookmarkEnd w:id="22"/>
    </w:p>
    <w:p w14:paraId="54B70BD3">
      <w:pPr>
        <w:numPr>
          <w:ilvl w:val="0"/>
          <w:numId w:val="0"/>
        </w:numPr>
        <w:spacing w:line="560" w:lineRule="exact"/>
        <w:ind w:firstLine="640" w:firstLineChars="200"/>
        <w:jc w:val="both"/>
        <w:outlineLvl w:val="9"/>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怀柔区应急管理综合执法队核定行政执法专项编制仅18名，负责集中行使法律、法规、规章规定的应由本区应急管理行政主管部门行使的行政检查、行政强制、行政处罚权，面对全区近万家生产经营单位的监管体量，力量配置呈现“小马拉大车”局面，且遇汛期、防火期等特殊时段，执法人员还需承担值守任务，力量进一步被摊薄。按照《关于进一步推动街道（乡镇）安全生产城市协管员以及区职能部门专职安全员效能发挥的通知》要求，严禁未取得执法证件人员及协管员单独入企实施行政检查，须在执法人员带领下开展辅助工作，不得出具检查意见，导致“企安安”和“全国安全生产治本攻坚三年行动信息系统”检查数据明显下降，部分偏远乡镇日常巡查频次被迫压缩，延迟了对高风险问题的识别和整改，影响风险预警精准度。</w:t>
      </w:r>
    </w:p>
    <w:p w14:paraId="2FE318C3">
      <w:pPr>
        <w:outlineLvl w:val="2"/>
        <w:rPr>
          <w:rFonts w:hint="default" w:ascii="楷体_GB2312" w:hAnsi="楷体_GB2312" w:eastAsia="楷体_GB2312" w:cs="楷体_GB2312"/>
          <w:b w:val="0"/>
          <w:bCs w:val="0"/>
          <w:color w:val="auto"/>
          <w:lang w:val="en-US" w:eastAsia="zh-CN"/>
        </w:rPr>
      </w:pPr>
      <w:bookmarkStart w:id="23" w:name="_Toc22082"/>
      <w:r>
        <w:rPr>
          <w:rFonts w:hint="eastAsia" w:ascii="楷体_GB2312" w:hAnsi="楷体_GB2312" w:eastAsia="楷体_GB2312" w:cs="楷体_GB2312"/>
          <w:b w:val="0"/>
          <w:bCs w:val="0"/>
          <w:color w:val="auto"/>
          <w:lang w:val="en-US" w:eastAsia="zh-CN"/>
        </w:rPr>
        <w:t>（六）</w:t>
      </w:r>
      <w:r>
        <w:rPr>
          <w:rFonts w:hint="default" w:ascii="楷体_GB2312" w:hAnsi="楷体_GB2312" w:eastAsia="楷体_GB2312" w:cs="楷体_GB2312"/>
          <w:b w:val="0"/>
          <w:bCs w:val="0"/>
          <w:color w:val="auto"/>
          <w:lang w:val="en-US" w:eastAsia="zh-CN"/>
        </w:rPr>
        <w:t>智慧应急实战支撑</w:t>
      </w:r>
      <w:r>
        <w:rPr>
          <w:rFonts w:hint="eastAsia" w:ascii="楷体_GB2312" w:hAnsi="楷体_GB2312" w:eastAsia="楷体_GB2312" w:cs="楷体_GB2312"/>
          <w:b w:val="0"/>
          <w:bCs w:val="0"/>
          <w:color w:val="auto"/>
          <w:lang w:val="en-US" w:eastAsia="zh-CN"/>
        </w:rPr>
        <w:t>不强</w:t>
      </w:r>
      <w:bookmarkEnd w:id="23"/>
    </w:p>
    <w:p w14:paraId="1DBEF8C3">
      <w:pPr>
        <w:numPr>
          <w:ilvl w:val="0"/>
          <w:numId w:val="0"/>
        </w:numPr>
        <w:spacing w:line="560" w:lineRule="exact"/>
        <w:ind w:firstLine="640" w:firstLineChars="200"/>
        <w:jc w:val="both"/>
        <w:outlineLvl w:val="9"/>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尽管怀柔科学城已集聚材料基因组平台、环境监测平台等国家重大科技基础设施，但应急管理部门与科研院所的常态化合作机制尚未建立。现有“韧性城市”一期项目虽已获奖，但在数据汇聚层面，跨部门共享壁垒尚未彻底打破，感知监测网络覆盖密度与智能化水平有待提升；在智能分析层面，人工智能风险预警模型的实战化应用不足，仍以阈值报警为主，缺乏基于大数据分析的耦合风险研判能力；在指挥调度层面，尚未实现灾情研判与指挥调度的全链条智能化，距离“智慧应急”深度应用仍有较大差距。</w:t>
      </w:r>
    </w:p>
    <w:p w14:paraId="7EB32886">
      <w:pPr>
        <w:keepNext w:val="0"/>
        <w:keepLines w:val="0"/>
        <w:pageBreakBefore w:val="0"/>
        <w:widowControl w:val="0"/>
        <w:kinsoku/>
        <w:wordWrap/>
        <w:overflowPunct/>
        <w:topLinePunct w:val="0"/>
        <w:autoSpaceDE/>
        <w:autoSpaceDN/>
        <w:bidi w:val="0"/>
        <w:adjustRightInd w:val="0"/>
        <w:snapToGrid w:val="0"/>
        <w:spacing w:before="340" w:after="330"/>
        <w:ind w:left="0" w:leftChars="0" w:firstLine="0" w:firstLineChars="0"/>
        <w:jc w:val="center"/>
        <w:textAlignment w:val="auto"/>
        <w:outlineLvl w:val="0"/>
        <w:rPr>
          <w:rFonts w:hint="default" w:ascii="方正小标宋简体" w:hAnsi="方正小标宋简体" w:eastAsia="方正小标宋简体" w:cs="方正小标宋简体"/>
          <w:color w:val="auto"/>
          <w:sz w:val="44"/>
          <w:szCs w:val="44"/>
          <w:lang w:val="en-US" w:eastAsia="zh-CN"/>
        </w:rPr>
      </w:pPr>
      <w:bookmarkStart w:id="24" w:name="_Toc29029"/>
      <w:r>
        <w:rPr>
          <w:rFonts w:hint="eastAsia" w:ascii="方正小标宋简体" w:hAnsi="方正小标宋简体" w:eastAsia="方正小标宋简体" w:cs="方正小标宋简体"/>
          <w:color w:val="auto"/>
          <w:sz w:val="44"/>
          <w:szCs w:val="44"/>
          <w:lang w:val="en-US" w:eastAsia="zh-CN"/>
        </w:rPr>
        <w:t>第二章 “十五五”时期面临的形势</w:t>
      </w:r>
      <w:bookmarkEnd w:id="24"/>
    </w:p>
    <w:p w14:paraId="1EAA81D9">
      <w:pPr>
        <w:outlineLvl w:val="1"/>
        <w:rPr>
          <w:rFonts w:hint="eastAsia" w:ascii="黑体" w:hAnsi="黑体" w:eastAsia="黑体" w:cs="黑体"/>
          <w:color w:val="auto"/>
          <w:lang w:val="en-US" w:eastAsia="zh-CN"/>
        </w:rPr>
      </w:pPr>
      <w:bookmarkStart w:id="25" w:name="_Toc20932"/>
      <w:bookmarkStart w:id="26" w:name="_Toc26376"/>
      <w:r>
        <w:rPr>
          <w:rFonts w:hint="eastAsia" w:ascii="黑体" w:hAnsi="黑体" w:eastAsia="黑体" w:cs="黑体"/>
          <w:color w:val="auto"/>
          <w:lang w:val="en-US" w:eastAsia="zh-CN"/>
        </w:rPr>
        <w:t>一、面临的挑战</w:t>
      </w:r>
      <w:bookmarkEnd w:id="25"/>
      <w:bookmarkEnd w:id="26"/>
    </w:p>
    <w:p w14:paraId="3305084D">
      <w:pPr>
        <w:rPr>
          <w:rFonts w:hint="eastAsia"/>
          <w:color w:val="auto"/>
          <w:lang w:val="en-US" w:eastAsia="zh-CN"/>
        </w:rPr>
      </w:pPr>
      <w:r>
        <w:rPr>
          <w:rFonts w:hint="eastAsia"/>
          <w:color w:val="auto"/>
          <w:lang w:val="en-US" w:eastAsia="zh-CN"/>
        </w:rPr>
        <w:t>当前，全球气候变化影响加剧，极端天气事件呈现频发、广发、强发态势，自然灾害的突发性、极端性和不可预见性日益增强。怀柔区作为首都功能重要承载地和生态涵养区，兼具山区、平原和“一城两都”复合特征，各类承灾体暴露集中，安全风险耦合叠加，应急管理工作面临的形势更为复杂严峻。</w:t>
      </w:r>
    </w:p>
    <w:p w14:paraId="1A941B8B">
      <w:pPr>
        <w:outlineLvl w:val="2"/>
        <w:rPr>
          <w:rFonts w:hint="eastAsia" w:ascii="楷体_GB2312" w:hAnsi="楷体_GB2312" w:eastAsia="楷体_GB2312" w:cs="楷体_GB2312"/>
          <w:b w:val="0"/>
          <w:bCs w:val="0"/>
          <w:color w:val="auto"/>
          <w:lang w:val="en-US" w:eastAsia="zh-CN"/>
        </w:rPr>
      </w:pPr>
      <w:bookmarkStart w:id="27" w:name="_Toc30829"/>
      <w:r>
        <w:rPr>
          <w:rFonts w:hint="eastAsia" w:ascii="楷体_GB2312" w:hAnsi="楷体_GB2312" w:eastAsia="楷体_GB2312" w:cs="楷体_GB2312"/>
          <w:b w:val="0"/>
          <w:bCs w:val="0"/>
          <w:color w:val="auto"/>
          <w:lang w:val="en-US" w:eastAsia="zh-CN"/>
        </w:rPr>
        <w:t>（一）山区自然灾害复合风险突出</w:t>
      </w:r>
      <w:bookmarkEnd w:id="27"/>
    </w:p>
    <w:p w14:paraId="1879C574">
      <w:pPr>
        <w:rPr>
          <w:rFonts w:hint="eastAsia"/>
          <w:color w:val="auto"/>
          <w:lang w:val="en-US" w:eastAsia="zh-CN"/>
        </w:rPr>
      </w:pPr>
      <w:r>
        <w:rPr>
          <w:rFonts w:hint="eastAsia"/>
          <w:color w:val="auto"/>
          <w:lang w:val="en-US" w:eastAsia="zh-CN"/>
        </w:rPr>
        <w:t>怀柔区山区面积占全区总面积近89%，地形地貌复杂，沟壑纵深，是全市山洪地质灾害防治的重点区之一。在全球气候变暖背景下，局地强降雨、长期干旱、极端低温等异常天气增多，导致自然灾害的链式特征更加明显。森林火灾风险居高不下，林下可燃物载量持续增加，农事用火、旅游用火等隐患点多面广，秋冬季及高火险期防控压力较大。部分偏远村落道路、通讯等基础设施抗灾能力弱，受强降雨影响易发生“断水、断电、断路”等极端情况。面对风险趋多、趋强的态势，山区全天候、多维度的灾害监测预警体系尚不完善，韧性不足的问题依然突出。</w:t>
      </w:r>
    </w:p>
    <w:p w14:paraId="6BD31690">
      <w:pPr>
        <w:outlineLvl w:val="2"/>
        <w:rPr>
          <w:rFonts w:hint="eastAsia" w:ascii="楷体_GB2312" w:hAnsi="楷体_GB2312" w:eastAsia="楷体_GB2312" w:cs="楷体_GB2312"/>
          <w:b w:val="0"/>
          <w:bCs w:val="0"/>
          <w:color w:val="auto"/>
          <w:lang w:val="en-US" w:eastAsia="zh-CN"/>
        </w:rPr>
      </w:pPr>
      <w:bookmarkStart w:id="28" w:name="_Toc22273"/>
      <w:r>
        <w:rPr>
          <w:rFonts w:hint="eastAsia" w:ascii="楷体_GB2312" w:hAnsi="楷体_GB2312" w:eastAsia="楷体_GB2312" w:cs="楷体_GB2312"/>
          <w:b w:val="0"/>
          <w:bCs w:val="0"/>
          <w:color w:val="auto"/>
          <w:lang w:val="en-US" w:eastAsia="zh-CN"/>
        </w:rPr>
        <w:t>（二）产业结构深度转型衍生新型安全风险</w:t>
      </w:r>
      <w:bookmarkEnd w:id="28"/>
    </w:p>
    <w:p w14:paraId="624D618B">
      <w:pPr>
        <w:rPr>
          <w:rFonts w:hint="eastAsia"/>
          <w:color w:val="auto"/>
          <w:lang w:val="en-US" w:eastAsia="zh-CN"/>
        </w:rPr>
      </w:pPr>
      <w:r>
        <w:rPr>
          <w:rFonts w:hint="eastAsia"/>
          <w:color w:val="auto"/>
          <w:lang w:val="en-US" w:eastAsia="zh-CN"/>
        </w:rPr>
        <w:t>“十五五”时期，怀柔区产业结构加速向高科技、高附加值、高流动性方向演进，传统安全风险与新兴业态风险交织叠加。一方面，科技研发与高端制造深度融合，怀柔科学城范围内大科学装置、交叉研究平台及新型研发机构密集落地，涉及高压、强磁、超低温、辐射、易燃易爆危险化学品及生物活性物质的高危科研要素管理难度显著加大，实验废弃物处置、特种设备运行等潜在风险增加，对专业化、精细化安全监管提出更高要求。另一方面，现代服务业与文旅消费业态持续升级，国际会都、中国影都及周边区域高端民宿、会展场馆、影视拍摄基地等新业态快速集聚，人员密集场所火灾风险、电气火灾风险、特种设备运行风险以及节假日大客流风险明显上升。部分新业态场所建设标准与传统消防、安全规范衔接不够紧密，行业准入与过程管控有待加强。</w:t>
      </w:r>
    </w:p>
    <w:p w14:paraId="63B40ABD">
      <w:pPr>
        <w:outlineLvl w:val="2"/>
        <w:rPr>
          <w:rFonts w:hint="eastAsia" w:ascii="楷体_GB2312" w:hAnsi="楷体_GB2312" w:eastAsia="楷体_GB2312" w:cs="楷体_GB2312"/>
          <w:b w:val="0"/>
          <w:bCs w:val="0"/>
          <w:color w:val="auto"/>
          <w:lang w:val="en-US" w:eastAsia="zh-CN"/>
        </w:rPr>
      </w:pPr>
      <w:bookmarkStart w:id="29" w:name="_Toc1515"/>
      <w:r>
        <w:rPr>
          <w:rFonts w:hint="eastAsia" w:ascii="楷体_GB2312" w:hAnsi="楷体_GB2312" w:eastAsia="楷体_GB2312" w:cs="楷体_GB2312"/>
          <w:b w:val="0"/>
          <w:bCs w:val="0"/>
          <w:color w:val="auto"/>
          <w:lang w:val="en-US" w:eastAsia="zh-CN"/>
        </w:rPr>
        <w:t>（三）核心承载功能对消防救援提出更高要求</w:t>
      </w:r>
      <w:bookmarkEnd w:id="29"/>
    </w:p>
    <w:p w14:paraId="60A9EF0F">
      <w:pPr>
        <w:rPr>
          <w:rFonts w:hint="eastAsia"/>
          <w:color w:val="auto"/>
          <w:lang w:val="en-US" w:eastAsia="zh-CN"/>
        </w:rPr>
      </w:pPr>
      <w:r>
        <w:rPr>
          <w:rFonts w:hint="eastAsia"/>
          <w:color w:val="auto"/>
          <w:lang w:val="en-US" w:eastAsia="zh-CN"/>
        </w:rPr>
        <w:t>怀柔区作为国际会都及中国影都所在地，重大国事活动、国际会议、文体赛事举办频繁，消防安全保障已从常态化防控向全流程、高标准安保转变。与此同时，城市运行消防安全风险不断累积，高层建筑、大型商业综合体、地下空间结构复杂，人员疏散难、火灾扑救难的问题日益凸显；山区旅游探险救援任务持续增长，随着户外游、野景点打卡热度攀升，驴友迷路、坠崖、被困等警情高发，山岳救援消耗大、技术要求高、危险性大；影都拍摄场所消防监管存在盲区，部分临时搭建的摄影棚、道具库房电气线路复杂，可燃物多，火灾荷载大。对标核心区安全保障需求，当前消防救援站点覆盖、高精尖装备配备及多灾种救援专业能力仍存在结构性短板。</w:t>
      </w:r>
    </w:p>
    <w:p w14:paraId="79FEE40C">
      <w:pPr>
        <w:outlineLvl w:val="2"/>
        <w:rPr>
          <w:rFonts w:hint="eastAsia" w:ascii="楷体_GB2312" w:hAnsi="楷体_GB2312" w:eastAsia="楷体_GB2312" w:cs="楷体_GB2312"/>
          <w:b w:val="0"/>
          <w:bCs w:val="0"/>
          <w:color w:val="auto"/>
          <w:lang w:val="en-US" w:eastAsia="zh-CN"/>
        </w:rPr>
      </w:pPr>
      <w:bookmarkStart w:id="30" w:name="_Toc20593"/>
      <w:r>
        <w:rPr>
          <w:rFonts w:hint="eastAsia" w:ascii="楷体_GB2312" w:hAnsi="楷体_GB2312" w:eastAsia="楷体_GB2312" w:cs="楷体_GB2312"/>
          <w:b w:val="0"/>
          <w:bCs w:val="0"/>
          <w:color w:val="auto"/>
          <w:lang w:val="en-US" w:eastAsia="zh-CN"/>
        </w:rPr>
        <w:t>（四）地震灾害链风险不容忽视</w:t>
      </w:r>
      <w:bookmarkEnd w:id="30"/>
    </w:p>
    <w:p w14:paraId="44D9784D">
      <w:pPr>
        <w:rPr>
          <w:rFonts w:hint="eastAsia"/>
          <w:color w:val="auto"/>
          <w:lang w:val="en-US" w:eastAsia="zh-CN"/>
        </w:rPr>
      </w:pPr>
      <w:r>
        <w:rPr>
          <w:rFonts w:hint="eastAsia"/>
          <w:color w:val="auto"/>
          <w:lang w:val="en-US" w:eastAsia="zh-CN"/>
        </w:rPr>
        <w:t>怀柔地处多条活动断裂带交汇区域，具备发生中强地震的构造背景，地震灾害风险客观存在。城乡建筑抗震韧性不足，部分老旧小区、农村自建房及早期公共建筑未采取抗震设防措施，抵御地震风险能力较弱；科技设施与生命线工程保障要求高，科学城重大科研装置、供水、供电、供气等基础设施一旦遭受地震破坏，不仅影响城市运行，更可能引发次生灾害和重大经济损失；地震诱发地质灾害风险高，山区沟谷地带在地震作用下易发生崩塌、滑坡，形成灾害链。目前地震监测预警信息发布、重点工程抗震设防监管以及公众应急避险能力仍待加强，地震灾害风险防治体系需进一步夯实。</w:t>
      </w:r>
    </w:p>
    <w:p w14:paraId="05330333">
      <w:pPr>
        <w:outlineLvl w:val="2"/>
        <w:rPr>
          <w:rFonts w:hint="eastAsia" w:ascii="楷体_GB2312" w:hAnsi="楷体_GB2312" w:eastAsia="楷体_GB2312" w:cs="楷体_GB2312"/>
          <w:b w:val="0"/>
          <w:bCs w:val="0"/>
          <w:color w:val="auto"/>
          <w:lang w:val="en-US" w:eastAsia="zh-CN"/>
        </w:rPr>
      </w:pPr>
      <w:bookmarkStart w:id="31" w:name="_Toc1411"/>
      <w:r>
        <w:rPr>
          <w:rFonts w:hint="eastAsia" w:ascii="楷体_GB2312" w:hAnsi="楷体_GB2312" w:eastAsia="楷体_GB2312" w:cs="楷体_GB2312"/>
          <w:b w:val="0"/>
          <w:bCs w:val="0"/>
          <w:color w:val="auto"/>
          <w:lang w:val="en-US" w:eastAsia="zh-CN"/>
        </w:rPr>
        <w:t>（五）基层应急管理与韧性建设基础薄弱</w:t>
      </w:r>
      <w:bookmarkEnd w:id="31"/>
    </w:p>
    <w:p w14:paraId="7F3C9C94">
      <w:pPr>
        <w:rPr>
          <w:rFonts w:hint="eastAsia"/>
          <w:color w:val="auto"/>
          <w:lang w:val="en-US" w:eastAsia="zh-CN"/>
        </w:rPr>
      </w:pPr>
      <w:r>
        <w:rPr>
          <w:rFonts w:hint="eastAsia"/>
          <w:color w:val="auto"/>
          <w:lang w:val="en-US" w:eastAsia="zh-CN"/>
        </w:rPr>
        <w:t>乡镇（街道）和村（社区）作为应急管理的最前沿，先期处置能力直接决定突发事件的响应成效。当前基层应急体系仍存在明显短板：组织体系运行不够顺畅，部分基层单位应急管理专职人员配备不足、职能落实不到位；预案实用性和演练实效性不足，应急预案编制与实际脱节，常态化演练不够，导致临战指挥不畅、协同不力；物资储备与装备配备不均衡，偏远山区应急物资储备不足、运输投送能力弱，难以满足断路情况下的自救互救需求；公众风险防范意识有待提高，面对极端天气、火灾、地质灾害时，社会公众避险自救能力参差不齐。基层风险早发现、早报告、早处置的“哨点”作用未能充分发挥。</w:t>
      </w:r>
    </w:p>
    <w:p w14:paraId="2D72AA45">
      <w:pPr>
        <w:outlineLvl w:val="2"/>
        <w:rPr>
          <w:rFonts w:hint="eastAsia" w:ascii="楷体_GB2312" w:hAnsi="楷体_GB2312" w:eastAsia="楷体_GB2312" w:cs="楷体_GB2312"/>
          <w:b w:val="0"/>
          <w:bCs w:val="0"/>
          <w:color w:val="auto"/>
          <w:lang w:val="en-US" w:eastAsia="zh-CN"/>
        </w:rPr>
      </w:pPr>
      <w:bookmarkStart w:id="32" w:name="_Toc6416"/>
      <w:r>
        <w:rPr>
          <w:rFonts w:hint="eastAsia" w:ascii="楷体_GB2312" w:hAnsi="楷体_GB2312" w:eastAsia="楷体_GB2312" w:cs="楷体_GB2312"/>
          <w:b w:val="0"/>
          <w:bCs w:val="0"/>
          <w:color w:val="auto"/>
          <w:lang w:val="en-US" w:eastAsia="zh-CN"/>
        </w:rPr>
        <w:t>（六）应急管理科技赋能水平存在差距</w:t>
      </w:r>
      <w:bookmarkEnd w:id="32"/>
    </w:p>
    <w:p w14:paraId="541A66C0">
      <w:pPr>
        <w:rPr>
          <w:rFonts w:hint="eastAsia"/>
          <w:color w:val="auto"/>
          <w:lang w:val="en-US" w:eastAsia="zh-CN"/>
        </w:rPr>
      </w:pPr>
      <w:r>
        <w:rPr>
          <w:rFonts w:hint="eastAsia"/>
          <w:color w:val="auto"/>
          <w:lang w:val="en-US" w:eastAsia="zh-CN"/>
        </w:rPr>
        <w:t>科技手段对应急管理的支撑作用尚未充分显现，距离实战化、智能化要求仍有差距。全域风险监测感知覆盖不全，山区林火、地质灾害、城市内涝等监测站点密度不足，空天地一体化感知网络尚未完全形成；预警信息精准发布能力不足，面向特定区域、特定人群的靶向预警能力不强，预警响应的联动机制不够顺畅；应急指挥信息化水平有待提升，大数据、人工智能在灾情研判、资源调度、辅助决策中的应用不够深入，跨部门、跨层级的信息共享和业务协同仍需加强；应急救援技术装备适用性不强，适应山区、地下空间、复杂建筑坍塌环境的救援装备科技含量不高，难以支撑复杂条件下的高效救援。依靠科技赋能提升风险防范和救援实战能力，仍是当前亟待突破的短板。</w:t>
      </w:r>
    </w:p>
    <w:p w14:paraId="46893E73">
      <w:pPr>
        <w:outlineLvl w:val="1"/>
        <w:rPr>
          <w:rFonts w:hint="eastAsia" w:ascii="黑体" w:hAnsi="黑体" w:eastAsia="黑体" w:cs="黑体"/>
          <w:color w:val="auto"/>
          <w:lang w:val="en-US" w:eastAsia="zh-CN"/>
        </w:rPr>
      </w:pPr>
      <w:bookmarkStart w:id="33" w:name="_Toc30857"/>
      <w:bookmarkStart w:id="34" w:name="_Toc13329"/>
      <w:r>
        <w:rPr>
          <w:rFonts w:hint="eastAsia" w:ascii="黑体" w:hAnsi="黑体" w:eastAsia="黑体" w:cs="黑体"/>
          <w:color w:val="auto"/>
          <w:lang w:val="en-US" w:eastAsia="zh-CN"/>
        </w:rPr>
        <w:t>二、面临的机遇</w:t>
      </w:r>
      <w:bookmarkEnd w:id="33"/>
      <w:bookmarkEnd w:id="34"/>
    </w:p>
    <w:p w14:paraId="0958A644">
      <w:pPr>
        <w:rPr>
          <w:rFonts w:hint="eastAsia"/>
          <w:color w:val="auto"/>
          <w:lang w:val="en-US" w:eastAsia="zh-CN"/>
        </w:rPr>
      </w:pPr>
      <w:r>
        <w:rPr>
          <w:rFonts w:hint="eastAsia"/>
          <w:color w:val="auto"/>
          <w:lang w:val="en-US" w:eastAsia="zh-CN"/>
        </w:rPr>
        <w:t>“十五五”时期是怀柔区全面贯彻落实党的二十大精神、加快推进高质量发展的关键阶段，是深入落实首都城市战略定位、高质量建设“百年科学城”的重要时期，也是全面推进应急管理体系和能力现代化的攻坚阶段。随着全面深化改革的制度优势持续释放、新一轮科技革命的赋能潜力加速显现、大抓基层的鲜明导向深入落实，怀柔区应急管理体系建设迎来系统性、战略性发展机遇。</w:t>
      </w:r>
    </w:p>
    <w:p w14:paraId="6232BF4F">
      <w:pPr>
        <w:outlineLvl w:val="2"/>
        <w:rPr>
          <w:rFonts w:hint="eastAsia" w:ascii="楷体_GB2312" w:hAnsi="楷体_GB2312" w:eastAsia="楷体_GB2312" w:cs="楷体_GB2312"/>
          <w:b w:val="0"/>
          <w:bCs w:val="0"/>
          <w:color w:val="auto"/>
          <w:lang w:val="en-US" w:eastAsia="zh-CN"/>
        </w:rPr>
      </w:pPr>
      <w:bookmarkStart w:id="35" w:name="_Toc22597"/>
      <w:r>
        <w:rPr>
          <w:rFonts w:hint="eastAsia" w:ascii="楷体_GB2312" w:hAnsi="楷体_GB2312" w:eastAsia="楷体_GB2312" w:cs="楷体_GB2312"/>
          <w:b w:val="0"/>
          <w:bCs w:val="0"/>
          <w:color w:val="auto"/>
          <w:lang w:val="en-US" w:eastAsia="zh-CN"/>
        </w:rPr>
        <w:t>（一）应急管理体制改革为怀柔应急先行先试提供政策保障</w:t>
      </w:r>
      <w:bookmarkEnd w:id="35"/>
    </w:p>
    <w:p w14:paraId="0DDCC86B">
      <w:pPr>
        <w:rPr>
          <w:rFonts w:hint="eastAsia"/>
          <w:color w:val="auto"/>
          <w:lang w:val="en-US" w:eastAsia="zh-CN"/>
        </w:rPr>
      </w:pPr>
      <w:r>
        <w:rPr>
          <w:rFonts w:hint="eastAsia"/>
          <w:color w:val="auto"/>
          <w:lang w:val="en-US" w:eastAsia="zh-CN"/>
        </w:rPr>
        <w:t>党中央、国务院高度重视应急管理工作，历次会议均将应急管理置于维护国家安全和社会稳定的全局高度进行战略部署，为怀柔区应急管理工作指明了前进方向，提供了根本遵循。市委市政府坚决贯彻落实党中央、国务院决策部署，对健全应急指挥机制、推进韧性城市建设、完善应急物资储备体系、探索公共基础设施“平急两用”实施路径、提高防灾减灾救灾能力等作出全面部署。怀柔区可紧抓政策窗口期，积极承接市级改革试点任务，特别是在应急指挥体系优化、多灾种联防联控、山区防灾减灾救灾能力提升等方面开展先行先试。</w:t>
      </w:r>
    </w:p>
    <w:p w14:paraId="52DFD683">
      <w:pPr>
        <w:outlineLvl w:val="2"/>
        <w:rPr>
          <w:rFonts w:hint="eastAsia" w:ascii="楷体_GB2312" w:hAnsi="楷体_GB2312" w:eastAsia="楷体_GB2312" w:cs="楷体_GB2312"/>
          <w:b w:val="0"/>
          <w:bCs w:val="0"/>
          <w:color w:val="auto"/>
          <w:lang w:val="en-US" w:eastAsia="zh-CN"/>
        </w:rPr>
      </w:pPr>
      <w:bookmarkStart w:id="36" w:name="_Toc26990"/>
      <w:r>
        <w:rPr>
          <w:rFonts w:hint="eastAsia" w:ascii="楷体_GB2312" w:hAnsi="楷体_GB2312" w:eastAsia="楷体_GB2312" w:cs="楷体_GB2312"/>
          <w:b w:val="0"/>
          <w:bCs w:val="0"/>
          <w:color w:val="auto"/>
          <w:lang w:val="en-US" w:eastAsia="zh-CN"/>
        </w:rPr>
        <w:t>（二）韧性城市建设为夯实山区防灾减灾基础创造有利契机</w:t>
      </w:r>
      <w:bookmarkEnd w:id="36"/>
    </w:p>
    <w:p w14:paraId="1E21E843">
      <w:pPr>
        <w:rPr>
          <w:rFonts w:hint="eastAsia"/>
          <w:color w:val="auto"/>
          <w:lang w:val="en-US" w:eastAsia="zh-CN"/>
        </w:rPr>
      </w:pPr>
      <w:r>
        <w:rPr>
          <w:rFonts w:hint="eastAsia"/>
          <w:color w:val="auto"/>
          <w:lang w:val="en-US" w:eastAsia="zh-CN"/>
        </w:rPr>
        <w:t>北京市在新版城市总体规划中首次将“安全韧性”作为核心指标，并出台《北京市韧性城市空间专项规划（2022年—2035年）》。市级财政每年安排专项资金用于城市基础设施韧性提升、风险监测预警系统建设等重点项目。怀柔区可依托生态涵养区定位，重点申报山区灾害防治、生命线工程加固、地质灾害隐患点治理等项目，争取市级政策资金倾斜。特别是海河“25·7”流域性特大洪水后，全市高度重视山区防灾减灾救灾能力建设，怀柔区正在推进的多条河道、干支流水毁修复工程，以及“一村一策”防汛避险救灾工作预案的制定，将有效提升区域防洪标准和村庄防洪能力。同时，北京市正在制定的韧性城市建设标准体系，将为怀柔区开展山区村镇韧性建设、基础设施抗灾设防等工作提供技术规范。</w:t>
      </w:r>
    </w:p>
    <w:p w14:paraId="4BFA08F5">
      <w:pPr>
        <w:outlineLvl w:val="2"/>
        <w:rPr>
          <w:rFonts w:hint="eastAsia" w:ascii="楷体_GB2312" w:hAnsi="楷体_GB2312" w:eastAsia="楷体_GB2312" w:cs="楷体_GB2312"/>
          <w:b w:val="0"/>
          <w:bCs w:val="0"/>
          <w:color w:val="auto"/>
          <w:lang w:val="en-US" w:eastAsia="zh-CN"/>
        </w:rPr>
      </w:pPr>
      <w:bookmarkStart w:id="37" w:name="_Toc25682"/>
      <w:r>
        <w:rPr>
          <w:rFonts w:hint="eastAsia" w:ascii="楷体_GB2312" w:hAnsi="楷体_GB2312" w:eastAsia="楷体_GB2312" w:cs="楷体_GB2312"/>
          <w:b w:val="0"/>
          <w:bCs w:val="0"/>
          <w:color w:val="auto"/>
          <w:lang w:val="en-US" w:eastAsia="zh-CN"/>
        </w:rPr>
        <w:t>（三）怀柔科学城建设为应急科技创新转化注入强大动能</w:t>
      </w:r>
      <w:bookmarkEnd w:id="37"/>
    </w:p>
    <w:p w14:paraId="2D566AEF">
      <w:pPr>
        <w:rPr>
          <w:rFonts w:hint="eastAsia"/>
          <w:color w:val="auto"/>
          <w:lang w:val="en-US" w:eastAsia="zh-CN"/>
        </w:rPr>
      </w:pPr>
      <w:r>
        <w:rPr>
          <w:rFonts w:hint="eastAsia"/>
          <w:color w:val="auto"/>
          <w:lang w:val="en-US" w:eastAsia="zh-CN"/>
        </w:rPr>
        <w:t>新一轮科技革命和产业变革加速推进，人工智能、卫星遥感、无人机等新质生产力深入发展，为提升应急管理治理能力提供了空前的技术机遇。作为北京国际科技创新中心“三城一区”主平台之一，怀柔科学城已集聚多个国家重大科技基础设施，首都科研实力雄厚、人才资源富集的优势在怀柔得到集中体现。在应急管理领域，材料基因组平台可助力研发新型防护材料，环境监测平台可提升灾害预警精度。特别是来自中国科学院空天信息创新研究院的“基于系留气球的城市低空智慧管理平台”项目，可进一步完善“空-天-地”立体感知系统建立，为应急事业发展提供强有力的新型保障手段。科学城入驻的科研院所可以探索与应急管理部门建立合作机制，共同开展灾害模拟仿真、应急救援装备研发、风险早期识别等课题研究。未来可进一步推动科研成果转化应用，打造应急科技示范基地，将科技革命的驱动力转化为应急管理的核心竞争力，实现从被动应对到主动保障的根本性转变。</w:t>
      </w:r>
    </w:p>
    <w:p w14:paraId="46F4E2A2">
      <w:pPr>
        <w:outlineLvl w:val="2"/>
        <w:rPr>
          <w:rFonts w:hint="eastAsia" w:ascii="楷体_GB2312" w:hAnsi="楷体_GB2312" w:eastAsia="楷体_GB2312" w:cs="楷体_GB2312"/>
          <w:b w:val="0"/>
          <w:bCs w:val="0"/>
          <w:color w:val="auto"/>
          <w:lang w:val="en-US" w:eastAsia="zh-CN"/>
        </w:rPr>
      </w:pPr>
      <w:bookmarkStart w:id="38" w:name="_Toc12670"/>
      <w:r>
        <w:rPr>
          <w:rFonts w:hint="eastAsia" w:ascii="楷体_GB2312" w:hAnsi="楷体_GB2312" w:eastAsia="楷体_GB2312" w:cs="楷体_GB2312"/>
          <w:b w:val="0"/>
          <w:bCs w:val="0"/>
          <w:color w:val="auto"/>
          <w:lang w:val="en-US" w:eastAsia="zh-CN"/>
        </w:rPr>
        <w:t>（四）数字赋能为智慧应急感知决策构建关键底座</w:t>
      </w:r>
      <w:bookmarkEnd w:id="38"/>
    </w:p>
    <w:p w14:paraId="67B08782">
      <w:pPr>
        <w:rPr>
          <w:rFonts w:hint="eastAsia"/>
          <w:color w:val="auto"/>
          <w:lang w:val="en-US" w:eastAsia="zh-CN"/>
        </w:rPr>
      </w:pPr>
      <w:r>
        <w:rPr>
          <w:rFonts w:hint="eastAsia"/>
          <w:color w:val="auto"/>
          <w:lang w:val="en-US" w:eastAsia="zh-CN"/>
        </w:rPr>
        <w:t>北京市正在实施“十四五”智慧城市行动计划，依托大数据、云计算、物联网等现代科技，为赋能灾害风险精准画像、监测预警效能提升、应急决策智能支撑提供了坚实基础。怀柔区可充分利用市级政务云平台和数据共享交换平台，构建应急管理大数据中心。重点推进智能感知网络建设，在山洪地质灾害隐患点布设物联网监测设备，探索构建社区级风险监测网络。</w:t>
      </w:r>
    </w:p>
    <w:p w14:paraId="33B58A91">
      <w:pPr>
        <w:outlineLvl w:val="2"/>
        <w:rPr>
          <w:rFonts w:hint="eastAsia" w:ascii="楷体_GB2312" w:hAnsi="楷体_GB2312" w:eastAsia="楷体_GB2312" w:cs="楷体_GB2312"/>
          <w:b w:val="0"/>
          <w:bCs w:val="0"/>
          <w:color w:val="auto"/>
          <w:lang w:val="en-US" w:eastAsia="zh-CN"/>
        </w:rPr>
      </w:pPr>
      <w:bookmarkStart w:id="39" w:name="_Toc30114"/>
      <w:r>
        <w:rPr>
          <w:rFonts w:hint="eastAsia" w:ascii="楷体_GB2312" w:hAnsi="楷体_GB2312" w:eastAsia="楷体_GB2312" w:cs="楷体_GB2312"/>
          <w:b w:val="0"/>
          <w:bCs w:val="0"/>
          <w:color w:val="auto"/>
          <w:lang w:val="en-US" w:eastAsia="zh-CN"/>
        </w:rPr>
        <w:t>（五）区域协同为跨域联防联控实战提供广阔平台</w:t>
      </w:r>
      <w:bookmarkEnd w:id="39"/>
    </w:p>
    <w:p w14:paraId="555E7B14">
      <w:pPr>
        <w:rPr>
          <w:rFonts w:hint="eastAsia"/>
          <w:color w:val="auto"/>
          <w:lang w:val="en-US" w:eastAsia="zh-CN"/>
        </w:rPr>
      </w:pPr>
      <w:r>
        <w:rPr>
          <w:rFonts w:hint="eastAsia"/>
          <w:color w:val="auto"/>
          <w:lang w:val="en-US" w:eastAsia="zh-CN"/>
        </w:rPr>
        <w:t>京津冀三地已签署</w:t>
      </w:r>
      <w:r>
        <w:rPr>
          <w:rFonts w:hint="eastAsia"/>
          <w:color w:val="auto"/>
          <w:lang w:val="en-US" w:eastAsia="zh-CN"/>
        </w:rPr>
        <w:t>《京津冀应急管理协同发展工作备忘录》</w:t>
      </w:r>
      <w:r>
        <w:rPr>
          <w:rFonts w:hint="eastAsia"/>
          <w:color w:val="auto"/>
          <w:lang w:val="en-US" w:eastAsia="zh-CN"/>
        </w:rPr>
        <w:t>，建立联席会议制度和信息共享平台，在监测预警、联合指挥、协同响应等方面持续深化合作。在救援力量方面，怀柔区森林消防综合救援支队已积极参与京津冀森林火灾联合处置应急演练，在实战中锤炼跨区域应急响应机制，提升运用新装备、新战法处置森林火灾的新质救援能力。在物资保障方面，共建共享区域性物资储备库，探索“平急两用”公共基础设施实施路径。怀柔区可充分发挥区位优势，与河北承德、张家口等毗邻地区深化森林防火、防汛抗旱、地质灾害防治等领域的联防联控，推动建立跨区域应急指挥协同机制，健全信息通报、资源共享、队伍驰援等工作流程，切实提升交界地区突发事件协同处置效率。</w:t>
      </w:r>
    </w:p>
    <w:p w14:paraId="00E178FC">
      <w:pPr>
        <w:outlineLvl w:val="2"/>
        <w:rPr>
          <w:rFonts w:hint="eastAsia" w:ascii="楷体_GB2312" w:hAnsi="楷体_GB2312" w:eastAsia="楷体_GB2312" w:cs="楷体_GB2312"/>
          <w:b w:val="0"/>
          <w:bCs w:val="0"/>
          <w:color w:val="auto"/>
          <w:lang w:val="en-US" w:eastAsia="zh-CN"/>
        </w:rPr>
      </w:pPr>
      <w:bookmarkStart w:id="40" w:name="_Toc13996"/>
      <w:r>
        <w:rPr>
          <w:rFonts w:hint="eastAsia" w:ascii="楷体_GB2312" w:hAnsi="楷体_GB2312" w:eastAsia="楷体_GB2312" w:cs="楷体_GB2312"/>
          <w:b w:val="0"/>
          <w:bCs w:val="0"/>
          <w:color w:val="auto"/>
          <w:lang w:val="en-US" w:eastAsia="zh-CN"/>
        </w:rPr>
        <w:t>（六）安全素养提升为基层共建共治共享奠定社会基础</w:t>
      </w:r>
      <w:bookmarkEnd w:id="40"/>
    </w:p>
    <w:p w14:paraId="01E94B4B">
      <w:pPr>
        <w:rPr>
          <w:rFonts w:hint="eastAsia"/>
          <w:color w:val="auto"/>
          <w:lang w:val="en-US" w:eastAsia="zh-CN"/>
        </w:rPr>
      </w:pPr>
      <w:r>
        <w:rPr>
          <w:rFonts w:hint="eastAsia"/>
          <w:color w:val="auto"/>
          <w:lang w:val="en-US" w:eastAsia="zh-CN"/>
        </w:rPr>
        <w:t>党中央国务院、市委市政府始终坚持大抓基层的鲜明导向，着眼推进应急管理体系和能力现代化，作出强化基层应急基础和力量的系列决策部署。中共中央办公厅、国务院办公厅印发的《关于进一步提升基层应急管理能力的意见》，中共北京市委办公厅、北京市人民政府办公厅印发的《关于进一步加强基层应急管理能力建设的实施意见》，为基层应急能力建设提供了明确指引。北京市连续多年开展“应急宣传进万家”活动，市民应急救护技能普及率逐渐提升。怀柔区可结合“平安社区”建设，进一步培育基层应急力量，持续向基层赋权、扩能、倾斜资源，系统性强化基层应急管理的组织指挥、风险防范、联动实战、指挥处置和综合支撑五大能力。持续开展系列急救普及活动，推动急救知识深度融入校园与社区安全教育全过程。完善“第一响应人”培训机制，重点对社区工作者、网格员、物业人员、志愿者开展专业技能培训。通过多元主体参与，筑牢安全底板、守牢安全底线，构建群防群治的人民防线，以高效的应急管理守护人民平安。</w:t>
      </w:r>
    </w:p>
    <w:p w14:paraId="7BD4A938">
      <w:pPr>
        <w:keepNext w:val="0"/>
        <w:keepLines w:val="0"/>
        <w:pageBreakBefore w:val="0"/>
        <w:widowControl w:val="0"/>
        <w:kinsoku/>
        <w:wordWrap/>
        <w:overflowPunct/>
        <w:topLinePunct w:val="0"/>
        <w:autoSpaceDE/>
        <w:autoSpaceDN/>
        <w:bidi w:val="0"/>
        <w:adjustRightInd w:val="0"/>
        <w:snapToGrid w:val="0"/>
        <w:spacing w:before="340" w:after="330"/>
        <w:ind w:left="0" w:leftChars="0" w:firstLine="0" w:firstLineChars="0"/>
        <w:jc w:val="center"/>
        <w:textAlignment w:val="auto"/>
        <w:outlineLvl w:val="0"/>
        <w:rPr>
          <w:rFonts w:hint="eastAsia" w:ascii="方正小标宋简体" w:hAnsi="方正小标宋简体" w:eastAsia="方正小标宋简体" w:cs="方正小标宋简体"/>
          <w:color w:val="auto"/>
          <w:sz w:val="44"/>
          <w:szCs w:val="44"/>
          <w:lang w:val="en-US" w:eastAsia="zh-CN"/>
        </w:rPr>
      </w:pPr>
      <w:bookmarkStart w:id="41" w:name="_Toc23008"/>
      <w:bookmarkStart w:id="42" w:name="_Toc3899"/>
      <w:r>
        <w:rPr>
          <w:rFonts w:hint="eastAsia" w:ascii="方正小标宋简体" w:hAnsi="方正小标宋简体" w:eastAsia="方正小标宋简体" w:cs="方正小标宋简体"/>
          <w:color w:val="auto"/>
          <w:sz w:val="44"/>
          <w:szCs w:val="44"/>
          <w:lang w:val="en-US" w:eastAsia="zh-CN"/>
        </w:rPr>
        <w:t>第三章 指导思想、基本原则和主要目标</w:t>
      </w:r>
      <w:bookmarkEnd w:id="41"/>
      <w:bookmarkEnd w:id="42"/>
    </w:p>
    <w:p w14:paraId="38C8A522">
      <w:pPr>
        <w:outlineLvl w:val="1"/>
        <w:rPr>
          <w:rFonts w:hint="default"/>
          <w:color w:val="auto"/>
          <w:lang w:val="en-US" w:eastAsia="zh-CN"/>
        </w:rPr>
      </w:pPr>
      <w:bookmarkStart w:id="43" w:name="_Toc20791"/>
      <w:bookmarkStart w:id="44" w:name="_Toc18190"/>
      <w:r>
        <w:rPr>
          <w:rFonts w:hint="eastAsia" w:ascii="黑体" w:hAnsi="黑体" w:eastAsia="黑体" w:cs="黑体"/>
          <w:color w:val="auto"/>
          <w:lang w:val="en-US" w:eastAsia="zh-CN"/>
        </w:rPr>
        <w:t>一、指导思想</w:t>
      </w:r>
      <w:bookmarkEnd w:id="43"/>
      <w:bookmarkEnd w:id="44"/>
    </w:p>
    <w:p w14:paraId="12739DF3">
      <w:pPr>
        <w:keepNext w:val="0"/>
        <w:keepLines w:val="0"/>
        <w:pageBreakBefore w:val="0"/>
        <w:widowControl w:val="0"/>
        <w:kinsoku/>
        <w:wordWrap/>
        <w:overflowPunct/>
        <w:topLinePunct w:val="0"/>
        <w:autoSpaceDE/>
        <w:autoSpaceDN/>
        <w:bidi w:val="0"/>
        <w:adjustRightInd w:val="0"/>
        <w:snapToGrid w:val="0"/>
        <w:ind w:firstLine="640" w:firstLineChars="200"/>
        <w:textAlignment w:val="auto"/>
        <w:rPr>
          <w:rFonts w:hint="default"/>
          <w:color w:val="auto"/>
          <w:lang w:val="en-US" w:eastAsia="zh-CN"/>
        </w:rPr>
      </w:pPr>
      <w:r>
        <w:rPr>
          <w:rFonts w:hint="default"/>
          <w:color w:val="auto"/>
          <w:lang w:val="en-US" w:eastAsia="zh-CN"/>
        </w:rPr>
        <w:t>坚持以习近平新时代中国特色社会主义思想为指导，全面贯彻党的二十大和二十届历次全会精神，深入落实习近平总书记关于应急管理工作的重要指示批示精神，坚持人民至上、生命至上，坚定不移贯彻总体国家安全观，以新时代首都发展为统领，更好统筹发展和安全，立足首都功能重要承载地和生态涵养区功能定位，以全力建设国际一流的战略科技融合发展示范区为目标，以“突破怀柔综合性国家科学中心”为引领，深入推进“一城两都”融合发展，重点打造战略设施聚集、创新生态涵养、科技成果转化、人才引育发展、国际交流合作五个高地，强化对京津冀协同发展的辐射带动作用。全面落实市委关于“维护首都安全稳定”“建设韧性城市”等部署要求，以服务保障怀柔科学城建设、雁栖湖国际会都重大活动为主线，聚焦防范化解重大安全风险，强化科技创新和智慧赋能支撑，夯实基层应急能力基础，加快构建具有怀柔特色的现代化应急管理体系，全面提升“降概率、控损失”的风险防范能力和“救早、救小、救初期”的应急处置水平，打通应急管理“最后一公里”，加快形成与首都功能重要承载地相匹配的应急管理新格局，为首都率先基本实现社会主义现代化贡献怀柔力量。</w:t>
      </w:r>
    </w:p>
    <w:p w14:paraId="46AE402B">
      <w:pPr>
        <w:outlineLvl w:val="1"/>
        <w:rPr>
          <w:rFonts w:hint="eastAsia" w:ascii="黑体" w:hAnsi="黑体" w:eastAsia="黑体" w:cs="黑体"/>
          <w:color w:val="auto"/>
          <w:lang w:val="en-US" w:eastAsia="zh-CN"/>
        </w:rPr>
      </w:pPr>
      <w:bookmarkStart w:id="45" w:name="_Toc5388"/>
      <w:bookmarkStart w:id="46" w:name="_Toc19593"/>
      <w:r>
        <w:rPr>
          <w:rFonts w:hint="eastAsia" w:ascii="黑体" w:hAnsi="黑体" w:eastAsia="黑体" w:cs="黑体"/>
          <w:color w:val="auto"/>
          <w:lang w:val="en-US" w:eastAsia="zh-CN"/>
        </w:rPr>
        <w:t>二、基本原则</w:t>
      </w:r>
      <w:bookmarkEnd w:id="45"/>
      <w:bookmarkEnd w:id="46"/>
    </w:p>
    <w:p w14:paraId="76848D2F">
      <w:pPr>
        <w:rPr>
          <w:rFonts w:hint="eastAsia"/>
          <w:color w:val="auto"/>
          <w:lang w:val="en-US" w:eastAsia="zh-CN"/>
        </w:rPr>
      </w:pPr>
      <w:r>
        <w:rPr>
          <w:rFonts w:hint="eastAsia"/>
          <w:b/>
          <w:bCs/>
          <w:color w:val="auto"/>
          <w:lang w:val="en-US" w:eastAsia="zh-CN"/>
        </w:rPr>
        <w:t>坚持党建引领、人民至上。</w:t>
      </w:r>
      <w:r>
        <w:rPr>
          <w:rFonts w:hint="eastAsia"/>
          <w:color w:val="auto"/>
          <w:lang w:val="en-US" w:eastAsia="zh-CN"/>
        </w:rPr>
        <w:t>把党的领导贯穿应急管理全过程各环节，充分发挥党组织在应急管理工作中的领导核心作用。坚持以人民为中心的发展思想，把保护人民群众生命财产安全作为首要任务。完善“党建+应急”工作机制，发挥基层党组织战斗堡垒作用和党员先锋模范作用，构建党委领导、政府负责、社会协同、公众参与的应急管理工作格局。强化应急管理领域作风建设，打造忠诚干净担当的应急管理铁军。</w:t>
      </w:r>
    </w:p>
    <w:p w14:paraId="65E3FC7D">
      <w:pPr>
        <w:rPr>
          <w:rFonts w:hint="eastAsia"/>
          <w:color w:val="auto"/>
          <w:lang w:val="en-US" w:eastAsia="zh-CN"/>
        </w:rPr>
      </w:pPr>
      <w:r>
        <w:rPr>
          <w:rFonts w:hint="eastAsia"/>
          <w:b/>
          <w:bCs/>
          <w:color w:val="auto"/>
          <w:lang w:val="en-US" w:eastAsia="zh-CN"/>
        </w:rPr>
        <w:t>坚持以防为主、社会共治。</w:t>
      </w:r>
      <w:r>
        <w:rPr>
          <w:rFonts w:hint="eastAsia"/>
          <w:color w:val="auto"/>
          <w:lang w:val="en-US" w:eastAsia="zh-CN"/>
        </w:rPr>
        <w:t>深入践行“两个坚持、三个转变”，推动应急管理关口前移、前置管控。健全风险分级管控和隐患排查治理双重预防机制，强化源头治理、系统治理。完善社会力量参与机制，培育发展应急志愿服务组织，鼓励企事业单位履行应急管理社会责任。加强应急管理宣传教育，提升全民安全意识和自救互救能力，构建共建共治共享的应急管理新格局。</w:t>
      </w:r>
    </w:p>
    <w:p w14:paraId="1AD11385">
      <w:pPr>
        <w:rPr>
          <w:rFonts w:hint="eastAsia"/>
          <w:color w:val="auto"/>
          <w:lang w:val="en-US" w:eastAsia="zh-CN"/>
        </w:rPr>
      </w:pPr>
      <w:r>
        <w:rPr>
          <w:rFonts w:hint="eastAsia"/>
          <w:b/>
          <w:bCs/>
          <w:color w:val="auto"/>
          <w:lang w:val="en-US" w:eastAsia="zh-CN"/>
        </w:rPr>
        <w:t>坚持山区特色、精准施策。</w:t>
      </w:r>
      <w:r>
        <w:rPr>
          <w:rFonts w:hint="eastAsia"/>
          <w:color w:val="auto"/>
          <w:lang w:val="en-US" w:eastAsia="zh-CN"/>
        </w:rPr>
        <w:t>立足怀柔区89%的山区面积特点，针对山区自然灾害防治、森林防火、防汛抗旱等重点工作实施差异化防控策略。科学评估山区灾害风险，建立精准化监测预警体系。优化山区应急救援力量布局，配备适应山区地形的专业救援装备。加强山区村镇应急能力建设，完善“最后一公里”应急响应机制，形成具有山区特色的应急管理模式。</w:t>
      </w:r>
    </w:p>
    <w:p w14:paraId="0EB72840">
      <w:pPr>
        <w:rPr>
          <w:rFonts w:hint="eastAsia"/>
          <w:color w:val="auto"/>
          <w:lang w:val="en-US" w:eastAsia="zh-CN"/>
        </w:rPr>
      </w:pPr>
      <w:r>
        <w:rPr>
          <w:rFonts w:hint="eastAsia"/>
          <w:b/>
          <w:bCs/>
          <w:color w:val="auto"/>
          <w:lang w:val="en-US" w:eastAsia="zh-CN"/>
        </w:rPr>
        <w:t>坚持科技引领、智慧赋能。</w:t>
      </w:r>
      <w:r>
        <w:rPr>
          <w:rFonts w:hint="eastAsia"/>
          <w:color w:val="auto"/>
          <w:lang w:val="en-US" w:eastAsia="zh-CN"/>
        </w:rPr>
        <w:t>充分发挥怀柔科学城科技创新优势，推动应急管理领域关键技术研发和应用示范。建设智慧应急管理平台，运用5G、物联网、大数据、人工智能等新技术提升监测预警、指挥调度、辅助决策能力。加强应急管理科技装备研发应用，提高复杂环境下的应急救援效能。建立应急管理科技创新激励机制，促进科技成果转化应用。</w:t>
      </w:r>
    </w:p>
    <w:p w14:paraId="5376112B">
      <w:pPr>
        <w:rPr>
          <w:rFonts w:hint="eastAsia"/>
          <w:color w:val="auto"/>
          <w:lang w:val="en-US" w:eastAsia="zh-CN"/>
        </w:rPr>
      </w:pPr>
      <w:r>
        <w:rPr>
          <w:rFonts w:hint="eastAsia"/>
          <w:b/>
          <w:bCs/>
          <w:color w:val="auto"/>
          <w:lang w:val="en-US" w:eastAsia="zh-CN"/>
        </w:rPr>
        <w:t>坚持平急结合、区域协同。</w:t>
      </w:r>
      <w:r>
        <w:rPr>
          <w:rFonts w:hint="eastAsia"/>
          <w:color w:val="auto"/>
          <w:lang w:val="en-US" w:eastAsia="zh-CN"/>
        </w:rPr>
        <w:t>完善平急转换机制，推动应急管理与日常管理有机衔接。强化京津冀应急管理协同发展，健全与周边区域的联防联控机制。优化应急资源共享机制，实现区域间救援力量、物资装备、专家智库等资源的统筹调配。建立重大活动应急保障标准化体系，提升雁栖湖国际会都等重要场所的应急保障能力。完善跨部门、跨区域应急协调联动机制，形成应急管理工作合力。</w:t>
      </w:r>
    </w:p>
    <w:p w14:paraId="47DE92AA">
      <w:pPr>
        <w:outlineLvl w:val="1"/>
        <w:rPr>
          <w:rFonts w:hint="eastAsia" w:ascii="黑体" w:hAnsi="黑体" w:eastAsia="黑体" w:cs="黑体"/>
          <w:color w:val="auto"/>
          <w:lang w:val="en-US" w:eastAsia="zh-CN"/>
        </w:rPr>
      </w:pPr>
      <w:bookmarkStart w:id="47" w:name="_Toc20255"/>
      <w:bookmarkStart w:id="48" w:name="_Toc27137"/>
      <w:r>
        <w:rPr>
          <w:rFonts w:hint="eastAsia" w:ascii="黑体" w:hAnsi="黑体" w:eastAsia="黑体" w:cs="黑体"/>
          <w:color w:val="auto"/>
          <w:lang w:val="en-US" w:eastAsia="zh-CN"/>
        </w:rPr>
        <w:t>三、主要目标</w:t>
      </w:r>
      <w:bookmarkEnd w:id="47"/>
      <w:bookmarkEnd w:id="48"/>
    </w:p>
    <w:p w14:paraId="35DB8707">
      <w:pPr>
        <w:bidi w:val="0"/>
        <w:rPr>
          <w:rFonts w:hint="eastAsia"/>
          <w:color w:val="auto"/>
          <w:lang w:val="en-US" w:eastAsia="zh-CN"/>
        </w:rPr>
      </w:pPr>
      <w:r>
        <w:rPr>
          <w:rFonts w:hint="eastAsia"/>
          <w:color w:val="auto"/>
          <w:lang w:val="en-US" w:eastAsia="zh-CN"/>
        </w:rPr>
        <w:t>到2030年，建成与怀柔区首都功能重要承载区、生态涵养区功能定位相适应，有力支撑“一城两都”战略布局和国际一流的战略科技融合发展示范区建设的现代化应急管理体系。具有怀柔特色的大安全大应急框架更趋完善，集中统一、权威高效的应急指挥机制健全高效，综合协调、分类管理、分级负责、属地管理为主的应急管理工作体系基本形成。以事前预防为主的公共安全治理模式持续深化，“降概率、控损失”的风险防范能力和“救早、救小、救初期”的应急处置水平显著提升，安全生产、综合防灾减灾形势稳定向好，重特大事故有效遏制。全社会防灾避险意识和自救互救能力显著增强，基层应急管理“最后一公里”全面打通，首都北部安全发展屏障更加牢固。</w:t>
      </w:r>
    </w:p>
    <w:p w14:paraId="713DE640">
      <w:pPr>
        <w:bidi w:val="0"/>
        <w:rPr>
          <w:rFonts w:hint="eastAsia"/>
          <w:color w:val="auto"/>
          <w:highlight w:val="none"/>
          <w:lang w:val="en-US" w:eastAsia="zh-CN"/>
        </w:rPr>
      </w:pPr>
      <w:r>
        <w:rPr>
          <w:rFonts w:hint="eastAsia"/>
          <w:b/>
          <w:bCs/>
          <w:color w:val="auto"/>
          <w:highlight w:val="none"/>
          <w:lang w:val="en-US" w:eastAsia="zh-CN"/>
        </w:rPr>
        <w:t>应急管理体系不断健全。</w:t>
      </w:r>
      <w:r>
        <w:rPr>
          <w:rFonts w:hint="eastAsia"/>
          <w:color w:val="auto"/>
          <w:highlight w:val="none"/>
          <w:lang w:val="en-US" w:eastAsia="zh-CN"/>
        </w:rPr>
        <w:t>到2030年，建成集中统一、权威高效的应急管理领导体制，形成综合协调、分类管理、分级负责、属地管理为主的应急管理工作体系。建立健全科学城、国际会都等重点区域特色应急管理模式，完善京津冀协同应急机制。</w:t>
      </w:r>
    </w:p>
    <w:p w14:paraId="1BD15BB2">
      <w:pPr>
        <w:bidi w:val="0"/>
        <w:rPr>
          <w:rFonts w:hint="eastAsia"/>
          <w:color w:val="auto"/>
          <w:highlight w:val="none"/>
          <w:lang w:val="en-US" w:eastAsia="zh-CN"/>
        </w:rPr>
      </w:pPr>
      <w:r>
        <w:rPr>
          <w:rFonts w:hint="eastAsia"/>
          <w:b/>
          <w:bCs/>
          <w:color w:val="auto"/>
          <w:highlight w:val="none"/>
          <w:lang w:val="en-US" w:eastAsia="zh-CN"/>
        </w:rPr>
        <w:t>风险防控能力显著增强。</w:t>
      </w:r>
      <w:r>
        <w:rPr>
          <w:rFonts w:hint="eastAsia"/>
          <w:color w:val="auto"/>
          <w:highlight w:val="none"/>
          <w:lang w:val="en-US" w:eastAsia="zh-CN"/>
        </w:rPr>
        <w:t>到2030年，建成覆盖全区的风险监测预警网络，重点行业领域安全风险管控率</w:t>
      </w:r>
      <w:r>
        <w:rPr>
          <w:rFonts w:hint="eastAsia"/>
          <w:strike w:val="0"/>
          <w:dstrike w:val="0"/>
          <w:color w:val="auto"/>
          <w:highlight w:val="none"/>
          <w:lang w:val="en-US" w:eastAsia="zh-CN"/>
        </w:rPr>
        <w:t>显著提升</w:t>
      </w:r>
      <w:r>
        <w:rPr>
          <w:rFonts w:hint="eastAsia"/>
          <w:color w:val="auto"/>
          <w:highlight w:val="none"/>
          <w:lang w:val="en-US" w:eastAsia="zh-CN"/>
        </w:rPr>
        <w:t>。科学城重大科技基础设施安全运行保障体系全面建成，形成山区特色的自然灾害防治体系。</w:t>
      </w:r>
    </w:p>
    <w:p w14:paraId="4D1CFA41">
      <w:pPr>
        <w:bidi w:val="0"/>
        <w:rPr>
          <w:rFonts w:hint="eastAsia"/>
          <w:color w:val="auto"/>
          <w:highlight w:val="none"/>
          <w:lang w:val="en-US" w:eastAsia="zh-CN"/>
        </w:rPr>
      </w:pPr>
      <w:r>
        <w:rPr>
          <w:rFonts w:hint="eastAsia"/>
          <w:b/>
          <w:bCs/>
          <w:color w:val="auto"/>
          <w:highlight w:val="none"/>
          <w:lang w:val="en-US" w:eastAsia="zh-CN"/>
        </w:rPr>
        <w:t>应急救援能力显著增强。</w:t>
      </w:r>
      <w:r>
        <w:rPr>
          <w:rFonts w:hint="eastAsia"/>
          <w:color w:val="auto"/>
          <w:highlight w:val="none"/>
          <w:lang w:val="en-US" w:eastAsia="zh-CN"/>
        </w:rPr>
        <w:t>到2030年，建成专业化、现代化的应急救援力量体系，重点区域应急救援响应时间进一步缩短。山区复杂环境救援能力显著提升，形成“空地一体”的立体救援网络。</w:t>
      </w:r>
    </w:p>
    <w:p w14:paraId="1E0E0606">
      <w:pPr>
        <w:bidi w:val="0"/>
        <w:rPr>
          <w:rFonts w:hint="eastAsia"/>
          <w:color w:val="auto"/>
          <w:highlight w:val="none"/>
          <w:lang w:val="en-US" w:eastAsia="zh-CN"/>
        </w:rPr>
      </w:pPr>
      <w:r>
        <w:rPr>
          <w:rFonts w:hint="eastAsia"/>
          <w:b/>
          <w:bCs/>
          <w:color w:val="auto"/>
          <w:highlight w:val="none"/>
          <w:lang w:val="en-US" w:eastAsia="zh-CN"/>
        </w:rPr>
        <w:t>科技支撑能力显著增强。</w:t>
      </w:r>
      <w:r>
        <w:rPr>
          <w:rFonts w:hint="eastAsia"/>
          <w:color w:val="auto"/>
          <w:highlight w:val="none"/>
          <w:lang w:val="en-US" w:eastAsia="zh-CN"/>
        </w:rPr>
        <w:t>到2030年，依托怀柔科学城科技优势，建成国内领先的应急科技研发应用高地。智慧应急管理平台全面建成，重点领域智能化监测预警基本覆盖。</w:t>
      </w:r>
    </w:p>
    <w:p w14:paraId="75F207AB">
      <w:pPr>
        <w:bidi w:val="0"/>
        <w:rPr>
          <w:rFonts w:hint="eastAsia"/>
          <w:color w:val="auto"/>
          <w:highlight w:val="none"/>
          <w:lang w:val="en-US" w:eastAsia="zh-CN"/>
        </w:rPr>
      </w:pPr>
      <w:r>
        <w:rPr>
          <w:rFonts w:hint="eastAsia"/>
          <w:b/>
          <w:bCs/>
          <w:color w:val="auto"/>
          <w:highlight w:val="none"/>
          <w:lang w:val="en-US" w:eastAsia="zh-CN"/>
        </w:rPr>
        <w:t>基层应急能力显著增强。</w:t>
      </w:r>
      <w:r>
        <w:rPr>
          <w:rFonts w:hint="eastAsia"/>
          <w:color w:val="auto"/>
          <w:highlight w:val="none"/>
          <w:lang w:val="en-US" w:eastAsia="zh-CN"/>
        </w:rPr>
        <w:t>到2030年，全区所有乡镇（街道）完成应急管理标准化建设，村（社区）应急服务站实现全覆盖。基层应急队伍专业化水平显著提升，形成“第一响应人”快速处置机制。</w:t>
      </w:r>
    </w:p>
    <w:p w14:paraId="54BAB111">
      <w:pPr>
        <w:bidi w:val="0"/>
        <w:rPr>
          <w:rFonts w:hint="eastAsia"/>
          <w:color w:val="auto"/>
          <w:highlight w:val="none"/>
          <w:lang w:val="en-US" w:eastAsia="zh-CN"/>
        </w:rPr>
      </w:pPr>
      <w:r>
        <w:rPr>
          <w:rFonts w:hint="eastAsia"/>
          <w:b/>
          <w:bCs/>
          <w:color w:val="auto"/>
          <w:highlight w:val="none"/>
          <w:lang w:val="en-US" w:eastAsia="zh-CN"/>
        </w:rPr>
        <w:t>社会共治格局加快形成。</w:t>
      </w:r>
      <w:r>
        <w:rPr>
          <w:rFonts w:hint="eastAsia"/>
          <w:color w:val="auto"/>
          <w:highlight w:val="none"/>
          <w:lang w:val="en-US" w:eastAsia="zh-CN"/>
        </w:rPr>
        <w:t>到2030年，全民安全素养水平、应急知识普及率显著提升。社会应急力量规范有序发展，形成政府主导、多元参与的应急管理社会共治格局。</w:t>
      </w:r>
    </w:p>
    <w:p w14:paraId="5D035C49">
      <w:pPr>
        <w:ind w:left="0" w:leftChars="0" w:firstLine="0" w:firstLineChars="0"/>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怀柔区“十五五”应急管理体系主要核心指标</w:t>
      </w:r>
    </w:p>
    <w:tbl>
      <w:tblPr>
        <w:tblStyle w:val="9"/>
        <w:tblW w:w="875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02"/>
        <w:gridCol w:w="5050"/>
        <w:gridCol w:w="1525"/>
        <w:gridCol w:w="1375"/>
      </w:tblGrid>
      <w:tr w14:paraId="7168C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3A5EFC3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vertAlign w:val="baseline"/>
              </w:rPr>
              <w:t>序号</w:t>
            </w:r>
          </w:p>
        </w:tc>
        <w:tc>
          <w:tcPr>
            <w:tcW w:w="5050"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252A624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vertAlign w:val="baseline"/>
              </w:rPr>
              <w:t>指标内容</w:t>
            </w:r>
          </w:p>
        </w:tc>
        <w:tc>
          <w:tcPr>
            <w:tcW w:w="1525"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56CD957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bCs/>
                <w:color w:val="auto"/>
                <w:sz w:val="28"/>
                <w:szCs w:val="28"/>
                <w:lang w:val="en-US" w:eastAsia="zh-CN"/>
              </w:rPr>
            </w:pPr>
            <w:r>
              <w:rPr>
                <w:rFonts w:hint="eastAsia" w:cs="仿宋_GB2312"/>
                <w:b/>
                <w:bCs/>
                <w:color w:val="auto"/>
                <w:sz w:val="28"/>
                <w:szCs w:val="28"/>
                <w:vertAlign w:val="baseline"/>
                <w:lang w:val="en-US" w:eastAsia="zh-CN"/>
              </w:rPr>
              <w:t>预期</w:t>
            </w:r>
            <w:r>
              <w:rPr>
                <w:rFonts w:hint="eastAsia" w:ascii="仿宋_GB2312" w:hAnsi="仿宋_GB2312" w:eastAsia="仿宋_GB2312" w:cs="仿宋_GB2312"/>
                <w:b/>
                <w:bCs/>
                <w:color w:val="auto"/>
                <w:sz w:val="28"/>
                <w:szCs w:val="28"/>
                <w:vertAlign w:val="baseline"/>
                <w:lang w:val="en-US" w:eastAsia="zh-CN"/>
              </w:rPr>
              <w:t>值</w:t>
            </w:r>
          </w:p>
        </w:tc>
        <w:tc>
          <w:tcPr>
            <w:tcW w:w="1375"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198088A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vertAlign w:val="baseline"/>
              </w:rPr>
              <w:t>指标</w:t>
            </w:r>
            <w:r>
              <w:rPr>
                <w:rFonts w:hint="eastAsia" w:ascii="仿宋_GB2312" w:hAnsi="仿宋_GB2312" w:eastAsia="仿宋_GB2312" w:cs="仿宋_GB2312"/>
                <w:b/>
                <w:bCs/>
                <w:color w:val="auto"/>
                <w:sz w:val="28"/>
                <w:szCs w:val="28"/>
                <w:vertAlign w:val="baseline"/>
                <w:lang w:val="en-US" w:eastAsia="zh-CN"/>
              </w:rPr>
              <w:t>属性</w:t>
            </w:r>
          </w:p>
        </w:tc>
      </w:tr>
      <w:tr w14:paraId="30991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12"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5140B3F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rPr>
            </w:pPr>
            <w:r>
              <w:rPr>
                <w:rFonts w:hint="eastAsia" w:ascii="仿宋_GB2312" w:hAnsi="仿宋_GB2312" w:eastAsia="仿宋_GB2312" w:cs="仿宋_GB2312"/>
                <w:b w:val="0"/>
                <w:color w:val="auto"/>
                <w:sz w:val="28"/>
                <w:szCs w:val="28"/>
                <w:vertAlign w:val="baseline"/>
              </w:rPr>
              <w:t>1</w:t>
            </w:r>
          </w:p>
        </w:tc>
        <w:tc>
          <w:tcPr>
            <w:tcW w:w="5050"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110D5C0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rPr>
            </w:pPr>
            <w:r>
              <w:rPr>
                <w:rFonts w:hint="eastAsia" w:ascii="仿宋_GB2312" w:hAnsi="仿宋_GB2312" w:eastAsia="仿宋_GB2312" w:cs="仿宋_GB2312"/>
                <w:b w:val="0"/>
                <w:color w:val="auto"/>
                <w:sz w:val="28"/>
                <w:szCs w:val="28"/>
                <w:vertAlign w:val="baseline"/>
              </w:rPr>
              <w:t>单位地区生产总值生产安全事故死亡率（人/百亿）</w:t>
            </w:r>
          </w:p>
        </w:tc>
        <w:tc>
          <w:tcPr>
            <w:tcW w:w="1525"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7BB85A9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highlight w:val="none"/>
                <w:lang w:val="en-US"/>
              </w:rPr>
            </w:pPr>
            <w:r>
              <w:rPr>
                <w:rFonts w:hint="eastAsia" w:ascii="仿宋_GB2312" w:hAnsi="仿宋_GB2312" w:eastAsia="仿宋_GB2312" w:cs="仿宋_GB2312"/>
                <w:b w:val="0"/>
                <w:color w:val="auto"/>
                <w:sz w:val="28"/>
                <w:szCs w:val="28"/>
                <w:highlight w:val="none"/>
                <w:lang w:val="en-US" w:eastAsia="zh-CN"/>
              </w:rPr>
              <w:t>&lt;0.8</w:t>
            </w:r>
          </w:p>
        </w:tc>
        <w:tc>
          <w:tcPr>
            <w:tcW w:w="1375"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5861EC5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rPr>
            </w:pPr>
            <w:r>
              <w:rPr>
                <w:rFonts w:hint="eastAsia" w:ascii="仿宋_GB2312" w:hAnsi="仿宋_GB2312" w:eastAsia="仿宋_GB2312" w:cs="仿宋_GB2312"/>
                <w:b w:val="0"/>
                <w:color w:val="auto"/>
                <w:sz w:val="28"/>
                <w:szCs w:val="28"/>
                <w:vertAlign w:val="baseline"/>
              </w:rPr>
              <w:t>约束性</w:t>
            </w:r>
          </w:p>
        </w:tc>
      </w:tr>
      <w:tr w14:paraId="59A25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2"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2E154B2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vertAlign w:val="baseline"/>
                <w:lang w:val="en-US" w:eastAsia="zh-CN"/>
              </w:rPr>
            </w:pPr>
            <w:r>
              <w:rPr>
                <w:rFonts w:hint="eastAsia" w:cs="仿宋_GB2312"/>
                <w:b w:val="0"/>
                <w:color w:val="auto"/>
                <w:sz w:val="28"/>
                <w:szCs w:val="28"/>
                <w:vertAlign w:val="baseline"/>
                <w:lang w:val="en-US" w:eastAsia="zh-CN"/>
              </w:rPr>
              <w:t>2</w:t>
            </w:r>
          </w:p>
        </w:tc>
        <w:tc>
          <w:tcPr>
            <w:tcW w:w="5050"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0D64459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b w:val="0"/>
                <w:color w:val="auto"/>
                <w:sz w:val="28"/>
                <w:szCs w:val="28"/>
                <w:vertAlign w:val="baseline"/>
              </w:rPr>
            </w:pPr>
            <w:r>
              <w:rPr>
                <w:rFonts w:hint="eastAsia" w:ascii="仿宋_GB2312" w:hAnsi="仿宋_GB2312" w:eastAsia="仿宋_GB2312" w:cs="仿宋_GB2312"/>
                <w:b w:val="0"/>
                <w:color w:val="auto"/>
                <w:sz w:val="28"/>
                <w:szCs w:val="28"/>
                <w:vertAlign w:val="baseline"/>
              </w:rPr>
              <w:t>10万人口（常住人口）年火灾死亡率</w:t>
            </w:r>
          </w:p>
        </w:tc>
        <w:tc>
          <w:tcPr>
            <w:tcW w:w="1525"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608B077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仿宋_GB2312" w:hAnsi="仿宋_GB2312" w:eastAsia="仿宋_GB2312" w:cs="仿宋_GB2312"/>
                <w:b w:val="0"/>
                <w:color w:val="auto"/>
                <w:sz w:val="28"/>
                <w:szCs w:val="28"/>
                <w:highlight w:val="none"/>
                <w:lang w:val="en-US" w:eastAsia="zh-CN"/>
              </w:rPr>
            </w:pPr>
            <w:r>
              <w:rPr>
                <w:rFonts w:hint="eastAsia" w:cs="仿宋_GB2312"/>
                <w:b w:val="0"/>
                <w:color w:val="auto"/>
                <w:sz w:val="28"/>
                <w:szCs w:val="28"/>
                <w:highlight w:val="none"/>
                <w:lang w:val="en-US" w:eastAsia="zh-CN"/>
              </w:rPr>
              <w:t>≤0.25</w:t>
            </w:r>
          </w:p>
        </w:tc>
        <w:tc>
          <w:tcPr>
            <w:tcW w:w="1375"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0B5DA98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_GB2312" w:hAnsi="仿宋_GB2312" w:eastAsia="仿宋_GB2312" w:cs="仿宋_GB2312"/>
                <w:b w:val="0"/>
                <w:color w:val="auto"/>
                <w:sz w:val="28"/>
                <w:szCs w:val="28"/>
                <w:vertAlign w:val="baseline"/>
              </w:rPr>
            </w:pPr>
            <w:r>
              <w:rPr>
                <w:rFonts w:hint="eastAsia" w:ascii="仿宋_GB2312" w:hAnsi="仿宋_GB2312" w:eastAsia="仿宋_GB2312" w:cs="仿宋_GB2312"/>
                <w:b w:val="0"/>
                <w:color w:val="auto"/>
                <w:sz w:val="28"/>
                <w:szCs w:val="28"/>
                <w:vertAlign w:val="baseline"/>
              </w:rPr>
              <w:t>预期性</w:t>
            </w:r>
          </w:p>
        </w:tc>
      </w:tr>
      <w:tr w14:paraId="66495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8"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1342987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lang w:eastAsia="zh-CN"/>
              </w:rPr>
            </w:pPr>
            <w:r>
              <w:rPr>
                <w:rFonts w:hint="eastAsia" w:cs="仿宋_GB2312"/>
                <w:b w:val="0"/>
                <w:color w:val="auto"/>
                <w:sz w:val="28"/>
                <w:szCs w:val="28"/>
                <w:vertAlign w:val="baseline"/>
                <w:lang w:val="en-US" w:eastAsia="zh-CN"/>
              </w:rPr>
              <w:t>3</w:t>
            </w:r>
          </w:p>
        </w:tc>
        <w:tc>
          <w:tcPr>
            <w:tcW w:w="5050"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738DA2D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highlight w:val="none"/>
              </w:rPr>
            </w:pPr>
            <w:r>
              <w:rPr>
                <w:rFonts w:hint="eastAsia" w:ascii="仿宋_GB2312" w:hAnsi="仿宋_GB2312" w:eastAsia="仿宋_GB2312" w:cs="仿宋_GB2312"/>
                <w:b w:val="0"/>
                <w:color w:val="auto"/>
                <w:sz w:val="28"/>
                <w:szCs w:val="28"/>
                <w:highlight w:val="none"/>
                <w:vertAlign w:val="baseline"/>
              </w:rPr>
              <w:t>年均每百万人口因自然灾害死亡率</w:t>
            </w:r>
          </w:p>
        </w:tc>
        <w:tc>
          <w:tcPr>
            <w:tcW w:w="1525"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14B4623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_GB2312" w:hAnsi="仿宋_GB2312" w:eastAsia="仿宋_GB2312" w:cs="仿宋_GB2312"/>
                <w:b w:val="0"/>
                <w:color w:val="auto"/>
                <w:sz w:val="28"/>
                <w:szCs w:val="28"/>
                <w:highlight w:val="none"/>
                <w:lang w:val="en-US" w:eastAsia="zh-CN"/>
              </w:rPr>
            </w:pPr>
            <w:r>
              <w:rPr>
                <w:rFonts w:hint="eastAsia" w:cs="仿宋_GB2312"/>
                <w:b w:val="0"/>
                <w:color w:val="auto"/>
                <w:sz w:val="28"/>
                <w:szCs w:val="28"/>
                <w:highlight w:val="none"/>
                <w:lang w:val="en-US" w:eastAsia="zh-CN"/>
              </w:rPr>
              <w:t>＜0.9</w:t>
            </w:r>
          </w:p>
        </w:tc>
        <w:tc>
          <w:tcPr>
            <w:tcW w:w="1375"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7623099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rPr>
            </w:pPr>
            <w:r>
              <w:rPr>
                <w:rFonts w:hint="eastAsia" w:ascii="仿宋_GB2312" w:hAnsi="仿宋_GB2312" w:eastAsia="仿宋_GB2312" w:cs="仿宋_GB2312"/>
                <w:b w:val="0"/>
                <w:color w:val="auto"/>
                <w:sz w:val="28"/>
                <w:szCs w:val="28"/>
                <w:vertAlign w:val="baseline"/>
              </w:rPr>
              <w:t>预期性</w:t>
            </w:r>
          </w:p>
        </w:tc>
      </w:tr>
      <w:tr w14:paraId="7990C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8"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2C2B119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lang w:eastAsia="zh-CN"/>
              </w:rPr>
            </w:pPr>
            <w:r>
              <w:rPr>
                <w:rFonts w:hint="eastAsia" w:cs="仿宋_GB2312"/>
                <w:b w:val="0"/>
                <w:color w:val="auto"/>
                <w:sz w:val="28"/>
                <w:szCs w:val="28"/>
                <w:vertAlign w:val="baseline"/>
                <w:lang w:val="en-US" w:eastAsia="zh-CN"/>
              </w:rPr>
              <w:t>4</w:t>
            </w:r>
          </w:p>
        </w:tc>
        <w:tc>
          <w:tcPr>
            <w:tcW w:w="5050"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6AF7A5D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highlight w:val="none"/>
                <w:lang w:val="en-US" w:eastAsia="zh-CN"/>
              </w:rPr>
            </w:pPr>
            <w:r>
              <w:rPr>
                <w:rFonts w:hint="eastAsia" w:ascii="仿宋_GB2312" w:hAnsi="仿宋_GB2312" w:eastAsia="仿宋_GB2312" w:cs="仿宋_GB2312"/>
                <w:b w:val="0"/>
                <w:color w:val="auto"/>
                <w:sz w:val="28"/>
                <w:szCs w:val="28"/>
                <w:highlight w:val="none"/>
                <w:vertAlign w:val="baseline"/>
              </w:rPr>
              <w:t>年均因自然灾害直接经济损失占地区生产总值</w:t>
            </w:r>
          </w:p>
        </w:tc>
        <w:tc>
          <w:tcPr>
            <w:tcW w:w="1525"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1F95ABB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highlight w:val="none"/>
              </w:rPr>
            </w:pPr>
            <w:r>
              <w:rPr>
                <w:rFonts w:hint="eastAsia" w:ascii="仿宋_GB2312" w:hAnsi="仿宋_GB2312" w:eastAsia="仿宋_GB2312" w:cs="仿宋_GB2312"/>
                <w:b w:val="0"/>
                <w:bCs w:val="0"/>
                <w:color w:val="auto"/>
                <w:sz w:val="28"/>
                <w:szCs w:val="28"/>
                <w:highlight w:val="none"/>
                <w:lang w:eastAsia="zh-CN"/>
              </w:rPr>
              <w:t>&lt;0.8%</w:t>
            </w:r>
          </w:p>
        </w:tc>
        <w:tc>
          <w:tcPr>
            <w:tcW w:w="1375"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3389ECB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rPr>
            </w:pPr>
            <w:r>
              <w:rPr>
                <w:rFonts w:hint="eastAsia" w:ascii="仿宋_GB2312" w:hAnsi="仿宋_GB2312" w:eastAsia="仿宋_GB2312" w:cs="仿宋_GB2312"/>
                <w:b w:val="0"/>
                <w:color w:val="auto"/>
                <w:sz w:val="28"/>
                <w:szCs w:val="28"/>
                <w:vertAlign w:val="baseline"/>
              </w:rPr>
              <w:t>预期性</w:t>
            </w:r>
          </w:p>
        </w:tc>
      </w:tr>
      <w:tr w14:paraId="67239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1" w:hRule="atLeast"/>
          <w:jc w:val="center"/>
        </w:trPr>
        <w:tc>
          <w:tcPr>
            <w:tcW w:w="802"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0C0E76D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lang w:eastAsia="zh-CN"/>
              </w:rPr>
            </w:pPr>
            <w:r>
              <w:rPr>
                <w:rFonts w:hint="eastAsia" w:cs="仿宋_GB2312"/>
                <w:b w:val="0"/>
                <w:color w:val="auto"/>
                <w:sz w:val="28"/>
                <w:szCs w:val="28"/>
                <w:vertAlign w:val="baseline"/>
                <w:lang w:val="en-US" w:eastAsia="zh-CN"/>
              </w:rPr>
              <w:t>5</w:t>
            </w:r>
          </w:p>
        </w:tc>
        <w:tc>
          <w:tcPr>
            <w:tcW w:w="5050"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17CC379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rPr>
            </w:pPr>
            <w:r>
              <w:rPr>
                <w:rFonts w:hint="eastAsia" w:ascii="仿宋_GB2312" w:hAnsi="仿宋_GB2312" w:eastAsia="仿宋_GB2312" w:cs="仿宋_GB2312"/>
                <w:b w:val="0"/>
                <w:color w:val="auto"/>
                <w:sz w:val="28"/>
                <w:szCs w:val="28"/>
                <w:vertAlign w:val="baseline"/>
              </w:rPr>
              <w:t>人均应急避难场所面积（平方米）</w:t>
            </w:r>
          </w:p>
        </w:tc>
        <w:tc>
          <w:tcPr>
            <w:tcW w:w="1525"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0ACE7FF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eastAsia="zh-CN"/>
              </w:rPr>
              <w:t>1.8平方米</w:t>
            </w:r>
          </w:p>
        </w:tc>
        <w:tc>
          <w:tcPr>
            <w:tcW w:w="1375" w:type="dxa"/>
            <w:tcBorders>
              <w:top w:val="single" w:color="000000" w:sz="4" w:space="0"/>
              <w:left w:val="single" w:color="000000" w:sz="4" w:space="0"/>
              <w:bottom w:val="single" w:color="000000" w:sz="4" w:space="0"/>
              <w:right w:val="single" w:color="000000" w:sz="4" w:space="0"/>
            </w:tcBorders>
            <w:shd w:val="clear" w:color="auto" w:fill="auto"/>
            <w:tcMar>
              <w:left w:w="105" w:type="dxa"/>
              <w:right w:w="105" w:type="dxa"/>
            </w:tcMar>
            <w:vAlign w:val="center"/>
          </w:tcPr>
          <w:p w14:paraId="22F38E4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_GB2312" w:hAnsi="仿宋_GB2312" w:eastAsia="仿宋_GB2312" w:cs="仿宋_GB2312"/>
                <w:b w:val="0"/>
                <w:color w:val="auto"/>
                <w:sz w:val="28"/>
                <w:szCs w:val="28"/>
              </w:rPr>
            </w:pPr>
            <w:r>
              <w:rPr>
                <w:rFonts w:hint="eastAsia" w:ascii="仿宋_GB2312" w:hAnsi="仿宋_GB2312" w:eastAsia="仿宋_GB2312" w:cs="仿宋_GB2312"/>
                <w:b w:val="0"/>
                <w:color w:val="auto"/>
                <w:sz w:val="28"/>
                <w:szCs w:val="28"/>
                <w:vertAlign w:val="baseline"/>
              </w:rPr>
              <w:t>预期性</w:t>
            </w:r>
          </w:p>
        </w:tc>
      </w:tr>
    </w:tbl>
    <w:p w14:paraId="74EFE9B4">
      <w:pPr>
        <w:keepNext w:val="0"/>
        <w:keepLines w:val="0"/>
        <w:pageBreakBefore w:val="0"/>
        <w:widowControl w:val="0"/>
        <w:kinsoku/>
        <w:wordWrap/>
        <w:overflowPunct/>
        <w:topLinePunct w:val="0"/>
        <w:autoSpaceDE/>
        <w:autoSpaceDN/>
        <w:bidi w:val="0"/>
        <w:adjustRightInd w:val="0"/>
        <w:snapToGrid w:val="0"/>
        <w:spacing w:before="340" w:after="330"/>
        <w:ind w:left="0" w:leftChars="0" w:firstLine="0" w:firstLineChars="0"/>
        <w:jc w:val="center"/>
        <w:textAlignment w:val="auto"/>
        <w:outlineLvl w:val="0"/>
        <w:rPr>
          <w:rFonts w:hint="eastAsia" w:ascii="方正小标宋简体" w:hAnsi="方正小标宋简体" w:eastAsia="方正小标宋简体" w:cs="方正小标宋简体"/>
          <w:color w:val="auto"/>
          <w:sz w:val="44"/>
          <w:szCs w:val="44"/>
          <w:lang w:val="en-US" w:eastAsia="zh-CN"/>
        </w:rPr>
      </w:pPr>
      <w:bookmarkStart w:id="49" w:name="_Toc2303"/>
      <w:bookmarkStart w:id="50" w:name="_Toc26479"/>
      <w:r>
        <w:rPr>
          <w:rFonts w:hint="eastAsia" w:ascii="方正小标宋简体" w:hAnsi="方正小标宋简体" w:eastAsia="方正小标宋简体" w:cs="方正小标宋简体"/>
          <w:color w:val="auto"/>
          <w:sz w:val="44"/>
          <w:szCs w:val="44"/>
          <w:lang w:val="en-US" w:eastAsia="zh-CN"/>
        </w:rPr>
        <w:t>第四章 主要任务</w:t>
      </w:r>
      <w:bookmarkEnd w:id="49"/>
      <w:bookmarkEnd w:id="50"/>
    </w:p>
    <w:p w14:paraId="43E3C76A">
      <w:pPr>
        <w:outlineLvl w:val="1"/>
        <w:rPr>
          <w:rFonts w:hint="eastAsia" w:ascii="黑体" w:hAnsi="黑体" w:eastAsia="黑体" w:cs="黑体"/>
          <w:color w:val="auto"/>
          <w:lang w:val="en-US" w:eastAsia="zh-CN"/>
        </w:rPr>
      </w:pPr>
      <w:bookmarkStart w:id="51" w:name="_Toc5312"/>
      <w:r>
        <w:rPr>
          <w:rFonts w:hint="eastAsia" w:ascii="黑体" w:hAnsi="黑体" w:eastAsia="黑体" w:cs="黑体"/>
          <w:color w:val="auto"/>
          <w:lang w:val="en-US" w:eastAsia="zh-CN"/>
        </w:rPr>
        <w:t>一、组织指挥篇：构建服务首都功能承载地的全域联动应急中枢</w:t>
      </w:r>
      <w:bookmarkEnd w:id="51"/>
    </w:p>
    <w:p w14:paraId="0FDE36B6">
      <w:pPr>
        <w:outlineLvl w:val="2"/>
        <w:rPr>
          <w:rFonts w:hint="default" w:ascii="楷体_GB2312" w:hAnsi="楷体_GB2312" w:eastAsia="楷体_GB2312" w:cs="楷体_GB2312"/>
          <w:b w:val="0"/>
          <w:bCs w:val="0"/>
          <w:color w:val="auto"/>
          <w:lang w:val="en-US" w:eastAsia="zh-CN"/>
        </w:rPr>
      </w:pPr>
      <w:bookmarkStart w:id="52" w:name="_Toc2684"/>
      <w:r>
        <w:rPr>
          <w:rFonts w:hint="eastAsia" w:ascii="楷体_GB2312" w:hAnsi="楷体_GB2312" w:eastAsia="楷体_GB2312" w:cs="楷体_GB2312"/>
          <w:b w:val="0"/>
          <w:bCs w:val="0"/>
          <w:color w:val="auto"/>
          <w:lang w:val="en-US" w:eastAsia="zh-CN"/>
        </w:rPr>
        <w:t>（一）持续完善应急组织指挥机制</w:t>
      </w:r>
      <w:bookmarkEnd w:id="52"/>
      <w:r>
        <w:rPr>
          <w:rFonts w:hint="eastAsia" w:ascii="楷体_GB2312" w:hAnsi="楷体_GB2312" w:eastAsia="楷体_GB2312" w:cs="楷体_GB2312"/>
          <w:b w:val="0"/>
          <w:bCs w:val="0"/>
          <w:color w:val="auto"/>
          <w:lang w:val="en-US" w:eastAsia="zh-CN"/>
        </w:rPr>
        <w:t xml:space="preserve"> </w:t>
      </w:r>
    </w:p>
    <w:p w14:paraId="00ECCDB6">
      <w:pPr>
        <w:rPr>
          <w:rFonts w:hint="eastAsia"/>
          <w:color w:val="auto"/>
          <w:lang w:val="en-US" w:eastAsia="zh-CN"/>
        </w:rPr>
      </w:pPr>
      <w:r>
        <w:rPr>
          <w:rFonts w:hint="eastAsia"/>
          <w:b/>
          <w:bCs/>
          <w:color w:val="auto"/>
          <w:lang w:val="en-US" w:eastAsia="zh-CN"/>
        </w:rPr>
        <w:t>1.强化区应急委统筹抓总职能。</w:t>
      </w:r>
      <w:r>
        <w:rPr>
          <w:rFonts w:hint="eastAsia"/>
          <w:color w:val="auto"/>
          <w:lang w:val="en-US" w:eastAsia="zh-CN"/>
        </w:rPr>
        <w:t>坚持党对应急管理工作的集中统一领导，完善区应急委工作规则与运行机制，充分发挥其在跨区域、跨部门重大风险研判、战略资源统筹调配及全局性应急决策中的权威性与效率。健全定期会商、风险研判、应急联动等制度，综合运用考核巡查、督导检查、通报约谈、挂牌督办、事故调查等多种手段，建立常态化、闭环式的责任督促落实机制，切实压实各专项指挥部、属地政府及相关部门的突发事件防范应对职责。</w:t>
      </w:r>
    </w:p>
    <w:p w14:paraId="7CE92F77">
      <w:pPr>
        <w:rPr>
          <w:rFonts w:hint="eastAsia"/>
          <w:color w:val="auto"/>
          <w:lang w:val="en-US" w:eastAsia="zh-CN"/>
        </w:rPr>
      </w:pPr>
      <w:r>
        <w:rPr>
          <w:rFonts w:hint="eastAsia"/>
          <w:b/>
          <w:bCs/>
          <w:color w:val="auto"/>
          <w:lang w:val="en-US" w:eastAsia="zh-CN"/>
        </w:rPr>
        <w:t>2.完善上下贯通指挥机制。</w:t>
      </w:r>
      <w:r>
        <w:rPr>
          <w:rFonts w:hint="eastAsia"/>
          <w:color w:val="auto"/>
          <w:lang w:val="en-US" w:eastAsia="zh-CN"/>
        </w:rPr>
        <w:t>优化区级应急委统筹、联动各专项指挥部、贯通16个镇乡街道和所有行政村（社区）的应急指挥机制。深化应急委决策制度及各专项指挥部联合办公等工作机制，针对怀柔科学城大科学装置运行安全、国际会都重大活动保障、中国影都影视拍摄场景安全等新兴业态，优化相应类别突发事件应急指挥机构，提升专业处置能力。加强区、镇乡（街道）两级应急指挥部标准化建设，健全分级响应、指挥调度和业务保障机制，确保指令畅通、一体应对。</w:t>
      </w:r>
    </w:p>
    <w:p w14:paraId="3F7FF1C4">
      <w:pPr>
        <w:rPr>
          <w:rFonts w:hint="eastAsia"/>
          <w:color w:val="auto"/>
          <w:lang w:val="en-US" w:eastAsia="zh-CN"/>
        </w:rPr>
      </w:pPr>
      <w:r>
        <w:rPr>
          <w:rFonts w:hint="eastAsia"/>
          <w:b/>
          <w:bCs/>
          <w:color w:val="auto"/>
          <w:lang w:val="en-US" w:eastAsia="zh-CN"/>
        </w:rPr>
        <w:t>3.构建高效应急指挥网络。</w:t>
      </w:r>
      <w:r>
        <w:rPr>
          <w:rFonts w:hint="eastAsia"/>
          <w:color w:val="auto"/>
          <w:lang w:val="en-US" w:eastAsia="zh-CN"/>
        </w:rPr>
        <w:t>优化信息报送与联勤联动机制，完善突发事件信息报送标准，严格落实信息报送要求，确保信息传递及时准确。健全多部门联勤联合值守机制，强化公安、消防、水务、规自、医疗、交通、气象、园林等部门协同联动，构建扁平化、实战化应急指挥体系。探索数字孪生、智能感知、人工智能辅助决策等新技术在应急指挥中的应用，持续提升指挥调度的科技化、可视化、智能化水平。</w:t>
      </w:r>
    </w:p>
    <w:p w14:paraId="0D25FC01">
      <w:pPr>
        <w:outlineLvl w:val="2"/>
        <w:rPr>
          <w:rFonts w:hint="default" w:ascii="楷体_GB2312" w:hAnsi="楷体_GB2312" w:eastAsia="楷体_GB2312" w:cs="楷体_GB2312"/>
          <w:b w:val="0"/>
          <w:bCs w:val="0"/>
          <w:color w:val="auto"/>
          <w:lang w:val="en-US" w:eastAsia="zh-CN"/>
        </w:rPr>
      </w:pPr>
      <w:bookmarkStart w:id="53" w:name="_Toc9405"/>
      <w:r>
        <w:rPr>
          <w:rFonts w:hint="eastAsia" w:ascii="楷体_GB2312" w:hAnsi="楷体_GB2312" w:eastAsia="楷体_GB2312" w:cs="楷体_GB2312"/>
          <w:b w:val="0"/>
          <w:bCs w:val="0"/>
          <w:color w:val="auto"/>
          <w:lang w:val="en-US" w:eastAsia="zh-CN"/>
        </w:rPr>
        <w:t>（二）提升突发事件应对处置能力</w:t>
      </w:r>
      <w:bookmarkEnd w:id="53"/>
    </w:p>
    <w:p w14:paraId="05A2F6D1">
      <w:pPr>
        <w:rPr>
          <w:rFonts w:hint="eastAsia"/>
          <w:color w:val="auto"/>
          <w:lang w:val="en-US" w:eastAsia="zh-CN"/>
        </w:rPr>
      </w:pPr>
      <w:r>
        <w:rPr>
          <w:rFonts w:hint="eastAsia"/>
          <w:b/>
          <w:bCs/>
          <w:color w:val="auto"/>
          <w:lang w:val="en-US" w:eastAsia="zh-CN"/>
        </w:rPr>
        <w:t>1.固化提升巨灾应对模式。</w:t>
      </w:r>
      <w:r>
        <w:rPr>
          <w:rFonts w:hint="eastAsia"/>
          <w:color w:val="auto"/>
          <w:lang w:val="en-US" w:eastAsia="zh-CN"/>
        </w:rPr>
        <w:t>固化并深化综合协调、应急救援、群众安置、社会治安、交通保障、物资保障、宣传报道、医疗防疫、恢复重建等“1办N组”工作模式，加强怀柔区作为生态涵养区和重要水源地应对巨灾的组织领导能力。</w:t>
      </w:r>
    </w:p>
    <w:p w14:paraId="61CF5690">
      <w:pPr>
        <w:rPr>
          <w:rFonts w:hint="eastAsia"/>
          <w:color w:val="auto"/>
          <w:lang w:val="en-US" w:eastAsia="zh-CN"/>
        </w:rPr>
      </w:pPr>
      <w:r>
        <w:rPr>
          <w:rFonts w:hint="eastAsia"/>
          <w:b/>
          <w:bCs/>
          <w:color w:val="auto"/>
          <w:lang w:val="en-US" w:eastAsia="zh-CN"/>
        </w:rPr>
        <w:t>2.强化专项指挥与现场处置。</w:t>
      </w:r>
      <w:r>
        <w:rPr>
          <w:rFonts w:hint="eastAsia"/>
          <w:color w:val="auto"/>
          <w:lang w:val="en-US" w:eastAsia="zh-CN"/>
        </w:rPr>
        <w:t>强化各专项指挥部办公室的履职与管理，加强本领域应急救援协调能力培训，做好预案、队伍和物资准备。压实专项指挥部办公室、属地政府牵头应对和现场统筹协调职责，规范现场指挥机构组建和运行管理，明确现场指挥官职责与权限。优化“区级统筹调度、牵头部门主责、事发属地实责”的三级联动处置模式，强化跨部门、跨层级协同作战，形成分级响应、快速联动的处置机制。</w:t>
      </w:r>
    </w:p>
    <w:p w14:paraId="7BBB4DCC">
      <w:pPr>
        <w:rPr>
          <w:rFonts w:hint="eastAsia"/>
          <w:color w:val="auto"/>
          <w:lang w:val="en-US" w:eastAsia="zh-CN"/>
        </w:rPr>
      </w:pPr>
      <w:r>
        <w:rPr>
          <w:rFonts w:hint="eastAsia"/>
          <w:b/>
          <w:bCs/>
          <w:color w:val="auto"/>
          <w:lang w:val="en-US" w:eastAsia="zh-CN"/>
        </w:rPr>
        <w:t>3.健全复盘评估与能力提升机制。</w:t>
      </w:r>
      <w:r>
        <w:rPr>
          <w:rFonts w:hint="eastAsia"/>
          <w:color w:val="auto"/>
          <w:lang w:val="en-US" w:eastAsia="zh-CN"/>
        </w:rPr>
        <w:t>建立并严格执行突发事件应对全流程复盘总结制度，重点分析指挥调度、抢险救援、资源调配、人员转移等环节的问题与不足。深刻汲取“25·7”特大暴雨应对经验，以及可能发生在科学城、重点景区、人员密集场所的典型事故教训，形成具有怀柔特色的案例库和优化建议清单，以评促改、以案促学，持续提升实战能力。</w:t>
      </w:r>
    </w:p>
    <w:p w14:paraId="35C02ED8">
      <w:pPr>
        <w:outlineLvl w:val="2"/>
        <w:rPr>
          <w:rFonts w:hint="eastAsia" w:ascii="楷体_GB2312" w:hAnsi="楷体_GB2312" w:eastAsia="楷体_GB2312" w:cs="楷体_GB2312"/>
          <w:b w:val="0"/>
          <w:bCs w:val="0"/>
          <w:color w:val="auto"/>
          <w:lang w:val="en-US" w:eastAsia="zh-CN"/>
        </w:rPr>
      </w:pPr>
      <w:bookmarkStart w:id="54" w:name="_Toc20560"/>
      <w:r>
        <w:rPr>
          <w:rFonts w:hint="eastAsia" w:ascii="楷体_GB2312" w:hAnsi="楷体_GB2312" w:eastAsia="楷体_GB2312" w:cs="楷体_GB2312"/>
          <w:b w:val="0"/>
          <w:bCs w:val="0"/>
          <w:color w:val="auto"/>
          <w:lang w:val="en-US" w:eastAsia="zh-CN"/>
        </w:rPr>
        <w:t>（三）构建应急协同联动工作格局</w:t>
      </w:r>
      <w:bookmarkEnd w:id="54"/>
    </w:p>
    <w:p w14:paraId="7D7D39BD">
      <w:pPr>
        <w:rPr>
          <w:rFonts w:hint="eastAsia"/>
          <w:color w:val="auto"/>
          <w:lang w:val="en-US" w:eastAsia="zh-CN"/>
        </w:rPr>
      </w:pPr>
      <w:r>
        <w:rPr>
          <w:rFonts w:hint="eastAsia"/>
          <w:b/>
          <w:bCs/>
          <w:color w:val="auto"/>
          <w:lang w:val="en-US" w:eastAsia="zh-CN"/>
        </w:rPr>
        <w:t>1.深化军地应急协同联动。</w:t>
      </w:r>
      <w:r>
        <w:rPr>
          <w:rFonts w:hint="eastAsia"/>
          <w:color w:val="auto"/>
          <w:lang w:val="en-US" w:eastAsia="zh-CN"/>
        </w:rPr>
        <w:t>持续深化与驻怀部队、武警支队的联合指挥救援机制，进一步明确军地双方指挥部设置及职责分工。针对怀柔水库、北台上水库等关键点位，逐一明确驻怀部队抢险救援力量的部署与调用流程。</w:t>
      </w:r>
    </w:p>
    <w:p w14:paraId="64106680">
      <w:pPr>
        <w:rPr>
          <w:rFonts w:hint="eastAsia"/>
          <w:color w:val="auto"/>
          <w:lang w:val="en-US" w:eastAsia="zh-CN"/>
        </w:rPr>
      </w:pPr>
      <w:r>
        <w:rPr>
          <w:rFonts w:hint="eastAsia"/>
          <w:b/>
          <w:bCs/>
          <w:color w:val="auto"/>
          <w:lang w:val="en-US" w:eastAsia="zh-CN"/>
        </w:rPr>
        <w:t>2.强化消防救援主力军作用。</w:t>
      </w:r>
      <w:r>
        <w:rPr>
          <w:rFonts w:hint="eastAsia"/>
          <w:color w:val="auto"/>
          <w:lang w:val="en-US" w:eastAsia="zh-CN"/>
        </w:rPr>
        <w:t>建立以区消防救援局为主导的一线应急抢险救援指挥调度机制，完善多场景下分级响应和指挥处置流程，确保在防汛、防火、安全生产等各类事故救援中形成最大合力。</w:t>
      </w:r>
    </w:p>
    <w:p w14:paraId="777D9331">
      <w:pPr>
        <w:rPr>
          <w:rFonts w:hint="eastAsia"/>
          <w:color w:val="auto"/>
          <w:lang w:val="en-US" w:eastAsia="zh-CN"/>
        </w:rPr>
      </w:pPr>
      <w:r>
        <w:rPr>
          <w:rFonts w:hint="eastAsia"/>
          <w:b/>
          <w:bCs/>
          <w:color w:val="auto"/>
          <w:lang w:val="en-US" w:eastAsia="zh-CN"/>
        </w:rPr>
        <w:t>3.纵深推进央地协同。</w:t>
      </w:r>
      <w:r>
        <w:rPr>
          <w:rFonts w:hint="eastAsia"/>
          <w:color w:val="auto"/>
          <w:lang w:val="en-US" w:eastAsia="zh-CN"/>
        </w:rPr>
        <w:t>积极对接在怀的国家专业应急救援队伍（如可能涉及科学城相关科研院所、中国科学院的应急力量），推动其融入全区应急救援力量编成，支持其开展事故灾害预防性安全检查，吸收其负责人作为救援现场指挥部成员，实现央地救援队伍在指挥调度、信息共享、管理保障上的“一盘棋”格局。</w:t>
      </w:r>
    </w:p>
    <w:p w14:paraId="5E6FCECF">
      <w:pPr>
        <w:outlineLvl w:val="2"/>
        <w:rPr>
          <w:rFonts w:hint="eastAsia"/>
          <w:color w:val="auto"/>
          <w:lang w:val="en-US" w:eastAsia="zh-CN"/>
        </w:rPr>
      </w:pPr>
      <w:bookmarkStart w:id="55" w:name="_Toc22661"/>
      <w:r>
        <w:rPr>
          <w:rFonts w:hint="eastAsia" w:ascii="楷体_GB2312" w:hAnsi="楷体_GB2312" w:eastAsia="楷体_GB2312" w:cs="楷体_GB2312"/>
          <w:b w:val="0"/>
          <w:bCs w:val="0"/>
          <w:color w:val="auto"/>
          <w:lang w:val="en-US" w:eastAsia="zh-CN"/>
        </w:rPr>
        <w:t>（四）优化应急预案与实战演练体系</w:t>
      </w:r>
      <w:bookmarkEnd w:id="55"/>
    </w:p>
    <w:p w14:paraId="521CD3A8">
      <w:pPr>
        <w:rPr>
          <w:rFonts w:hint="eastAsia"/>
          <w:color w:val="auto"/>
          <w:lang w:val="en-US" w:eastAsia="zh-CN"/>
        </w:rPr>
      </w:pPr>
      <w:r>
        <w:rPr>
          <w:rFonts w:hint="eastAsia"/>
          <w:b/>
          <w:bCs/>
          <w:color w:val="auto"/>
          <w:lang w:val="en-US" w:eastAsia="zh-CN"/>
        </w:rPr>
        <w:t>1.推进应急预案动态修订与“三化”转型。</w:t>
      </w:r>
      <w:r>
        <w:rPr>
          <w:rFonts w:hint="eastAsia"/>
          <w:color w:val="auto"/>
          <w:lang w:val="en-US" w:eastAsia="zh-CN"/>
        </w:rPr>
        <w:t>结合“25·7”特大暴雨应对经验和怀柔科学城建设、影视旅游发展等新兴业态实际，定期修订完善区、镇乡（街道）两级总体预案和专项预案。重点推动应急预案向“场景化”（如针对特定水库、特定地质灾害隐患点）、“指令化”（明确各级各类人员具体动作）、“清单化”（列明物资、队伍、风险点清单）转变，确保预案可操作、可执行。特别加强对山洪地质灾害险村、下凹式立交桥、旅游景区等关键点位的预案指导。</w:t>
      </w:r>
    </w:p>
    <w:p w14:paraId="7D491E0F">
      <w:pPr>
        <w:rPr>
          <w:rFonts w:hint="eastAsia"/>
          <w:color w:val="auto"/>
          <w:lang w:val="en-US" w:eastAsia="zh-CN"/>
        </w:rPr>
      </w:pPr>
      <w:r>
        <w:rPr>
          <w:rFonts w:hint="eastAsia"/>
          <w:b/>
          <w:bCs/>
          <w:color w:val="auto"/>
          <w:lang w:val="en-US" w:eastAsia="zh-CN"/>
        </w:rPr>
        <w:t>2.强化应急预案演练与评估。</w:t>
      </w:r>
      <w:r>
        <w:rPr>
          <w:rFonts w:hint="eastAsia"/>
          <w:color w:val="auto"/>
          <w:lang w:val="en-US" w:eastAsia="zh-CN"/>
        </w:rPr>
        <w:t>统筹开展多层级、多类型应急演练，重点检验预案的衔接性、科学性和实战性。建立预案动态评估机制，可引入第三方机构定期开展评估，根据评估结果和演练发现的问题，推动预案持续优化，形成“演练－评估－修订”的闭环管理。</w:t>
      </w:r>
    </w:p>
    <w:p w14:paraId="0983E1AE">
      <w:pPr>
        <w:outlineLvl w:val="2"/>
        <w:rPr>
          <w:rFonts w:hint="eastAsia"/>
          <w:color w:val="auto"/>
          <w:lang w:val="en-US" w:eastAsia="zh-CN"/>
        </w:rPr>
      </w:pPr>
      <w:bookmarkStart w:id="56" w:name="_Toc29003"/>
      <w:r>
        <w:rPr>
          <w:rFonts w:hint="eastAsia" w:ascii="楷体_GB2312" w:hAnsi="楷体_GB2312" w:eastAsia="楷体_GB2312" w:cs="楷体_GB2312"/>
          <w:b w:val="0"/>
          <w:bCs w:val="0"/>
          <w:color w:val="auto"/>
          <w:lang w:val="en-US" w:eastAsia="zh-CN"/>
        </w:rPr>
        <w:t>（五）强化重大活动与重点功能区安全保障</w:t>
      </w:r>
      <w:bookmarkEnd w:id="56"/>
    </w:p>
    <w:p w14:paraId="566A7155">
      <w:pPr>
        <w:rPr>
          <w:rFonts w:hint="eastAsia"/>
          <w:color w:val="auto"/>
          <w:lang w:val="en-US" w:eastAsia="zh-CN"/>
        </w:rPr>
      </w:pPr>
      <w:r>
        <w:rPr>
          <w:rFonts w:hint="eastAsia"/>
          <w:b/>
          <w:bCs/>
          <w:color w:val="auto"/>
          <w:lang w:val="en-US" w:eastAsia="zh-CN"/>
        </w:rPr>
        <w:t>1.完善重大活动保障工作机制。</w:t>
      </w:r>
      <w:r>
        <w:rPr>
          <w:rFonts w:hint="eastAsia"/>
          <w:color w:val="auto"/>
          <w:lang w:val="en-US" w:eastAsia="zh-CN"/>
        </w:rPr>
        <w:t>深刻总结并运用好APEC会议、“一带一路”国际合作高峰论坛、北京国际电影节等历次重大活动保障成功经验，建立覆盖“会前风险评估、会中动态监管、会后总结提升”全流程的安全保障机制。针对雁栖湖国际会都，建立常态化、精细化的安保指挥体系。</w:t>
      </w:r>
    </w:p>
    <w:p w14:paraId="7249F5C9">
      <w:pPr>
        <w:rPr>
          <w:rFonts w:hint="eastAsia"/>
          <w:color w:val="auto"/>
          <w:lang w:val="en-US" w:eastAsia="zh-CN"/>
        </w:rPr>
      </w:pPr>
      <w:r>
        <w:rPr>
          <w:rFonts w:hint="eastAsia"/>
          <w:b/>
          <w:bCs/>
          <w:color w:val="auto"/>
          <w:lang w:val="en-US" w:eastAsia="zh-CN"/>
        </w:rPr>
        <w:t>2.健全安全监管与服务标准。</w:t>
      </w:r>
      <w:r>
        <w:rPr>
          <w:rFonts w:hint="eastAsia"/>
          <w:color w:val="auto"/>
          <w:lang w:val="en-US" w:eastAsia="zh-CN"/>
        </w:rPr>
        <w:t>针对雁栖湖国际会都、怀柔科学城核心区等重点区域，相关部门协同制定更严格的重大活动安全生产监管规范和服务保障标准，明确场地设施安全、周边环境治理、人员流线管控、电力通信保障、突发事件应急处突等具体标准，提升保障工作的专业化、精细化水平。</w:t>
      </w:r>
    </w:p>
    <w:p w14:paraId="5D0A934D">
      <w:pPr>
        <w:rPr>
          <w:rFonts w:hint="eastAsia"/>
          <w:color w:val="auto"/>
          <w:lang w:val="en-US" w:eastAsia="zh-CN"/>
        </w:rPr>
      </w:pPr>
      <w:r>
        <w:rPr>
          <w:rFonts w:hint="eastAsia"/>
          <w:b/>
          <w:bCs/>
          <w:color w:val="auto"/>
          <w:lang w:val="en-US" w:eastAsia="zh-CN"/>
        </w:rPr>
        <w:t>3.强化核心区风险防控能力。</w:t>
      </w:r>
      <w:r>
        <w:rPr>
          <w:rFonts w:hint="eastAsia"/>
          <w:color w:val="auto"/>
          <w:lang w:val="en-US" w:eastAsia="zh-CN"/>
        </w:rPr>
        <w:t>对重点活动场所及其周边区域，特别是针对国际会都的设施安全、科学城的危险化学品使用与科研安全、中国影都的拍摄现场消防安全等，常态化开展高标准的风险评估和隐患排查治理，确保各类重大国事活动、国际会议和重要文体活动安全、顺利、圆满举办，持续将怀柔区打造为国际一流的安全保障示范区。</w:t>
      </w:r>
    </w:p>
    <w:p w14:paraId="55DF2D71">
      <w:pPr>
        <w:outlineLvl w:val="1"/>
        <w:rPr>
          <w:rFonts w:hint="eastAsia" w:ascii="黑体" w:hAnsi="黑体" w:eastAsia="黑体" w:cs="黑体"/>
          <w:color w:val="auto"/>
          <w:lang w:val="en-US" w:eastAsia="zh-CN"/>
        </w:rPr>
      </w:pPr>
      <w:bookmarkStart w:id="57" w:name="_Toc23613"/>
      <w:r>
        <w:rPr>
          <w:rFonts w:hint="eastAsia" w:ascii="黑体" w:hAnsi="黑体" w:eastAsia="黑体" w:cs="黑体"/>
          <w:color w:val="auto"/>
          <w:lang w:val="en-US" w:eastAsia="zh-CN"/>
        </w:rPr>
        <w:t>二、安全生产篇：构筑聚焦科学城与山区特色的安全防线</w:t>
      </w:r>
      <w:bookmarkEnd w:id="57"/>
    </w:p>
    <w:p w14:paraId="05F4B061">
      <w:pPr>
        <w:outlineLvl w:val="2"/>
        <w:rPr>
          <w:rFonts w:hint="eastAsia"/>
          <w:color w:val="auto"/>
          <w:lang w:val="en-US" w:eastAsia="zh-CN"/>
        </w:rPr>
      </w:pPr>
      <w:bookmarkStart w:id="58" w:name="_Toc24391"/>
      <w:r>
        <w:rPr>
          <w:rFonts w:hint="eastAsia" w:ascii="楷体_GB2312" w:hAnsi="楷体_GB2312" w:eastAsia="楷体_GB2312" w:cs="楷体_GB2312"/>
          <w:b w:val="0"/>
          <w:bCs w:val="0"/>
          <w:color w:val="auto"/>
          <w:lang w:val="en-US" w:eastAsia="zh-CN"/>
        </w:rPr>
        <w:t>（一）压实全方位安全生产责任</w:t>
      </w:r>
      <w:bookmarkEnd w:id="58"/>
    </w:p>
    <w:p w14:paraId="4DC0D827">
      <w:pPr>
        <w:rPr>
          <w:rFonts w:hint="eastAsia"/>
          <w:color w:val="auto"/>
          <w:lang w:val="en-US" w:eastAsia="zh-CN"/>
        </w:rPr>
      </w:pPr>
      <w:r>
        <w:rPr>
          <w:rFonts w:hint="eastAsia"/>
          <w:b/>
          <w:bCs/>
          <w:color w:val="auto"/>
          <w:lang w:val="en-US" w:eastAsia="zh-CN"/>
        </w:rPr>
        <w:t>1.细化完善责任清单体系。</w:t>
      </w:r>
      <w:r>
        <w:rPr>
          <w:rFonts w:hint="eastAsia"/>
          <w:color w:val="auto"/>
          <w:lang w:val="en-US" w:eastAsia="zh-CN"/>
        </w:rPr>
        <w:t>严格落实“党政同责、一岗双责、齐抓共管、失职追责”要求，深入落实怀柔区安全生产职责分工有关规定，结合区域实际，动态修订区委、区政府领导干部安全生产职责清单和年度重点工作清单。细化“三管三必须”实施细则，前瞻做好新质生产力安全监管，针对怀柔科学城大科学装置运行、新型研发机构实验活动、中国影都影视拍摄新场景、精品民宿与乡村旅游新业态等，及时厘清并明确新兴领域安全监管职责，健全监管机制，坚决消除监管盲区与责任缝隙。</w:t>
      </w:r>
    </w:p>
    <w:p w14:paraId="729690FA">
      <w:pPr>
        <w:rPr>
          <w:rFonts w:hint="eastAsia"/>
          <w:color w:val="auto"/>
          <w:lang w:val="en-US" w:eastAsia="zh-CN"/>
        </w:rPr>
      </w:pPr>
      <w:r>
        <w:rPr>
          <w:rFonts w:hint="eastAsia"/>
          <w:b/>
          <w:bCs/>
          <w:color w:val="auto"/>
          <w:lang w:val="en-US" w:eastAsia="zh-CN"/>
        </w:rPr>
        <w:t>2.健全常态化督考问责机制。</w:t>
      </w:r>
      <w:r>
        <w:rPr>
          <w:rFonts w:hint="eastAsia"/>
          <w:color w:val="auto"/>
          <w:lang w:val="en-US" w:eastAsia="zh-CN"/>
        </w:rPr>
        <w:t>对标市级要求，制定实施《怀柔区安全生产考核巡查实施办法》，科学统筹综合考核巡查与专项巡查、常态化明查暗访与年度考核巡查。优化“四不两直”检查制度，完善重大隐患整改“回头看”机制，对不依法开展隐患排查、重大隐患隐瞒不报、查出隐患后拒不整改等情形坚持“零容忍”，依法依规严肃追责问责，并加大典型案例曝光力度。建立健全常态化监测评估机制，定期开展事故分析评价、重点行业安全态势评估，动态推动相关部门精准调整事故压减措施。</w:t>
      </w:r>
    </w:p>
    <w:p w14:paraId="45BA97F4">
      <w:pPr>
        <w:rPr>
          <w:rFonts w:hint="eastAsia"/>
          <w:color w:val="auto"/>
          <w:lang w:val="en-US" w:eastAsia="zh-CN"/>
        </w:rPr>
      </w:pPr>
      <w:r>
        <w:rPr>
          <w:rFonts w:hint="eastAsia"/>
          <w:b/>
          <w:bCs/>
          <w:color w:val="auto"/>
          <w:lang w:val="en-US" w:eastAsia="zh-CN"/>
        </w:rPr>
        <w:t>3.全面压实企业主体责任。</w:t>
      </w:r>
      <w:r>
        <w:rPr>
          <w:rFonts w:hint="eastAsia"/>
          <w:color w:val="auto"/>
          <w:lang w:val="en-US" w:eastAsia="zh-CN"/>
        </w:rPr>
        <w:t>全面推行企业主要负责人安全生产履职尽责承诺制，建立重点企业“一企一档”责任清单。指导企业建立健全从主要负责人、安全管理人员到一线从业人员的全员安全生产责任制，完善事故隐患内部报告奖励和安全监督检查等工作机制，确保责任落实到岗、到人，激发企业内生动力。</w:t>
      </w:r>
    </w:p>
    <w:p w14:paraId="1D56A66C">
      <w:pPr>
        <w:outlineLvl w:val="2"/>
        <w:rPr>
          <w:rFonts w:hint="eastAsia"/>
          <w:color w:val="auto"/>
          <w:lang w:val="en-US" w:eastAsia="zh-CN"/>
        </w:rPr>
      </w:pPr>
      <w:bookmarkStart w:id="59" w:name="_Toc8056"/>
      <w:r>
        <w:rPr>
          <w:rFonts w:hint="eastAsia" w:ascii="楷体_GB2312" w:hAnsi="楷体_GB2312" w:eastAsia="楷体_GB2312" w:cs="楷体_GB2312"/>
          <w:b w:val="0"/>
          <w:bCs w:val="0"/>
          <w:color w:val="auto"/>
          <w:lang w:val="en-US" w:eastAsia="zh-CN"/>
        </w:rPr>
        <w:t>（二）创新安全监管工作机制</w:t>
      </w:r>
      <w:bookmarkEnd w:id="59"/>
    </w:p>
    <w:p w14:paraId="3D05E93C">
      <w:pPr>
        <w:rPr>
          <w:rFonts w:hint="eastAsia"/>
          <w:color w:val="auto"/>
          <w:lang w:val="en-US" w:eastAsia="zh-CN"/>
        </w:rPr>
      </w:pPr>
      <w:r>
        <w:rPr>
          <w:rFonts w:hint="eastAsia"/>
          <w:b/>
          <w:bCs/>
          <w:color w:val="auto"/>
          <w:lang w:val="en-US" w:eastAsia="zh-CN"/>
        </w:rPr>
        <w:t>1.优化安委会运行机制。</w:t>
      </w:r>
      <w:r>
        <w:rPr>
          <w:rFonts w:hint="eastAsia"/>
          <w:color w:val="auto"/>
          <w:lang w:val="en-US" w:eastAsia="zh-CN"/>
        </w:rPr>
        <w:t>强化区安委会及其办公室统筹协调职能，健全季度风险研判、月度专项调度工作机制。常态化设立专项整治专班，提升专业领域风险防控与治理的深度与精度。</w:t>
      </w:r>
    </w:p>
    <w:p w14:paraId="66994C0E">
      <w:pPr>
        <w:rPr>
          <w:rFonts w:hint="eastAsia"/>
          <w:color w:val="auto"/>
          <w:lang w:val="en-US" w:eastAsia="zh-CN"/>
        </w:rPr>
      </w:pPr>
      <w:r>
        <w:rPr>
          <w:rFonts w:hint="eastAsia"/>
          <w:b/>
          <w:bCs/>
          <w:color w:val="auto"/>
          <w:lang w:val="en-US" w:eastAsia="zh-CN"/>
        </w:rPr>
        <w:t>2.完善隐患排查治理模式。</w:t>
      </w:r>
      <w:r>
        <w:rPr>
          <w:rFonts w:hint="eastAsia"/>
          <w:color w:val="auto"/>
          <w:lang w:val="en-US" w:eastAsia="zh-CN"/>
        </w:rPr>
        <w:t>全面推广应用“企安安”信息系统，实现企业自查、部门检查、隐患整改、验收销账的全链条数字化闭环管理。建立健全“抽查—反馈—再抽查—再反馈”的隐患抽检评估机制，针对科学城实验室、中国影都拍摄基地、重点旅游景区、大型商业综合体等制定专项检查清单，提升隐患排查治理的针对性和效能。</w:t>
      </w:r>
    </w:p>
    <w:p w14:paraId="44892214">
      <w:pPr>
        <w:rPr>
          <w:rFonts w:hint="eastAsia"/>
          <w:color w:val="auto"/>
          <w:lang w:val="en-US" w:eastAsia="zh-CN"/>
        </w:rPr>
      </w:pPr>
      <w:r>
        <w:rPr>
          <w:rFonts w:hint="eastAsia"/>
          <w:b/>
          <w:bCs/>
          <w:color w:val="auto"/>
          <w:lang w:val="en-US" w:eastAsia="zh-CN"/>
        </w:rPr>
        <w:t>3.强化风险分级预警防控。</w:t>
      </w:r>
      <w:r>
        <w:rPr>
          <w:rFonts w:hint="eastAsia"/>
          <w:color w:val="auto"/>
          <w:lang w:val="en-US" w:eastAsia="zh-CN"/>
        </w:rPr>
        <w:t>健全安全生产风险分级管控体系，基于安全风险评估成果，绘制科学城、中国影都、重点山区旅游路线等区域的安全风险“红橙黄蓝”四色动态地图，建立重大风险早识别、早预警、早处置机制。推动风险隐患实现分区域动态研判、分行业精准施策、分类分级闭环管控。</w:t>
      </w:r>
    </w:p>
    <w:p w14:paraId="34976502">
      <w:pPr>
        <w:outlineLvl w:val="2"/>
        <w:rPr>
          <w:rFonts w:hint="eastAsia"/>
          <w:color w:val="auto"/>
          <w:lang w:val="en-US" w:eastAsia="zh-CN"/>
        </w:rPr>
      </w:pPr>
      <w:bookmarkStart w:id="60" w:name="_Toc1067"/>
      <w:r>
        <w:rPr>
          <w:rFonts w:hint="eastAsia" w:ascii="楷体_GB2312" w:hAnsi="楷体_GB2312" w:eastAsia="楷体_GB2312" w:cs="楷体_GB2312"/>
          <w:b w:val="0"/>
          <w:bCs w:val="0"/>
          <w:color w:val="auto"/>
          <w:lang w:val="en-US" w:eastAsia="zh-CN"/>
        </w:rPr>
        <w:t>（三）实施重点行业领域攻坚治理</w:t>
      </w:r>
      <w:bookmarkEnd w:id="60"/>
    </w:p>
    <w:p w14:paraId="7293B17B">
      <w:pPr>
        <w:rPr>
          <w:rFonts w:hint="eastAsia"/>
          <w:color w:val="auto"/>
          <w:lang w:val="en-US" w:eastAsia="zh-CN"/>
        </w:rPr>
      </w:pPr>
      <w:r>
        <w:rPr>
          <w:rFonts w:hint="eastAsia"/>
          <w:b/>
          <w:bCs/>
          <w:color w:val="auto"/>
          <w:lang w:val="en-US" w:eastAsia="zh-CN"/>
        </w:rPr>
        <w:t>1.道路交通治理攻坚。</w:t>
      </w:r>
      <w:r>
        <w:rPr>
          <w:rFonts w:hint="eastAsia"/>
          <w:color w:val="auto"/>
          <w:lang w:val="en-US" w:eastAsia="zh-CN"/>
        </w:rPr>
        <w:t>持续强化“两客一危一货”、山区高风险路段、旅游高峰期的交通安全监管。“一点一策”推动事故易发多发路口、路段隐患排查治理，科学增设完善安全防护设施，提升山区旅游道路安全保障水平。落实旅游客车、危险物品运输车辆等营运车辆安全技术准入标准，推广安装智能视频监控报警、防碰撞和整车安全运行监管技术装备，提高运营车辆安全性能。强化数字监管，探索开展交通运输企业运营车辆“赋码管理”，推动企业不断提升安全生产水平。持续推进老旧桥梁升级改造，强化在役在建公路基础设施安全防护。</w:t>
      </w:r>
    </w:p>
    <w:p w14:paraId="5D3D8B59">
      <w:pPr>
        <w:rPr>
          <w:rFonts w:hint="eastAsia"/>
          <w:color w:val="auto"/>
          <w:lang w:val="en-US" w:eastAsia="zh-CN"/>
        </w:rPr>
      </w:pPr>
      <w:r>
        <w:rPr>
          <w:rFonts w:hint="eastAsia"/>
          <w:b/>
          <w:bCs/>
          <w:color w:val="auto"/>
          <w:lang w:val="en-US" w:eastAsia="zh-CN"/>
        </w:rPr>
        <w:t>2.建筑施工治理攻坚。</w:t>
      </w:r>
      <w:r>
        <w:rPr>
          <w:rFonts w:hint="eastAsia"/>
          <w:b w:val="0"/>
          <w:bCs w:val="0"/>
          <w:color w:val="auto"/>
          <w:lang w:val="en-US" w:eastAsia="zh-CN"/>
        </w:rPr>
        <w:t>健全建筑施工安全事前预防机制，</w:t>
      </w:r>
      <w:r>
        <w:rPr>
          <w:rFonts w:hint="eastAsia"/>
          <w:color w:val="auto"/>
          <w:lang w:val="en-US" w:eastAsia="zh-CN"/>
        </w:rPr>
        <w:t>严格依法查处转包、违法分包、挂靠、租借资质、超越资质承揽工程等行为，加大对科学城、国际会都、中国影都等重点区域及高风险时段的监督检查力度。聚焦深基坑、高大模板、起重机械等重大危险源，推行智能化监测设备安装使用。加快信息技术与建筑业深度融合，推广智能建造等新型建造方式，推动高危行业“机械化换人、自动化减人”，逐步淘汰高风险的工艺和技术，提升施工安全治理效能。</w:t>
      </w:r>
    </w:p>
    <w:p w14:paraId="41EB9394">
      <w:pPr>
        <w:rPr>
          <w:rFonts w:hint="eastAsia"/>
          <w:color w:val="auto"/>
          <w:lang w:val="en-US" w:eastAsia="zh-CN"/>
        </w:rPr>
      </w:pPr>
      <w:r>
        <w:rPr>
          <w:rFonts w:hint="eastAsia"/>
          <w:b/>
          <w:bCs/>
          <w:color w:val="auto"/>
          <w:lang w:val="en-US" w:eastAsia="zh-CN"/>
        </w:rPr>
        <w:t>3.城镇燃气治理攻坚。</w:t>
      </w:r>
      <w:r>
        <w:rPr>
          <w:rFonts w:hint="eastAsia"/>
          <w:color w:val="auto"/>
          <w:lang w:val="en-US" w:eastAsia="zh-CN"/>
        </w:rPr>
        <w:t>结合燃气管线老化评估情况，有序推进燃气管线更新改造，同步加装智能感知设备，构建“动态感知+人巡+车巡”风险预警体系。严格落实地下管线保护管理规定，规范以小区内和小型施工为重点的各类施工行为，加大对施工破坏燃气管道行为的执法力度，压减施工外力破坏燃气管线事故。优化入户安检方式，提高到访成功率，实现安全型配件应装尽装。强化燃气用具和配件安全管理，推进线上线下一体化监管，依法查处生产销售不合格产品行为。针对山区旅游民宿和民俗户，强化液化石油气使用安全专项整治，严防燃气事故发生。</w:t>
      </w:r>
    </w:p>
    <w:p w14:paraId="6BE10079">
      <w:pPr>
        <w:rPr>
          <w:rFonts w:hint="eastAsia"/>
          <w:color w:val="auto"/>
          <w:lang w:val="en-US" w:eastAsia="zh-CN"/>
        </w:rPr>
      </w:pPr>
      <w:r>
        <w:rPr>
          <w:rFonts w:hint="eastAsia"/>
          <w:b/>
          <w:bCs/>
          <w:color w:val="auto"/>
          <w:lang w:val="en-US" w:eastAsia="zh-CN"/>
        </w:rPr>
        <w:t>4.电动自行车治理攻坚。</w:t>
      </w:r>
      <w:r>
        <w:rPr>
          <w:rFonts w:hint="eastAsia"/>
          <w:color w:val="auto"/>
          <w:lang w:val="en-US" w:eastAsia="zh-CN"/>
        </w:rPr>
        <w:t>加强快递、外卖等重点领域电动自行车安全管理，制定快递、外卖等服务行业电动自行车管理规定，全面压实平台安全主体责任。加强住宅小区电动自行车全覆盖检查，推进居住建筑电动自行车进电梯智能阻止器安装率达到100%，严防电动自行车及电池“进楼入户”，实现电动自行车火灾总量逐年下降。配合市级做好电动自行车产品目录抽检，依法查处不合格产品及改装行为。持续加强电动自行车通行秩序管理，力争涉电动自行车责任交通死亡事故逐步减少。结合怀柔旅游景区实际，加强对景区、民宿周边电动自行车停放充电的规范管理。</w:t>
      </w:r>
    </w:p>
    <w:p w14:paraId="40FCB640">
      <w:pPr>
        <w:rPr>
          <w:rFonts w:hint="eastAsia"/>
          <w:color w:val="auto"/>
          <w:lang w:val="en-US" w:eastAsia="zh-CN"/>
        </w:rPr>
      </w:pPr>
      <w:r>
        <w:rPr>
          <w:rFonts w:hint="eastAsia"/>
          <w:b/>
          <w:bCs/>
          <w:color w:val="auto"/>
          <w:lang w:val="en-US" w:eastAsia="zh-CN"/>
        </w:rPr>
        <w:t>5.施工动火作业治理攻坚。</w:t>
      </w:r>
      <w:r>
        <w:rPr>
          <w:rFonts w:hint="eastAsia"/>
          <w:color w:val="auto"/>
          <w:lang w:val="en-US" w:eastAsia="zh-CN"/>
        </w:rPr>
        <w:t>聚焦人员密集场所、科学城建设工地等施工动火作业全流程管控，构建责任清晰、流程规范、过程监督、风险预警、闭环处置的全链条治理体系。严格落实动火审批报备、人员持证上岗、作业现场“六必须”等安全管控措施，严格限制“边营业边施工”。分类型、分场所，针对性研判火灾风险点，细化完善动火作业“前中后”安全操作规程。加大动火作业联合监督检查和行业指导，有效遏制动火作业违法违规行为，不发生重特大或有影响的火灾事故。</w:t>
      </w:r>
    </w:p>
    <w:p w14:paraId="1B9B5973">
      <w:pPr>
        <w:rPr>
          <w:rFonts w:hint="eastAsia"/>
          <w:color w:val="auto"/>
          <w:lang w:val="en-US" w:eastAsia="zh-CN"/>
        </w:rPr>
      </w:pPr>
      <w:r>
        <w:rPr>
          <w:rFonts w:hint="eastAsia"/>
          <w:b/>
          <w:bCs/>
          <w:color w:val="auto"/>
          <w:lang w:val="en-US" w:eastAsia="zh-CN"/>
        </w:rPr>
        <w:t>6.建筑保温材料治理攻坚。</w:t>
      </w:r>
      <w:r>
        <w:rPr>
          <w:rFonts w:hint="eastAsia"/>
          <w:color w:val="auto"/>
          <w:lang w:val="en-US" w:eastAsia="zh-CN"/>
        </w:rPr>
        <w:t>持续加强对产品质量不达标、建设施工违规违章，以及既有建筑、冷库、室内冰雪场馆保温材料安全监管力度。加大生产流通环节产品质量安全监督抽查频次，严格查处质量违法行为。组织高层民用建筑产权所有人对外墙外保温开展常态化排查、评估，推动设有建筑外墙外保温系统的高层民用建筑“一楼一牌”100%设置。畅通多部门联合督导检查、线索移交、监管执法机制，强化冷库和室内冰雪场馆协同监督管理，确保建筑保温材料消防安全形势稳定。</w:t>
      </w:r>
    </w:p>
    <w:p w14:paraId="7A23C476">
      <w:pPr>
        <w:rPr>
          <w:rFonts w:hint="eastAsia"/>
          <w:color w:val="auto"/>
          <w:lang w:val="en-US" w:eastAsia="zh-CN"/>
        </w:rPr>
      </w:pPr>
      <w:r>
        <w:rPr>
          <w:rFonts w:hint="eastAsia"/>
          <w:b/>
          <w:bCs/>
          <w:color w:val="auto"/>
          <w:lang w:val="en-US" w:eastAsia="zh-CN"/>
        </w:rPr>
        <w:t>7.危险化学品治理攻坚。</w:t>
      </w:r>
      <w:r>
        <w:rPr>
          <w:rFonts w:hint="eastAsia"/>
          <w:color w:val="auto"/>
          <w:lang w:val="en-US" w:eastAsia="zh-CN"/>
        </w:rPr>
        <w:t>聚焦怀柔科学城涉危科研院所、重点企业等，强化危险化学品经营、运输、储存、使用、废弃物处置等环节的全链条安全管理。配合市级推进京津冀危险化学品协同储存体系建设，在区内布局危险化学品周转节点，构建专业化、梯次化的危险化学品末端配送网络。开展常态化危险化学品“打非治违”。</w:t>
      </w:r>
    </w:p>
    <w:p w14:paraId="619C1B8D">
      <w:pPr>
        <w:rPr>
          <w:rFonts w:hint="eastAsia"/>
          <w:color w:val="auto"/>
          <w:highlight w:val="none"/>
          <w:lang w:val="en-US" w:eastAsia="zh-CN"/>
        </w:rPr>
      </w:pPr>
      <w:r>
        <w:rPr>
          <w:rFonts w:hint="eastAsia"/>
          <w:b/>
          <w:bCs/>
          <w:color w:val="auto"/>
          <w:lang w:val="en-US" w:eastAsia="zh-CN"/>
        </w:rPr>
        <w:t>8.工贸行业精准化监管。</w:t>
      </w:r>
      <w:r>
        <w:rPr>
          <w:rFonts w:hint="eastAsia"/>
          <w:b w:val="0"/>
          <w:bCs w:val="0"/>
          <w:color w:val="auto"/>
          <w:lang w:val="en-US" w:eastAsia="zh-CN"/>
        </w:rPr>
        <w:t>对涉爆粉尘（如木粉尘、金属粉尘等）、有限空间、涉危使用等重点工业企业开展全覆盖专家指导服务和安全风险分级核查。</w:t>
      </w:r>
      <w:r>
        <w:rPr>
          <w:rFonts w:hint="eastAsia"/>
          <w:color w:val="auto"/>
          <w:highlight w:val="none"/>
          <w:lang w:val="en-US" w:eastAsia="zh-CN"/>
        </w:rPr>
        <w:t>完成重点工贸企业有限空间作业管理台账建立、风险分级评定。建立健全有限空间作业智能化监管工作机制，积极推动本地区工贸企业高风险有限空间作业实现智能化监管。</w:t>
      </w:r>
    </w:p>
    <w:p w14:paraId="0A24A065">
      <w:pPr>
        <w:rPr>
          <w:rFonts w:hint="eastAsia"/>
          <w:color w:val="auto"/>
          <w:lang w:val="en-US" w:eastAsia="zh-CN"/>
        </w:rPr>
      </w:pPr>
      <w:r>
        <w:rPr>
          <w:rFonts w:hint="eastAsia"/>
          <w:b/>
          <w:bCs/>
          <w:color w:val="auto"/>
          <w:lang w:val="en-US" w:eastAsia="zh-CN"/>
        </w:rPr>
        <w:t>9.重大事故隐患治理攻坚。</w:t>
      </w:r>
      <w:r>
        <w:rPr>
          <w:rFonts w:hint="eastAsia"/>
          <w:color w:val="auto"/>
          <w:lang w:val="en-US" w:eastAsia="zh-CN"/>
        </w:rPr>
        <w:t>聚焦危险化学品、消防、建筑施工、道路交通、工贸等重点行业领域，每年组织开展一轮重大事故隐患判定标准宣贯培训，提升重大事故隐患排查能力。健全落实重大事故隐患治理督办制度，强化政府负有安全监管职责部门审核把关销号机制，确保重大事故隐患照单逐条整改销号、动态清零。</w:t>
      </w:r>
    </w:p>
    <w:p w14:paraId="282D234A">
      <w:pPr>
        <w:rPr>
          <w:rFonts w:hint="eastAsia"/>
          <w:color w:val="auto"/>
          <w:lang w:val="en-US" w:eastAsia="zh-CN"/>
        </w:rPr>
      </w:pPr>
      <w:r>
        <w:rPr>
          <w:rFonts w:hint="eastAsia"/>
          <w:b/>
          <w:bCs/>
          <w:color w:val="auto"/>
          <w:lang w:val="en-US" w:eastAsia="zh-CN"/>
        </w:rPr>
        <w:t>10.城市基础设施生命线安全工程。</w:t>
      </w:r>
      <w:r>
        <w:rPr>
          <w:rFonts w:hint="eastAsia"/>
          <w:color w:val="auto"/>
          <w:lang w:val="en-US" w:eastAsia="zh-CN"/>
        </w:rPr>
        <w:t>加快推进燃气、热力、供排水等老旧管线更新改造，持续推进电力架空线入地。深化对地下管线、有限空间的风险隐患排查，实现隐患点“应改尽改”、动态清零。加强水、电、气、热等城市运行安全监测感知能力建设，提升安全风险全域感知和全时段监测预警能力，保障城市运行安全。</w:t>
      </w:r>
    </w:p>
    <w:p w14:paraId="204E228D">
      <w:pPr>
        <w:outlineLvl w:val="2"/>
        <w:rPr>
          <w:rFonts w:hint="eastAsia"/>
          <w:color w:val="auto"/>
          <w:lang w:val="en-US" w:eastAsia="zh-CN"/>
        </w:rPr>
      </w:pPr>
      <w:bookmarkStart w:id="61" w:name="_Toc8884"/>
      <w:r>
        <w:rPr>
          <w:rFonts w:hint="eastAsia" w:ascii="楷体_GB2312" w:hAnsi="楷体_GB2312" w:eastAsia="楷体_GB2312" w:cs="楷体_GB2312"/>
          <w:b w:val="0"/>
          <w:bCs w:val="0"/>
          <w:color w:val="auto"/>
          <w:lang w:val="en-US" w:eastAsia="zh-CN"/>
        </w:rPr>
        <w:t>（四）推动本质安全能级跃升</w:t>
      </w:r>
      <w:bookmarkEnd w:id="61"/>
    </w:p>
    <w:p w14:paraId="65434D42">
      <w:pPr>
        <w:rPr>
          <w:rFonts w:hint="eastAsia"/>
          <w:color w:val="auto"/>
          <w:lang w:val="en-US" w:eastAsia="zh-CN"/>
        </w:rPr>
      </w:pPr>
      <w:r>
        <w:rPr>
          <w:rFonts w:hint="eastAsia"/>
          <w:b/>
          <w:bCs/>
          <w:color w:val="auto"/>
          <w:lang w:val="en-US" w:eastAsia="zh-CN"/>
        </w:rPr>
        <w:t>1.持续推进安全生产标准化建设。</w:t>
      </w:r>
      <w:r>
        <w:rPr>
          <w:rFonts w:hint="eastAsia"/>
          <w:color w:val="auto"/>
          <w:lang w:val="en-US" w:eastAsia="zh-CN"/>
        </w:rPr>
        <w:t>健全标准化评审与复核机制，推动标准化与双重预防机制、执法检查、信用管理等深度融合，培育企业自评员队伍，提升自主创建能力。分类施策推进小微企业轻量化创建，简化流程、强化帮扶，引导规上企业打造标准化标杆。落实激励政策，实施分级分类监管，深化科技赋能，完善动态管理，持续提升标准化建设质量与本质安全水平。</w:t>
      </w:r>
    </w:p>
    <w:p w14:paraId="024959AF">
      <w:pPr>
        <w:rPr>
          <w:rFonts w:hint="eastAsia"/>
          <w:color w:val="auto"/>
          <w:lang w:val="en-US" w:eastAsia="zh-CN"/>
        </w:rPr>
      </w:pPr>
      <w:r>
        <w:rPr>
          <w:rFonts w:hint="eastAsia"/>
          <w:b/>
          <w:bCs/>
          <w:color w:val="auto"/>
          <w:lang w:val="en-US" w:eastAsia="zh-CN"/>
        </w:rPr>
        <w:t>2.强化重大安全风险源头管控。</w:t>
      </w:r>
      <w:r>
        <w:rPr>
          <w:rFonts w:hint="eastAsia"/>
          <w:color w:val="auto"/>
          <w:lang w:val="en-US" w:eastAsia="zh-CN"/>
        </w:rPr>
        <w:t>严格执行重点区域安全生产禁止和限制类产业目录。加强水、电、气、热、交通等城市运行安全，以及高层建筑、大型商业综合体、地下空间等领域监测感知建设，提升安全风险全域感知和全时段监测预警能力。</w:t>
      </w:r>
    </w:p>
    <w:p w14:paraId="6C3C3745">
      <w:pPr>
        <w:rPr>
          <w:rFonts w:hint="eastAsia"/>
          <w:color w:val="auto"/>
          <w:lang w:val="en-US" w:eastAsia="zh-CN"/>
        </w:rPr>
      </w:pPr>
      <w:r>
        <w:rPr>
          <w:rFonts w:hint="eastAsia"/>
          <w:b/>
          <w:bCs/>
          <w:color w:val="auto"/>
          <w:lang w:val="en-US" w:eastAsia="zh-CN"/>
        </w:rPr>
        <w:t>3.推进科技兴安与智慧监管。</w:t>
      </w:r>
      <w:r>
        <w:rPr>
          <w:rFonts w:hint="eastAsia"/>
          <w:color w:val="auto"/>
          <w:lang w:val="en-US" w:eastAsia="zh-CN"/>
        </w:rPr>
        <w:t>深入实施“工业互联网+安全生产”行动计划。探索应用无人机、机器人参与山区道路巡检、重点林区防火巡查、有限空间作业监护等。加强对科学城相关产业配套气体企业的安全管理研究，防范“输入型”安全风险。推动重点营运车辆驾驶员实时监测预警设备的普及应用。</w:t>
      </w:r>
    </w:p>
    <w:p w14:paraId="0C752498">
      <w:pPr>
        <w:rPr>
          <w:rFonts w:hint="eastAsia"/>
          <w:color w:val="auto"/>
          <w:lang w:val="en-US" w:eastAsia="zh-CN"/>
        </w:rPr>
      </w:pPr>
      <w:r>
        <w:rPr>
          <w:rFonts w:hint="eastAsia"/>
          <w:b/>
          <w:bCs/>
          <w:color w:val="auto"/>
          <w:lang w:val="en-US" w:eastAsia="zh-CN"/>
        </w:rPr>
        <w:t>4.完善安全发展保障体系。</w:t>
      </w:r>
      <w:r>
        <w:rPr>
          <w:rFonts w:hint="eastAsia"/>
          <w:color w:val="auto"/>
          <w:lang w:val="en-US" w:eastAsia="zh-CN"/>
        </w:rPr>
        <w:t>深化安责险事故预防服务工作机制。实施“安全素质提升工程”，依托在线培训平台，重点加强企业主要负责人、安全管理人员、特种作业人员，以及民宿经营者、科学城实验室安全员的培训考核，提升全员安全素养。</w:t>
      </w:r>
    </w:p>
    <w:p w14:paraId="77833AB9">
      <w:pPr>
        <w:outlineLvl w:val="2"/>
        <w:rPr>
          <w:rFonts w:hint="eastAsia" w:ascii="楷体_GB2312" w:hAnsi="楷体_GB2312" w:eastAsia="楷体_GB2312" w:cs="楷体_GB2312"/>
          <w:b w:val="0"/>
          <w:bCs w:val="0"/>
          <w:color w:val="auto"/>
          <w:lang w:val="en-US" w:eastAsia="zh-CN"/>
        </w:rPr>
      </w:pPr>
      <w:bookmarkStart w:id="62" w:name="_Toc27614"/>
      <w:r>
        <w:rPr>
          <w:rFonts w:hint="eastAsia" w:ascii="楷体_GB2312" w:hAnsi="楷体_GB2312" w:eastAsia="楷体_GB2312" w:cs="楷体_GB2312"/>
          <w:b w:val="0"/>
          <w:bCs w:val="0"/>
          <w:color w:val="auto"/>
          <w:lang w:val="en-US" w:eastAsia="zh-CN"/>
        </w:rPr>
        <w:t>（五）增强安全生产执法效能</w:t>
      </w:r>
      <w:bookmarkEnd w:id="62"/>
    </w:p>
    <w:p w14:paraId="65D55A33">
      <w:pPr>
        <w:rPr>
          <w:rFonts w:hint="eastAsia"/>
          <w:color w:val="auto"/>
          <w:lang w:val="en-US" w:eastAsia="zh-CN"/>
        </w:rPr>
      </w:pPr>
      <w:r>
        <w:rPr>
          <w:rFonts w:hint="eastAsia"/>
          <w:b/>
          <w:bCs/>
          <w:color w:val="auto"/>
          <w:lang w:val="en-US" w:eastAsia="zh-CN"/>
        </w:rPr>
        <w:t>1.加强执法队伍建设。</w:t>
      </w:r>
      <w:r>
        <w:rPr>
          <w:rFonts w:hint="eastAsia"/>
          <w:color w:val="auto"/>
          <w:lang w:val="en-US" w:eastAsia="zh-CN"/>
        </w:rPr>
        <w:t>深入推进应急管理综合行政执法改革，配齐配强与区域监管任务（特别是科学城、山区旅游等）相适应的专业执法力量。加强执法人员法治培训，提升依法行政能力，确保执法人员持证上岗率达到100%，法律专业背景人员占比逐步提升。</w:t>
      </w:r>
    </w:p>
    <w:p w14:paraId="22794FF8">
      <w:pPr>
        <w:rPr>
          <w:rFonts w:hint="eastAsia"/>
          <w:color w:val="auto"/>
          <w:lang w:val="en-US" w:eastAsia="zh-CN"/>
        </w:rPr>
      </w:pPr>
      <w:r>
        <w:rPr>
          <w:rFonts w:hint="eastAsia"/>
          <w:b/>
          <w:bCs/>
          <w:color w:val="auto"/>
          <w:lang w:val="en-US" w:eastAsia="zh-CN"/>
        </w:rPr>
        <w:t>2.创新监管执法方式。</w:t>
      </w:r>
      <w:r>
        <w:rPr>
          <w:rFonts w:hint="eastAsia"/>
          <w:color w:val="auto"/>
          <w:lang w:val="en-US" w:eastAsia="zh-CN"/>
        </w:rPr>
        <w:t>大力推广“互联网+执法”模式，运用物联网监测、视频智能分析等技术手段提升非现场监管能力。严格落实规范涉企行政检查，深化“综合查一次”执法方式，加强对监管对象的合规指引。</w:t>
      </w:r>
    </w:p>
    <w:p w14:paraId="3A482D63">
      <w:pPr>
        <w:rPr>
          <w:rFonts w:hint="eastAsia" w:ascii="黑体" w:hAnsi="黑体" w:eastAsia="黑体" w:cs="黑体"/>
          <w:color w:val="auto"/>
          <w:lang w:val="en-US" w:eastAsia="zh-CN"/>
        </w:rPr>
      </w:pPr>
      <w:r>
        <w:rPr>
          <w:rFonts w:hint="eastAsia"/>
          <w:b/>
          <w:bCs/>
          <w:color w:val="auto"/>
          <w:lang w:val="en-US" w:eastAsia="zh-CN"/>
        </w:rPr>
        <w:t>3.实施精准分类执法。</w:t>
      </w:r>
      <w:r>
        <w:rPr>
          <w:rFonts w:hint="eastAsia"/>
          <w:color w:val="auto"/>
          <w:lang w:val="en-US" w:eastAsia="zh-CN"/>
        </w:rPr>
        <w:t>完善企业安全生产分级分类监管标准，根据企业风险等级、信用状况等，对高风险企业实行“有计划”重点检查，对诚信守法企业实施“减频次”差异化监管，实现精准执法与优化营商环境的有机统一，做到“无事不扰、有求必应、执法必严”。</w:t>
      </w:r>
    </w:p>
    <w:p w14:paraId="6633497E">
      <w:pPr>
        <w:outlineLvl w:val="1"/>
        <w:rPr>
          <w:rFonts w:hint="eastAsia" w:ascii="黑体" w:hAnsi="黑体" w:eastAsia="黑体" w:cs="黑体"/>
          <w:color w:val="auto"/>
          <w:lang w:val="en-US" w:eastAsia="zh-CN"/>
        </w:rPr>
      </w:pPr>
      <w:bookmarkStart w:id="63" w:name="_Toc16890"/>
      <w:r>
        <w:rPr>
          <w:rFonts w:hint="eastAsia" w:ascii="黑体" w:hAnsi="黑体" w:eastAsia="黑体" w:cs="黑体"/>
          <w:color w:val="auto"/>
          <w:lang w:val="en-US" w:eastAsia="zh-CN"/>
        </w:rPr>
        <w:t>三、灾害防御篇：建设山水融合的韧性安全家园</w:t>
      </w:r>
      <w:bookmarkEnd w:id="63"/>
    </w:p>
    <w:p w14:paraId="1CE8383D">
      <w:pPr>
        <w:outlineLvl w:val="2"/>
        <w:rPr>
          <w:rFonts w:hint="eastAsia"/>
          <w:color w:val="auto"/>
          <w:lang w:val="en-US" w:eastAsia="zh-CN"/>
        </w:rPr>
      </w:pPr>
      <w:bookmarkStart w:id="64" w:name="_Toc2824"/>
      <w:r>
        <w:rPr>
          <w:rFonts w:hint="eastAsia" w:ascii="楷体_GB2312" w:hAnsi="楷体_GB2312" w:eastAsia="楷体_GB2312" w:cs="楷体_GB2312"/>
          <w:b w:val="0"/>
          <w:bCs w:val="0"/>
          <w:color w:val="auto"/>
          <w:lang w:val="en-US" w:eastAsia="zh-CN"/>
        </w:rPr>
        <w:t>（一）健全自然灾害防治责任与机制</w:t>
      </w:r>
      <w:bookmarkEnd w:id="64"/>
    </w:p>
    <w:p w14:paraId="501AC8B7">
      <w:pPr>
        <w:rPr>
          <w:rFonts w:hint="eastAsia"/>
          <w:color w:val="auto"/>
          <w:lang w:val="en-US" w:eastAsia="zh-CN"/>
        </w:rPr>
      </w:pPr>
      <w:r>
        <w:rPr>
          <w:rFonts w:hint="eastAsia"/>
          <w:b/>
          <w:bCs/>
          <w:color w:val="auto"/>
          <w:lang w:val="en-US" w:eastAsia="zh-CN"/>
        </w:rPr>
        <w:t>1.完善统筹协调与责任体系。</w:t>
      </w:r>
      <w:r>
        <w:rPr>
          <w:rFonts w:hint="eastAsia"/>
          <w:color w:val="auto"/>
          <w:lang w:val="en-US" w:eastAsia="zh-CN"/>
        </w:rPr>
        <w:t>强化区防灾减灾救灾委员会及其办公室的综合统筹职能，健全“平时区防减救灾委综合统筹、急时各专业指挥部分工负责”的防灾减灾救灾工作格局。完善防汛抗旱、森林防灭火、抗震救灾、地质灾害防治等专项指挥部协同联动机制，明确应急管理、水务、规自、园林、气象等部门职责边界，形成统一指挥、分工负责、闭环落实的防灾减灾工作格局。</w:t>
      </w:r>
    </w:p>
    <w:p w14:paraId="6AC7F495">
      <w:pPr>
        <w:rPr>
          <w:rFonts w:hint="eastAsia"/>
          <w:color w:val="auto"/>
          <w:lang w:val="en-US" w:eastAsia="zh-CN"/>
        </w:rPr>
      </w:pPr>
      <w:r>
        <w:rPr>
          <w:rFonts w:hint="eastAsia"/>
          <w:b/>
          <w:bCs/>
          <w:color w:val="auto"/>
          <w:lang w:val="en-US" w:eastAsia="zh-CN"/>
        </w:rPr>
        <w:t>2.健全极端天气应对机制。</w:t>
      </w:r>
      <w:r>
        <w:rPr>
          <w:rFonts w:hint="eastAsia"/>
          <w:color w:val="auto"/>
          <w:lang w:val="en-US" w:eastAsia="zh-CN"/>
        </w:rPr>
        <w:t>聚焦汛期“不亡人”核心目标，精细制作并动态更新防汛基础台账和人员避险转移台账。修订完善防汛应急预案，编制应急响应流程图、指令卡、指挥手册，持续提升防汛指挥调度水平。强化防汛督导检查，巩固提升防汛避险救灾能力。深入贯彻《森林草原防灭火条例》，健全森林防火责任体系，全力防范化解森林火灾风险。</w:t>
      </w:r>
    </w:p>
    <w:p w14:paraId="63F1E865">
      <w:pPr>
        <w:rPr>
          <w:rFonts w:hint="eastAsia"/>
          <w:color w:val="auto"/>
          <w:lang w:val="en-US" w:eastAsia="zh-CN"/>
        </w:rPr>
      </w:pPr>
      <w:r>
        <w:rPr>
          <w:rFonts w:hint="eastAsia"/>
          <w:b/>
          <w:bCs/>
          <w:color w:val="auto"/>
          <w:lang w:val="en-US" w:eastAsia="zh-CN"/>
        </w:rPr>
        <w:t>3.强化重大项目风险源头管控。</w:t>
      </w:r>
      <w:r>
        <w:rPr>
          <w:rFonts w:hint="eastAsia"/>
          <w:color w:val="auto"/>
          <w:lang w:val="en-US" w:eastAsia="zh-CN"/>
        </w:rPr>
        <w:t>加强自然灾害风险与防治区划成果在国土空间规划中的统筹应用，健全重大项目风险评估论证机制及部门联审联查程序。在重大项目立项、重大工程建设等环节，严格落实风险避让和灾害设防要求，引导医院、学校、养老机构、应急避难场所等重点工程项目科学规划选址，从源头上规避和降低灾害风险。</w:t>
      </w:r>
    </w:p>
    <w:p w14:paraId="1E698266">
      <w:pPr>
        <w:outlineLvl w:val="2"/>
        <w:rPr>
          <w:rFonts w:hint="eastAsia" w:ascii="楷体_GB2312" w:hAnsi="楷体_GB2312" w:eastAsia="楷体_GB2312" w:cs="楷体_GB2312"/>
          <w:b w:val="0"/>
          <w:bCs w:val="0"/>
          <w:color w:val="auto"/>
          <w:lang w:val="en-US" w:eastAsia="zh-CN"/>
        </w:rPr>
      </w:pPr>
      <w:bookmarkStart w:id="65" w:name="_Toc27948"/>
      <w:r>
        <w:rPr>
          <w:rFonts w:hint="eastAsia" w:ascii="楷体_GB2312" w:hAnsi="楷体_GB2312" w:eastAsia="楷体_GB2312" w:cs="楷体_GB2312"/>
          <w:b w:val="0"/>
          <w:bCs w:val="0"/>
          <w:color w:val="auto"/>
          <w:lang w:val="en-US" w:eastAsia="zh-CN"/>
        </w:rPr>
        <w:t>（二）深化山区灾害风险普查成果应用</w:t>
      </w:r>
      <w:bookmarkEnd w:id="65"/>
    </w:p>
    <w:p w14:paraId="61D55AF3">
      <w:pPr>
        <w:rPr>
          <w:rFonts w:hint="eastAsia"/>
          <w:color w:val="auto"/>
          <w:lang w:val="en-US" w:eastAsia="zh-CN"/>
        </w:rPr>
      </w:pPr>
      <w:r>
        <w:rPr>
          <w:rFonts w:hint="eastAsia"/>
          <w:b/>
          <w:bCs/>
          <w:color w:val="auto"/>
          <w:lang w:val="en-US" w:eastAsia="zh-CN"/>
        </w:rPr>
        <w:t>1.建立数据动态更新机制。</w:t>
      </w:r>
      <w:r>
        <w:rPr>
          <w:rFonts w:hint="eastAsia"/>
          <w:color w:val="auto"/>
          <w:lang w:val="en-US" w:eastAsia="zh-CN"/>
        </w:rPr>
        <w:t>每年开展自然灾害综合风险基础数据更新及应用，抽取部分第一次普查的综合减灾能力调查对象及新增对象开展更新调查，抽取部分更新调查对象开展核查，推动普查成果应用，形成区级成果应用示范案例。</w:t>
      </w:r>
    </w:p>
    <w:p w14:paraId="10037BA0">
      <w:pPr>
        <w:rPr>
          <w:rFonts w:hint="eastAsia"/>
          <w:color w:val="auto"/>
          <w:lang w:val="en-US" w:eastAsia="zh-CN"/>
        </w:rPr>
      </w:pPr>
      <w:r>
        <w:rPr>
          <w:rFonts w:hint="eastAsia"/>
          <w:b/>
          <w:bCs/>
          <w:color w:val="auto"/>
          <w:lang w:val="en-US" w:eastAsia="zh-CN"/>
        </w:rPr>
        <w:t>2.绘制精细风险图谱。</w:t>
      </w:r>
      <w:r>
        <w:rPr>
          <w:rFonts w:hint="eastAsia"/>
          <w:color w:val="auto"/>
          <w:lang w:val="en-US" w:eastAsia="zh-CN"/>
        </w:rPr>
        <w:t>编制怀柔区多灾种风险区划与防治区划、风险图谱，实现全区自然灾害风险“一张图”管理。将风险图成果下沉应用到镇村层面，指导山区险村险户、旅游景区、民宿民俗户的防灾避险工作。</w:t>
      </w:r>
    </w:p>
    <w:p w14:paraId="606EA04C">
      <w:pPr>
        <w:rPr>
          <w:rFonts w:hint="eastAsia"/>
          <w:color w:val="auto"/>
          <w:lang w:val="en-US" w:eastAsia="zh-CN"/>
        </w:rPr>
      </w:pPr>
      <w:r>
        <w:rPr>
          <w:rFonts w:hint="eastAsia"/>
          <w:b/>
          <w:bCs/>
          <w:color w:val="auto"/>
          <w:lang w:val="en-US" w:eastAsia="zh-CN"/>
        </w:rPr>
        <w:t>3.深化重点隐患调查勘查。</w:t>
      </w:r>
      <w:r>
        <w:rPr>
          <w:rFonts w:hint="eastAsia"/>
          <w:color w:val="auto"/>
          <w:lang w:val="en-US" w:eastAsia="zh-CN"/>
        </w:rPr>
        <w:t>在第一次全国自然灾害综合风险普查基础上，深化地质灾害隐患调查勘查，全面完成山区重点乡镇大比例尺工程测绘调查。摸清河道转弯段、束窄段、护村堤坝段、桥涵段等关键节点的行洪风险底数，为精准治理提供支撑。</w:t>
      </w:r>
    </w:p>
    <w:p w14:paraId="36B31A0E">
      <w:pPr>
        <w:outlineLvl w:val="2"/>
        <w:rPr>
          <w:rFonts w:hint="eastAsia"/>
          <w:color w:val="auto"/>
          <w:lang w:val="en-US" w:eastAsia="zh-CN"/>
        </w:rPr>
      </w:pPr>
      <w:bookmarkStart w:id="66" w:name="_Toc28811"/>
      <w:r>
        <w:rPr>
          <w:rFonts w:hint="eastAsia" w:ascii="楷体_GB2312" w:hAnsi="楷体_GB2312" w:eastAsia="楷体_GB2312" w:cs="楷体_GB2312"/>
          <w:b w:val="0"/>
          <w:bCs w:val="0"/>
          <w:color w:val="auto"/>
          <w:lang w:val="en-US" w:eastAsia="zh-CN"/>
        </w:rPr>
        <w:t>（三）加强山区重点灾种综合治理</w:t>
      </w:r>
      <w:bookmarkEnd w:id="66"/>
    </w:p>
    <w:p w14:paraId="5B575500">
      <w:pPr>
        <w:rPr>
          <w:rFonts w:hint="eastAsia"/>
          <w:color w:val="auto"/>
          <w:lang w:val="en-US" w:eastAsia="zh-CN"/>
        </w:rPr>
      </w:pPr>
      <w:r>
        <w:rPr>
          <w:rFonts w:hint="eastAsia"/>
          <w:b/>
          <w:bCs/>
          <w:color w:val="auto"/>
          <w:lang w:val="en-US" w:eastAsia="zh-CN"/>
        </w:rPr>
        <w:t>1.实施防洪除涝攻坚治理。</w:t>
      </w:r>
      <w:r>
        <w:rPr>
          <w:rFonts w:hint="eastAsia"/>
          <w:color w:val="auto"/>
          <w:lang w:val="en-US" w:eastAsia="zh-CN"/>
        </w:rPr>
        <w:t>聚焦汛期“不亡人”核心目标，重点强化河道转弯段、束窄段、护村堤坝段、桥涵段等关键节点抵御山洪能力。推进大中型水库泄洪通道内建构筑物清理与工程治理，严禁在河道内种植阻碍行洪的林木和高秆作物。有序推进“25·7”受灾地区恢复重建，加快琉璃河、怀沙河、怀九河、雁栖河等河道水毁修复及防洪达标工程建设。实施水库水毁修复及清障工程，有效提升水库调蓄能力和安全保障水平。</w:t>
      </w:r>
    </w:p>
    <w:p w14:paraId="35ADD7AD">
      <w:pPr>
        <w:rPr>
          <w:rFonts w:hint="eastAsia"/>
          <w:color w:val="auto"/>
          <w:highlight w:val="none"/>
          <w:lang w:val="en-US" w:eastAsia="zh-CN"/>
        </w:rPr>
      </w:pPr>
      <w:r>
        <w:rPr>
          <w:rFonts w:hint="eastAsia"/>
          <w:b/>
          <w:bCs/>
          <w:color w:val="auto"/>
          <w:highlight w:val="none"/>
          <w:lang w:val="en-US" w:eastAsia="zh-CN"/>
        </w:rPr>
        <w:t>2.深化地质灾害综合治理。</w:t>
      </w:r>
      <w:r>
        <w:rPr>
          <w:rFonts w:hint="eastAsia"/>
          <w:color w:val="auto"/>
          <w:highlight w:val="none"/>
          <w:lang w:val="en-US" w:eastAsia="zh-CN"/>
        </w:rPr>
        <w:t>实施地质灾害治理三年行动计划，有序推进威胁居民点和道路的地质灾害隐患点工程治理，“一点一策”推进隐患点综合治理。重点加强山区道路边坡、切坡建房、旅游景区等隐患点整治。推广“工程治理+生态修复”综合治理模式，探索“以奖代补”机制，鼓励镇村开展小型防灾工程建设。</w:t>
      </w:r>
    </w:p>
    <w:p w14:paraId="5A48DC50">
      <w:pPr>
        <w:rPr>
          <w:rFonts w:hint="eastAsia"/>
          <w:color w:val="auto"/>
          <w:lang w:val="en-US" w:eastAsia="zh-CN"/>
        </w:rPr>
      </w:pPr>
      <w:r>
        <w:rPr>
          <w:rFonts w:hint="eastAsia"/>
          <w:b/>
          <w:bCs/>
          <w:color w:val="auto"/>
          <w:lang w:val="en-US" w:eastAsia="zh-CN"/>
        </w:rPr>
        <w:t>3.夯实森林防灭火基础。</w:t>
      </w:r>
      <w:r>
        <w:rPr>
          <w:rFonts w:hint="eastAsia"/>
          <w:color w:val="auto"/>
          <w:highlight w:val="none"/>
          <w:lang w:val="en-US" w:eastAsia="zh-CN"/>
        </w:rPr>
        <w:t>依托全市统一的森林防灭火指挥调度系统，构建“布局科学、队伍专业、协同高效、平急结合”的全域森林防火体系。持续推进森防救援队伍扩容，加强队伍装备配备与实战能力建设，提升重点林区、重点时段力量覆盖水平。通过系统赋能，提升各级林长森林防火责任制、隐患排查、巡查巡护等网格化落图管理率，实现数据动态更新、信息实时共享、指挥高效协同。</w:t>
      </w:r>
      <w:r>
        <w:rPr>
          <w:rFonts w:hint="eastAsia"/>
          <w:color w:val="auto"/>
          <w:lang w:val="en-US" w:eastAsia="zh-CN"/>
        </w:rPr>
        <w:t>推进森林消防综合救援支队北台上、喇叭沟门、交界河等驻地建设，实现重点林区“半小时”快速应急响应圈全覆盖。纵深推进基层防火“五个一”标准化建设，实现涉林行政村全覆盖、无死角，完善村级防火组织、应急队伍、物资装备、宣传教育、巡查管控体系，全面提升村级早期火情快速响应与先期处置能力，构建全域覆盖、网格到底。</w:t>
      </w:r>
    </w:p>
    <w:p w14:paraId="2E18224C">
      <w:pPr>
        <w:rPr>
          <w:rFonts w:hint="eastAsia"/>
          <w:color w:val="auto"/>
          <w:lang w:val="en-US" w:eastAsia="zh-CN"/>
        </w:rPr>
      </w:pPr>
      <w:r>
        <w:rPr>
          <w:rFonts w:hint="eastAsia"/>
          <w:b/>
          <w:bCs/>
          <w:color w:val="auto"/>
          <w:lang w:val="en-US" w:eastAsia="zh-CN"/>
        </w:rPr>
        <w:t>4.强化重点场所隐患排查。</w:t>
      </w:r>
      <w:r>
        <w:rPr>
          <w:rFonts w:hint="eastAsia"/>
          <w:color w:val="auto"/>
          <w:lang w:val="en-US" w:eastAsia="zh-CN"/>
        </w:rPr>
        <w:t>聚焦旅游景区、大跨度建筑物、高速公路、桥梁隧道、铁路沿线、低标准堤防、城市生命线，以及山区医院、学校、养老院等重点场所，深入开展自然灾害隐患排查治理，实行隐患清单化管理和动态销号。</w:t>
      </w:r>
    </w:p>
    <w:p w14:paraId="1CB4A1D0">
      <w:pPr>
        <w:outlineLvl w:val="2"/>
        <w:rPr>
          <w:rFonts w:hint="eastAsia"/>
          <w:color w:val="auto"/>
          <w:lang w:val="en-US" w:eastAsia="zh-CN"/>
        </w:rPr>
      </w:pPr>
      <w:bookmarkStart w:id="67" w:name="_Toc1023"/>
      <w:r>
        <w:rPr>
          <w:rFonts w:hint="eastAsia" w:ascii="楷体_GB2312" w:hAnsi="楷体_GB2312" w:eastAsia="楷体_GB2312" w:cs="楷体_GB2312"/>
          <w:b w:val="0"/>
          <w:bCs w:val="0"/>
          <w:color w:val="auto"/>
          <w:lang w:val="en-US" w:eastAsia="zh-CN"/>
        </w:rPr>
        <w:t>（四）提升山区监测预警与响应效能</w:t>
      </w:r>
      <w:bookmarkEnd w:id="67"/>
    </w:p>
    <w:p w14:paraId="1B12F4E0">
      <w:pPr>
        <w:rPr>
          <w:rFonts w:hint="eastAsia"/>
          <w:color w:val="auto"/>
          <w:lang w:val="en-US" w:eastAsia="zh-CN"/>
        </w:rPr>
      </w:pPr>
      <w:r>
        <w:rPr>
          <w:rFonts w:hint="eastAsia"/>
          <w:b/>
          <w:bCs/>
          <w:color w:val="auto"/>
          <w:lang w:val="en-US" w:eastAsia="zh-CN"/>
        </w:rPr>
        <w:t>1.织密立体监测感知网络。</w:t>
      </w:r>
      <w:r>
        <w:rPr>
          <w:rFonts w:hint="eastAsia"/>
          <w:color w:val="auto"/>
          <w:lang w:val="en-US" w:eastAsia="zh-CN"/>
        </w:rPr>
        <w:t>完善跨部门、跨区域综合会商研判机制，打通气象、水文、地质灾害与“雪亮工程”等监测网络数据壁垒。健全水情监测感知网络，在怀沙河、怀九河、雁栖河等重要河道及山洪沟道加密雨水情监测设施，实现河道流量和山洪沟道水位实时监测。持续推进森林防火视频监控覆盖与山区通信信号保障，深化卫星遥感监测技术应用，不断提升重点林区监测预警能力。</w:t>
      </w:r>
    </w:p>
    <w:p w14:paraId="74C7836C">
      <w:pPr>
        <w:rPr>
          <w:rFonts w:hint="eastAsia"/>
          <w:color w:val="auto"/>
          <w:lang w:val="en-US" w:eastAsia="zh-CN"/>
        </w:rPr>
      </w:pPr>
      <w:r>
        <w:rPr>
          <w:rFonts w:hint="eastAsia"/>
          <w:b/>
          <w:bCs/>
          <w:color w:val="auto"/>
          <w:lang w:val="en-US" w:eastAsia="zh-CN"/>
        </w:rPr>
        <w:t>2.强化精准预报预警能力。</w:t>
      </w:r>
      <w:r>
        <w:rPr>
          <w:rFonts w:hint="eastAsia"/>
          <w:color w:val="auto"/>
          <w:lang w:val="en-US" w:eastAsia="zh-CN"/>
        </w:rPr>
        <w:t>依托市级“百米级、分钟级”短临预报AI模型成果，提升对暴雨、强对流等极端天气的快速识别能力，力争暴雨、大风等强对流天气预警提前量显著提升。强化流域性洪水监测预报预警区域联动，做好与密云、延庆及河北丰宁、滦平等上下游、左右岸地区的信息共享。完善地下水位回升动态监测系统，强化对科学城等重点区域重大基础设施结构安全的动态监测。</w:t>
      </w:r>
    </w:p>
    <w:p w14:paraId="368568E7">
      <w:pPr>
        <w:rPr>
          <w:rFonts w:hint="eastAsia"/>
          <w:color w:val="auto"/>
          <w:lang w:val="en-US" w:eastAsia="zh-CN"/>
        </w:rPr>
      </w:pPr>
      <w:r>
        <w:rPr>
          <w:rFonts w:hint="eastAsia"/>
          <w:b/>
          <w:bCs/>
          <w:color w:val="auto"/>
          <w:lang w:val="en-US" w:eastAsia="zh-CN"/>
        </w:rPr>
        <w:t>3.构建高效预警响应闭环。</w:t>
      </w:r>
      <w:r>
        <w:rPr>
          <w:rFonts w:hint="eastAsia"/>
          <w:color w:val="auto"/>
          <w:lang w:val="en-US" w:eastAsia="zh-CN"/>
        </w:rPr>
        <w:t>完善区、镇乡、村三级预警信息发布机制，深化与市级预警信息发布平台、应急广播、京办、短信、智能语音外呼等渠道的直连互通。研发基于预警分类分级、人口大数据、地理电子围栏的智能发布模型，确保预警信息及时、精准直达风险区域和受威胁人群。为山区村配备应急卫星电话，提升极端条件下通信保障能力，实现面向网格责任人的高级别预警临灾“叫应”，确保既要“叫醒”也要“回应”，形成工作闭环。</w:t>
      </w:r>
    </w:p>
    <w:p w14:paraId="286F0AC6">
      <w:pPr>
        <w:outlineLvl w:val="2"/>
        <w:rPr>
          <w:rFonts w:hint="eastAsia"/>
          <w:color w:val="auto"/>
          <w:lang w:val="en-US" w:eastAsia="zh-CN"/>
        </w:rPr>
      </w:pPr>
      <w:bookmarkStart w:id="68" w:name="_Toc24604"/>
      <w:r>
        <w:rPr>
          <w:rFonts w:hint="eastAsia" w:ascii="楷体_GB2312" w:hAnsi="楷体_GB2312" w:eastAsia="楷体_GB2312" w:cs="楷体_GB2312"/>
          <w:b w:val="0"/>
          <w:bCs w:val="0"/>
          <w:color w:val="auto"/>
          <w:lang w:val="en-US" w:eastAsia="zh-CN"/>
        </w:rPr>
        <w:t>（五）系统推进韧性城市建设</w:t>
      </w:r>
      <w:bookmarkEnd w:id="68"/>
    </w:p>
    <w:p w14:paraId="3A9B7A8F">
      <w:pPr>
        <w:jc w:val="both"/>
        <w:rPr>
          <w:rFonts w:hint="eastAsia"/>
          <w:color w:val="auto"/>
          <w:lang w:val="en-US" w:eastAsia="zh-CN"/>
        </w:rPr>
      </w:pPr>
      <w:r>
        <w:rPr>
          <w:rFonts w:hint="eastAsia"/>
          <w:b/>
          <w:bCs/>
          <w:color w:val="auto"/>
          <w:lang w:val="en-US" w:eastAsia="zh-CN"/>
        </w:rPr>
        <w:t>1.强化韧性城市顶层设计。</w:t>
      </w:r>
      <w:r>
        <w:rPr>
          <w:rFonts w:hint="eastAsia"/>
          <w:color w:val="auto"/>
          <w:lang w:val="en-US" w:eastAsia="zh-CN"/>
        </w:rPr>
        <w:t>紧密结合“市域—圈层—韧性城市组团—韧性街镇单元—韧性社村生活圈”五级空间体系，明确怀柔各层级建设重点。制定实施韧性城市建设行动计划，建立年度评估机制，确保重点任务有序落地。</w:t>
      </w:r>
    </w:p>
    <w:p w14:paraId="37955562">
      <w:pPr>
        <w:jc w:val="both"/>
        <w:rPr>
          <w:rFonts w:hint="eastAsia"/>
          <w:color w:val="auto"/>
          <w:lang w:val="en-US" w:eastAsia="zh-CN"/>
        </w:rPr>
      </w:pPr>
      <w:r>
        <w:rPr>
          <w:rFonts w:hint="eastAsia"/>
          <w:b/>
          <w:bCs/>
          <w:color w:val="auto"/>
          <w:lang w:val="en-US" w:eastAsia="zh-CN"/>
        </w:rPr>
        <w:t>2.推进韧性城市组团建设。</w:t>
      </w:r>
      <w:r>
        <w:rPr>
          <w:rFonts w:hint="eastAsia"/>
          <w:color w:val="auto"/>
          <w:highlight w:val="none"/>
          <w:lang w:val="en-US" w:eastAsia="zh-CN"/>
        </w:rPr>
        <w:t>重点推进怀柔区南部组团及北部组团建设，</w:t>
      </w:r>
      <w:r>
        <w:rPr>
          <w:rFonts w:hint="eastAsia"/>
          <w:color w:val="auto"/>
          <w:lang w:val="en-US" w:eastAsia="zh-CN"/>
        </w:rPr>
        <w:t>推动实施“十个一”提升工程，加快补齐组团内应急指挥、应急供水、应急能源、应急通信、应急交通、应急避难、应急物资等方面短板弱项，实现城市治理单元自组织自运转。根据治理型、应对型、供应型等不同功能定位，对镇街单元进行差异化赋能，强化韧性街镇单元和韧性社村生活圈灾害应对能力。</w:t>
      </w:r>
    </w:p>
    <w:p w14:paraId="4174BCE1">
      <w:pPr>
        <w:jc w:val="both"/>
        <w:rPr>
          <w:rFonts w:hint="eastAsia"/>
          <w:color w:val="auto"/>
          <w:lang w:val="en-US" w:eastAsia="zh-CN"/>
        </w:rPr>
      </w:pPr>
      <w:r>
        <w:rPr>
          <w:rFonts w:hint="eastAsia"/>
          <w:b/>
          <w:bCs/>
          <w:color w:val="auto"/>
          <w:lang w:val="en-US" w:eastAsia="zh-CN"/>
        </w:rPr>
        <w:t>3.强化基础设施运行韧性。</w:t>
      </w:r>
      <w:r>
        <w:rPr>
          <w:rFonts w:hint="eastAsia"/>
          <w:color w:val="auto"/>
          <w:lang w:val="en-US" w:eastAsia="zh-CN"/>
        </w:rPr>
        <w:t>有序推进建设系统性与多元化相统筹的韧性城市运行支撑体系。推进供水、供电、通信、燃气等城市生命线工程的防灾加固和老旧管网改造，推动重要基础设施按标准提高设防水平。持续深化综合运行监测中心实战效能，强化数据融合与智能预警，实现安全隐患早发现、早处置。</w:t>
      </w:r>
    </w:p>
    <w:p w14:paraId="1A3F5AE7">
      <w:pPr>
        <w:jc w:val="both"/>
        <w:rPr>
          <w:rFonts w:hint="eastAsia"/>
          <w:color w:val="auto"/>
          <w:lang w:val="en-US" w:eastAsia="zh-CN"/>
        </w:rPr>
      </w:pPr>
      <w:r>
        <w:rPr>
          <w:rFonts w:hint="eastAsia"/>
          <w:b/>
          <w:bCs/>
          <w:color w:val="auto"/>
          <w:lang w:val="en-US" w:eastAsia="zh-CN"/>
        </w:rPr>
        <w:t>4.建设“平急两用”设施体系。</w:t>
      </w:r>
      <w:r>
        <w:rPr>
          <w:rFonts w:hint="eastAsia"/>
          <w:color w:val="auto"/>
          <w:lang w:val="en-US" w:eastAsia="zh-CN"/>
        </w:rPr>
        <w:t>有序推进“平急两用、灵活转换”的韧性城市设施保障体系建设。推动中小学体育馆、社区活动中心、酒店宾馆等场所在应急状态下可迅速转换为避难场所。构建“区－镇－村”三级应急物资储备网络，优化山区乡镇物资储备库布局，在庙城等地建强区级防汛物资库。健全应急物资社会化储备机制，与大型商超、企业签订紧急供应协议。</w:t>
      </w:r>
    </w:p>
    <w:p w14:paraId="5AD36886">
      <w:pPr>
        <w:jc w:val="both"/>
        <w:rPr>
          <w:rFonts w:hint="eastAsia"/>
          <w:color w:val="auto"/>
          <w:lang w:val="en-US" w:eastAsia="zh-CN"/>
        </w:rPr>
      </w:pPr>
      <w:r>
        <w:rPr>
          <w:rFonts w:hint="eastAsia"/>
          <w:b/>
          <w:bCs/>
          <w:color w:val="auto"/>
          <w:lang w:val="en-US" w:eastAsia="zh-CN"/>
        </w:rPr>
        <w:t>5.提升基层单元防灾能力。</w:t>
      </w:r>
      <w:r>
        <w:rPr>
          <w:rFonts w:hint="eastAsia"/>
          <w:color w:val="auto"/>
          <w:lang w:val="en-US" w:eastAsia="zh-CN"/>
        </w:rPr>
        <w:t>持续夯实基层防灾减灾基础，推广“网格化+防灾减灾”模式，每个村（社区）培养2-3名防灾减灾“明白人”和应急志愿者队伍，提升极端情况下基层单元快速响应、自主应对和互助支撑水平，筑牢防灾减灾救灾的人民防线。</w:t>
      </w:r>
    </w:p>
    <w:p w14:paraId="0B273026">
      <w:pPr>
        <w:outlineLvl w:val="1"/>
        <w:rPr>
          <w:rFonts w:hint="eastAsia" w:ascii="黑体" w:hAnsi="黑体" w:eastAsia="黑体" w:cs="黑体"/>
          <w:color w:val="auto"/>
          <w:lang w:val="en-US" w:eastAsia="zh-CN"/>
        </w:rPr>
      </w:pPr>
      <w:bookmarkStart w:id="69" w:name="_Toc32355"/>
      <w:bookmarkStart w:id="70" w:name="_Toc31431"/>
      <w:r>
        <w:rPr>
          <w:rFonts w:hint="eastAsia" w:ascii="黑体" w:hAnsi="黑体" w:eastAsia="黑体" w:cs="黑体"/>
          <w:color w:val="auto"/>
          <w:lang w:val="en-US" w:eastAsia="zh-CN"/>
        </w:rPr>
        <w:t>四、</w:t>
      </w:r>
      <w:bookmarkEnd w:id="69"/>
      <w:r>
        <w:rPr>
          <w:rFonts w:hint="eastAsia" w:ascii="黑体" w:hAnsi="黑体" w:eastAsia="黑体" w:cs="黑体"/>
          <w:color w:val="auto"/>
          <w:lang w:val="en-US" w:eastAsia="zh-CN"/>
        </w:rPr>
        <w:t>消防救援篇：构建山区与平原协同的现代化消防治理体系</w:t>
      </w:r>
      <w:bookmarkEnd w:id="70"/>
    </w:p>
    <w:p w14:paraId="27F18CDB">
      <w:pPr>
        <w:outlineLvl w:val="2"/>
        <w:rPr>
          <w:rFonts w:hint="eastAsia"/>
          <w:color w:val="auto"/>
          <w:lang w:val="en-US" w:eastAsia="zh-CN"/>
        </w:rPr>
      </w:pPr>
      <w:bookmarkStart w:id="71" w:name="_Toc1647"/>
      <w:r>
        <w:rPr>
          <w:rFonts w:hint="eastAsia" w:ascii="楷体_GB2312" w:hAnsi="楷体_GB2312" w:eastAsia="楷体_GB2312" w:cs="楷体_GB2312"/>
          <w:b w:val="0"/>
          <w:bCs w:val="0"/>
          <w:color w:val="auto"/>
          <w:lang w:val="en-US" w:eastAsia="zh-CN"/>
        </w:rPr>
        <w:t>（一）织密织牢火灾防控网络</w:t>
      </w:r>
      <w:bookmarkEnd w:id="71"/>
    </w:p>
    <w:p w14:paraId="3B920FEC">
      <w:pPr>
        <w:rPr>
          <w:rFonts w:hint="eastAsia"/>
          <w:color w:val="auto"/>
          <w:lang w:val="en-US" w:eastAsia="zh-CN"/>
        </w:rPr>
      </w:pPr>
      <w:r>
        <w:rPr>
          <w:rFonts w:hint="eastAsia"/>
          <w:b/>
          <w:bCs/>
          <w:color w:val="auto"/>
          <w:lang w:val="en-US" w:eastAsia="zh-CN"/>
        </w:rPr>
        <w:t>1.优化消防安全空间布局。</w:t>
      </w:r>
      <w:r>
        <w:rPr>
          <w:rFonts w:hint="eastAsia"/>
          <w:color w:val="auto"/>
          <w:lang w:val="en-US" w:eastAsia="zh-CN"/>
        </w:rPr>
        <w:t>科学划定高风险、中风险、低风险防控区域，实施差异化精准防控。在怀柔科学城核心区、国际会都、中国影都等重点功能区域执行更高标准的消防安全管理要求，探索建立消防安全“负面清单”制度，严格限制高风险业态和项目准入。聚焦高层建筑、人员密集场所、地下空间、大型商业综合体、医疗养老机构、文物古建等重点场所，全面推行消防安全标准化管理，坚决遏制“大火巨灾”。</w:t>
      </w:r>
    </w:p>
    <w:p w14:paraId="44479421">
      <w:pPr>
        <w:rPr>
          <w:rFonts w:hint="eastAsia"/>
          <w:color w:val="auto"/>
          <w:lang w:val="en-US" w:eastAsia="zh-CN"/>
        </w:rPr>
      </w:pPr>
      <w:r>
        <w:rPr>
          <w:rFonts w:hint="eastAsia"/>
          <w:b/>
          <w:bCs/>
          <w:color w:val="auto"/>
          <w:lang w:val="en-US" w:eastAsia="zh-CN"/>
        </w:rPr>
        <w:t>2.健全风险预警防控机制。</w:t>
      </w:r>
      <w:r>
        <w:rPr>
          <w:rFonts w:hint="eastAsia"/>
          <w:color w:val="auto"/>
          <w:lang w:val="en-US" w:eastAsia="zh-CN"/>
        </w:rPr>
        <w:t>依托市级消防物联网监测预警平台，全面接入重点单位自动消防设施运行数据，实现火灾风险实时感知、智能分析和动态预警。健全季度火灾风险研判机制，定期发布分区域、分行业火灾风险提示信息。全面推行火灾风险分级分类管控，对高风险单位实施“一对一”精准监管，强化隐患闭环管理。</w:t>
      </w:r>
    </w:p>
    <w:p w14:paraId="16D8F359">
      <w:pPr>
        <w:rPr>
          <w:rFonts w:hint="eastAsia"/>
          <w:color w:val="auto"/>
          <w:lang w:val="en-US" w:eastAsia="zh-CN"/>
        </w:rPr>
      </w:pPr>
      <w:r>
        <w:rPr>
          <w:rFonts w:hint="eastAsia"/>
          <w:b/>
          <w:bCs/>
          <w:color w:val="auto"/>
          <w:lang w:val="en-US" w:eastAsia="zh-CN"/>
        </w:rPr>
        <w:t>3.深化重点领域专项整治。</w:t>
      </w:r>
      <w:r>
        <w:rPr>
          <w:rFonts w:hint="eastAsia"/>
          <w:b w:val="0"/>
          <w:bCs w:val="0"/>
          <w:color w:val="auto"/>
          <w:lang w:val="en-US" w:eastAsia="zh-CN"/>
        </w:rPr>
        <w:t>聚焦高层建筑消防安全风险，开展以消防设施、疏散通道、避难层（间）、消防车通道、外墙保温材料为重点的排查整治，加强消防水泵、消火栓、喷淋灭火系统的日常管理，落实每季度至少进行一次带水运行测试，强化日常巡查和应急演练，切实提升高层建筑火灾自防自救能力。</w:t>
      </w:r>
      <w:r>
        <w:rPr>
          <w:rFonts w:hint="eastAsia"/>
          <w:color w:val="auto"/>
          <w:lang w:val="en-US" w:eastAsia="zh-CN"/>
        </w:rPr>
        <w:t>紧盯老旧居民小区、村民经营性自建房、多业态混合经营场所、物流仓储等薄弱领域，严格落实“两个以上独立逃生通道”等措施，动态摸排上账消防安全重点关爱人群，开展消防安全“敲门入户”宣传行动，严防“小火亡人”。持续开展电动自行车、储能电站、密室逃脱、剧本杀、直播带货工作室、电竞酒店等新业态消防安全专项治理，加强锂离子电池、电化学储能等新能源火灾风险防范技术研究，推动落实本质安全措施。针对山区旅游民宿、民俗户集中的特点，强化燃气使用和电气线路消防安全整治，建立隐患整改“销号”和动态跟踪机制。</w:t>
      </w:r>
    </w:p>
    <w:p w14:paraId="4E36960B">
      <w:pPr>
        <w:rPr>
          <w:rFonts w:hint="eastAsia"/>
          <w:color w:val="auto"/>
          <w:lang w:val="en-US" w:eastAsia="zh-CN"/>
        </w:rPr>
      </w:pPr>
      <w:r>
        <w:rPr>
          <w:rFonts w:hint="eastAsia"/>
          <w:b/>
          <w:bCs/>
          <w:color w:val="auto"/>
          <w:lang w:val="en-US" w:eastAsia="zh-CN"/>
        </w:rPr>
        <w:t>4.创新消防监管模式。</w:t>
      </w:r>
      <w:r>
        <w:rPr>
          <w:rFonts w:hint="eastAsia"/>
          <w:color w:val="auto"/>
          <w:lang w:val="en-US" w:eastAsia="zh-CN"/>
        </w:rPr>
        <w:t>全面推行“双随机、一公开”监管与信用监管相结合模式，建立消防安全信用记录制度，将行政处罚、火灾事故等信息纳入信用档案，对失信主体实施联合惩戒。分行业、分领域推进消防“风险+信用”监管机制建设，实现差异化精准监管。积极推广“互联网+监管”模式，运用无人机巡查、视频监控、物联感知等科技手段提升监管覆盖面和精准度。</w:t>
      </w:r>
    </w:p>
    <w:p w14:paraId="6BDB1571">
      <w:pPr>
        <w:outlineLvl w:val="2"/>
        <w:rPr>
          <w:rFonts w:hint="eastAsia"/>
          <w:color w:val="auto"/>
          <w:lang w:val="en-US" w:eastAsia="zh-CN"/>
        </w:rPr>
      </w:pPr>
      <w:bookmarkStart w:id="72" w:name="_Toc22125"/>
      <w:r>
        <w:rPr>
          <w:rFonts w:hint="eastAsia" w:ascii="楷体_GB2312" w:hAnsi="楷体_GB2312" w:eastAsia="楷体_GB2312" w:cs="楷体_GB2312"/>
          <w:b w:val="0"/>
          <w:bCs w:val="0"/>
          <w:color w:val="auto"/>
          <w:lang w:val="en-US" w:eastAsia="zh-CN"/>
        </w:rPr>
        <w:t>（二）全面提高消防救援实战能力</w:t>
      </w:r>
      <w:bookmarkEnd w:id="72"/>
    </w:p>
    <w:p w14:paraId="526EE099">
      <w:pPr>
        <w:rPr>
          <w:rFonts w:hint="eastAsia"/>
          <w:color w:val="auto"/>
          <w:lang w:val="en-US" w:eastAsia="zh-CN"/>
        </w:rPr>
      </w:pPr>
      <w:r>
        <w:rPr>
          <w:rFonts w:hint="eastAsia"/>
          <w:b/>
          <w:bCs/>
          <w:color w:val="auto"/>
          <w:lang w:val="en-US" w:eastAsia="zh-CN"/>
        </w:rPr>
        <w:t>1.完善现代化指挥体系。</w:t>
      </w:r>
      <w:r>
        <w:rPr>
          <w:rFonts w:hint="eastAsia"/>
          <w:color w:val="auto"/>
          <w:lang w:val="en-US" w:eastAsia="zh-CN"/>
        </w:rPr>
        <w:t>建设智能化消防指挥中心，深度融合应急、公安、医疗、气象、水务、规自等多方信息资源，构建“一张图”指挥调度平台。健全“支队—大队—消防站”三级指挥体系，加强指挥员专业化建设，全面推行指挥员资格认证和分级培训制度。强化“防消结合”，推动消防救援站参与防火工作，定期研判火灾形势并组织专项治理。</w:t>
      </w:r>
    </w:p>
    <w:p w14:paraId="08190B8A">
      <w:pPr>
        <w:rPr>
          <w:rFonts w:hint="eastAsia"/>
          <w:color w:val="auto"/>
          <w:lang w:val="en-US" w:eastAsia="zh-CN"/>
        </w:rPr>
      </w:pPr>
      <w:r>
        <w:rPr>
          <w:rFonts w:hint="eastAsia"/>
          <w:b/>
          <w:bCs/>
          <w:color w:val="auto"/>
          <w:lang w:val="en-US" w:eastAsia="zh-CN"/>
        </w:rPr>
        <w:t>2.建强多元救援力量体系。</w:t>
      </w:r>
      <w:r>
        <w:rPr>
          <w:rFonts w:hint="eastAsia"/>
          <w:color w:val="auto"/>
          <w:lang w:val="en-US" w:eastAsia="zh-CN"/>
        </w:rPr>
        <w:t>构建多种形式消防救援力量体系，加快推进城市消防站规划建设，按标准增配政府专职消防员。大力发展企业专职消防队和社区（单位）微型消防站建设，实现重点单位、高风险区域微型消防站全覆盖、全联动。配合市级完成北京消防救援机动支队在怀柔的营房选址建设，按需在重点林区筹建森林消防站，构建重要景区、林区快速响应联动体系。</w:t>
      </w:r>
    </w:p>
    <w:p w14:paraId="5BB345ED">
      <w:pPr>
        <w:rPr>
          <w:rFonts w:hint="eastAsia"/>
          <w:color w:val="auto"/>
          <w:lang w:val="en-US" w:eastAsia="zh-CN"/>
        </w:rPr>
      </w:pPr>
      <w:r>
        <w:rPr>
          <w:rFonts w:hint="eastAsia"/>
          <w:b/>
          <w:bCs/>
          <w:color w:val="auto"/>
          <w:lang w:val="en-US" w:eastAsia="zh-CN"/>
        </w:rPr>
        <w:t>3.强化综合保障能力。</w:t>
      </w:r>
      <w:r>
        <w:rPr>
          <w:rFonts w:hint="eastAsia"/>
          <w:color w:val="auto"/>
          <w:lang w:val="en-US" w:eastAsia="zh-CN"/>
        </w:rPr>
        <w:t>修订完善消防装备配备标准，新建消防站装备配备、已建成消防站个人防护装备配备达标率达100%，其余装备配备率不低于90%。重点加强高层建筑灭火、地下空间救援、危险化学品处置、山岳及水域救援等特种装备配备。规划建设区域性战勤保障基地，完善联勤联储联调机制。新建专业化消防训练基地，开展多灾种、场景化模拟训练，提升队伍实战适应能力。</w:t>
      </w:r>
    </w:p>
    <w:p w14:paraId="33C7A6FE">
      <w:pPr>
        <w:rPr>
          <w:rFonts w:hint="eastAsia"/>
          <w:color w:val="auto"/>
          <w:lang w:val="en-US" w:eastAsia="zh-CN"/>
        </w:rPr>
      </w:pPr>
      <w:r>
        <w:rPr>
          <w:rFonts w:hint="eastAsia"/>
          <w:b/>
          <w:bCs/>
          <w:color w:val="auto"/>
          <w:lang w:val="en-US" w:eastAsia="zh-CN"/>
        </w:rPr>
        <w:t>4.提升专业处置能力。</w:t>
      </w:r>
      <w:r>
        <w:rPr>
          <w:rFonts w:hint="eastAsia"/>
          <w:color w:val="auto"/>
          <w:lang w:val="en-US" w:eastAsia="zh-CN"/>
        </w:rPr>
        <w:t>围绕高层建筑、地下空间、大跨度厂房、危险化学品等特殊灾害类型，常态化组织实战演练，每年开展跨区域、多部门综合演练不少于2次。系统组建山岳救援、水域救援等专业救援队伍，强化复杂环境下精准救援和专业处置能力，针对怀柔水库、京密引水渠等重点水域和山区险峻地形，开展针对性训练。</w:t>
      </w:r>
    </w:p>
    <w:p w14:paraId="43455FA6">
      <w:pPr>
        <w:outlineLvl w:val="2"/>
        <w:rPr>
          <w:rFonts w:hint="eastAsia"/>
          <w:color w:val="auto"/>
          <w:lang w:val="en-US" w:eastAsia="zh-CN"/>
        </w:rPr>
      </w:pPr>
      <w:bookmarkStart w:id="73" w:name="_Toc15297"/>
      <w:r>
        <w:rPr>
          <w:rFonts w:hint="eastAsia" w:ascii="楷体_GB2312" w:hAnsi="楷体_GB2312" w:eastAsia="楷体_GB2312" w:cs="楷体_GB2312"/>
          <w:b w:val="0"/>
          <w:bCs w:val="0"/>
          <w:color w:val="auto"/>
          <w:lang w:val="en-US" w:eastAsia="zh-CN"/>
        </w:rPr>
        <w:t>（三）扎实筑牢公共消防安全基础</w:t>
      </w:r>
      <w:bookmarkEnd w:id="73"/>
    </w:p>
    <w:p w14:paraId="1DA065AA">
      <w:pPr>
        <w:rPr>
          <w:rFonts w:hint="eastAsia"/>
          <w:color w:val="auto"/>
          <w:lang w:val="en-US" w:eastAsia="zh-CN"/>
        </w:rPr>
      </w:pPr>
      <w:r>
        <w:rPr>
          <w:rFonts w:hint="eastAsia"/>
          <w:b/>
          <w:bCs/>
          <w:color w:val="auto"/>
          <w:lang w:val="en-US" w:eastAsia="zh-CN"/>
        </w:rPr>
        <w:t>1.优化消防站点布局。</w:t>
      </w:r>
      <w:r>
        <w:rPr>
          <w:rFonts w:hint="eastAsia"/>
          <w:color w:val="auto"/>
          <w:lang w:val="en-US" w:eastAsia="zh-CN"/>
        </w:rPr>
        <w:t>按照“大站建强、小站建密、微站建广”思路，构建“中心站—小型站—微型站”三级站点网络体系，加快推进红螺湖、科学城、渤海消防救援站等重点项目建设；新建成怀北、庙城共2座消防救援站，补齐关键区域救援力量短板；在商业密集区、老旧小区、偏远乡村等区域因地制宜建设政府专职小型消防站，持续提升重点区域消防救援响应时效；推动社区、重点单位全面建设标准化微型消防站。</w:t>
      </w:r>
    </w:p>
    <w:p w14:paraId="37B3DE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lang w:val="en-US" w:eastAsia="zh-CN"/>
        </w:rPr>
      </w:pPr>
      <w:r>
        <w:rPr>
          <w:rFonts w:hint="eastAsia"/>
          <w:color w:val="auto"/>
          <w:lang w:val="en-US" w:eastAsia="zh-CN"/>
        </w:rPr>
        <w:drawing>
          <wp:inline distT="0" distB="0" distL="114300" distR="114300">
            <wp:extent cx="5723255" cy="7971790"/>
            <wp:effectExtent l="0" t="0" r="10795" b="10160"/>
            <wp:docPr id="4" name="图片 4" descr="怀柔区消防救援站点布局图 改标题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怀柔区消防救援站点布局图 改标题0"/>
                    <pic:cNvPicPr>
                      <a:picLocks noChangeAspect="1"/>
                    </pic:cNvPicPr>
                  </pic:nvPicPr>
                  <pic:blipFill>
                    <a:blip r:embed="rId8"/>
                    <a:stretch>
                      <a:fillRect/>
                    </a:stretch>
                  </pic:blipFill>
                  <pic:spPr>
                    <a:xfrm>
                      <a:off x="0" y="0"/>
                      <a:ext cx="5723255" cy="7971790"/>
                    </a:xfrm>
                    <a:prstGeom prst="rect">
                      <a:avLst/>
                    </a:prstGeom>
                  </pic:spPr>
                </pic:pic>
              </a:graphicData>
            </a:graphic>
          </wp:inline>
        </w:drawing>
      </w:r>
    </w:p>
    <w:p w14:paraId="655D28D5">
      <w:pPr>
        <w:rPr>
          <w:rFonts w:hint="eastAsia"/>
          <w:color w:val="auto"/>
          <w:lang w:val="en-US" w:eastAsia="zh-CN"/>
        </w:rPr>
      </w:pPr>
      <w:r>
        <w:rPr>
          <w:rFonts w:hint="eastAsia"/>
          <w:b/>
          <w:bCs/>
          <w:color w:val="auto"/>
          <w:lang w:val="en-US" w:eastAsia="zh-CN"/>
        </w:rPr>
        <w:t>2.完善消防供水设施。</w:t>
      </w:r>
      <w:r>
        <w:rPr>
          <w:rFonts w:hint="eastAsia"/>
          <w:color w:val="auto"/>
          <w:lang w:val="en-US" w:eastAsia="zh-CN"/>
        </w:rPr>
        <w:t>开展全区消防水源专项排查治理，补建新增市政消火栓，城市建成区市政消火栓达标率达100%。推进老旧小区以及消防水源设施不足的农村地区，因地制宜建设消防水源设施，合理设置天然水源取水点。建设消防水源数字化管理平台，实现水源信息实时监测、智能调度和动态维护。</w:t>
      </w:r>
    </w:p>
    <w:p w14:paraId="490FFDD7">
      <w:pPr>
        <w:rPr>
          <w:rFonts w:hint="eastAsia"/>
          <w:color w:val="auto"/>
          <w:lang w:val="en-US" w:eastAsia="zh-CN"/>
        </w:rPr>
      </w:pPr>
      <w:r>
        <w:rPr>
          <w:rFonts w:hint="eastAsia"/>
          <w:b/>
          <w:bCs/>
          <w:color w:val="auto"/>
          <w:lang w:val="en-US" w:eastAsia="zh-CN"/>
        </w:rPr>
        <w:t>3.实施消防生命通道畅通工程。</w:t>
      </w:r>
      <w:r>
        <w:rPr>
          <w:rFonts w:hint="eastAsia"/>
          <w:color w:val="auto"/>
          <w:lang w:val="en-US" w:eastAsia="zh-CN"/>
        </w:rPr>
        <w:t>建立“交警、城管、消防”联合执法机制，持续清理消防通道障碍物。推广消防通道智能监控系统，实现占用行为自动识别、实时报警和快速处置。</w:t>
      </w:r>
    </w:p>
    <w:p w14:paraId="5EAE445C">
      <w:pPr>
        <w:rPr>
          <w:rFonts w:hint="eastAsia"/>
          <w:color w:val="auto"/>
          <w:lang w:val="en-US" w:eastAsia="zh-CN"/>
        </w:rPr>
      </w:pPr>
      <w:r>
        <w:rPr>
          <w:rFonts w:hint="eastAsia"/>
          <w:b/>
          <w:bCs/>
          <w:color w:val="auto"/>
          <w:lang w:val="en-US" w:eastAsia="zh-CN"/>
        </w:rPr>
        <w:t>4.建设现代化消防通信指挥系统。</w:t>
      </w:r>
      <w:r>
        <w:rPr>
          <w:rFonts w:hint="eastAsia"/>
          <w:color w:val="auto"/>
          <w:lang w:val="en-US" w:eastAsia="zh-CN"/>
        </w:rPr>
        <w:t>升级消防通信网络基础设施，通过通信指挥中心，实现灾害现场音视频实时回传和前后方协同指挥。配备卫星通信车、无人机通信中继、单兵图传等应急通信装备，提升“断电、断路、断通信”等极端条件下的通信保障能力。</w:t>
      </w:r>
    </w:p>
    <w:p w14:paraId="09A71901">
      <w:pPr>
        <w:rPr>
          <w:rFonts w:hint="eastAsia"/>
          <w:color w:val="auto"/>
          <w:lang w:val="en-US" w:eastAsia="zh-CN"/>
        </w:rPr>
      </w:pPr>
      <w:r>
        <w:rPr>
          <w:rFonts w:hint="eastAsia"/>
          <w:b/>
          <w:bCs/>
          <w:color w:val="auto"/>
          <w:lang w:val="en-US" w:eastAsia="zh-CN"/>
        </w:rPr>
        <w:t>5.强化消防控制室标准化管理。</w:t>
      </w:r>
      <w:r>
        <w:rPr>
          <w:rFonts w:hint="eastAsia"/>
          <w:color w:val="auto"/>
          <w:lang w:val="en-US" w:eastAsia="zh-CN"/>
        </w:rPr>
        <w:t>加强建筑消防设施实时监控，落实两人24小时持证上岗；设有消防控制室的单位全部纳入消防一体化系统监管范围，单位场所消防设施物联感知监测设备安装率达100%。</w:t>
      </w:r>
    </w:p>
    <w:p w14:paraId="38AA2CD5">
      <w:pPr>
        <w:outlineLvl w:val="2"/>
        <w:rPr>
          <w:rFonts w:hint="eastAsia"/>
          <w:b w:val="0"/>
          <w:bCs w:val="0"/>
          <w:color w:val="auto"/>
          <w:lang w:val="en-US" w:eastAsia="zh-CN"/>
        </w:rPr>
      </w:pPr>
      <w:bookmarkStart w:id="74" w:name="_Toc16715"/>
      <w:r>
        <w:rPr>
          <w:rFonts w:hint="eastAsia" w:ascii="楷体_GB2312" w:hAnsi="楷体_GB2312" w:eastAsia="楷体_GB2312" w:cs="楷体_GB2312"/>
          <w:b w:val="0"/>
          <w:bCs w:val="0"/>
          <w:color w:val="auto"/>
          <w:lang w:val="en-US" w:eastAsia="zh-CN"/>
        </w:rPr>
        <w:t>（四）持续提升消防法治工作水平</w:t>
      </w:r>
      <w:bookmarkEnd w:id="74"/>
    </w:p>
    <w:p w14:paraId="474EFF59">
      <w:pPr>
        <w:rPr>
          <w:rFonts w:hint="eastAsia"/>
          <w:b w:val="0"/>
          <w:bCs w:val="0"/>
          <w:color w:val="auto"/>
          <w:lang w:val="en-US" w:eastAsia="zh-CN"/>
        </w:rPr>
      </w:pPr>
      <w:r>
        <w:rPr>
          <w:rFonts w:hint="eastAsia"/>
          <w:b/>
          <w:bCs/>
          <w:color w:val="auto"/>
          <w:lang w:val="en-US" w:eastAsia="zh-CN"/>
        </w:rPr>
        <w:t>1.健全消防安全责任体系。</w:t>
      </w:r>
      <w:r>
        <w:rPr>
          <w:rFonts w:hint="eastAsia"/>
          <w:b w:val="0"/>
          <w:bCs w:val="0"/>
          <w:color w:val="auto"/>
          <w:lang w:val="en-US" w:eastAsia="zh-CN"/>
        </w:rPr>
        <w:t>严格落实“党政同责、一岗双责、齐抓共管、失职追责”要求，健全由区政府主要负责人或分管负责人牵头的消防安全协调机制，制定区政府、部门、乡镇（街道）三级消防安全责任清单，明确各级主要负责人为第一责任人、分管负责人为主要责任人。构建“行业+专业+综合+属地”四位一体监管体系，推动行业主管部门落实“三管三必须”要求，明确消防安全管理机构和人员，推行消防安全标准化管理。完善消防安全信用记录制度，将消防安全信用评价结果纳入信用信息平台，作为保险、信贷、财政奖补等参考依据，依法依规实施联合惩戒。全面推行火灾事故延伸调查制度，对一般火灾事故强化技术及管理责任调查，对较大及以上亡人火灾事故依法成立事故调查组，严格执行重大火灾隐患“一案三查”（查事故原因、查监管责任、查制度漏洞），依法依规厘清新兴业态、交叉领域监管职责，按领域归口、业务相近原则明确责任主体。</w:t>
      </w:r>
    </w:p>
    <w:p w14:paraId="63303239">
      <w:pPr>
        <w:rPr>
          <w:rFonts w:hint="eastAsia"/>
          <w:b w:val="0"/>
          <w:bCs w:val="0"/>
          <w:color w:val="auto"/>
          <w:lang w:val="en-US" w:eastAsia="zh-CN"/>
        </w:rPr>
      </w:pPr>
      <w:r>
        <w:rPr>
          <w:rFonts w:hint="eastAsia"/>
          <w:b/>
          <w:bCs/>
          <w:color w:val="auto"/>
          <w:lang w:val="en-US" w:eastAsia="zh-CN"/>
        </w:rPr>
        <w:t>2.深化消防“放管服”改革。</w:t>
      </w:r>
      <w:r>
        <w:rPr>
          <w:rFonts w:hint="eastAsia"/>
          <w:b w:val="0"/>
          <w:bCs w:val="0"/>
          <w:color w:val="auto"/>
          <w:lang w:val="en-US" w:eastAsia="zh-CN"/>
        </w:rPr>
        <w:t>全面推行公众聚集场所消防安全告知承诺制，优化消防行政许可流程，推进与住建部门审批结果互认，融入“高效办成一件事”改革。鼓励开业前检查“一网通办”和“承诺制”办理，探索分级审批模式，深化并联审批压缩办理时限。建设消防技术服务网上管理平台，加强对消防技术服务机构的事中事后监管，规范执业行为。</w:t>
      </w:r>
    </w:p>
    <w:p w14:paraId="5832D79A">
      <w:pPr>
        <w:rPr>
          <w:rFonts w:hint="eastAsia"/>
          <w:b w:val="0"/>
          <w:bCs w:val="0"/>
          <w:color w:val="auto"/>
          <w:lang w:val="en-US" w:eastAsia="zh-CN"/>
        </w:rPr>
      </w:pPr>
      <w:r>
        <w:rPr>
          <w:rFonts w:hint="eastAsia"/>
          <w:b/>
          <w:bCs/>
          <w:color w:val="auto"/>
          <w:lang w:val="en-US" w:eastAsia="zh-CN"/>
        </w:rPr>
        <w:t>3.严格落实消防法规标准要求。</w:t>
      </w:r>
      <w:r>
        <w:rPr>
          <w:rFonts w:hint="eastAsia"/>
          <w:b w:val="0"/>
          <w:bCs w:val="0"/>
          <w:color w:val="auto"/>
          <w:lang w:val="en-US" w:eastAsia="zh-CN"/>
        </w:rPr>
        <w:t>严格落实国家及本市相关消防安全法规标准，结合怀柔实际，细化落实重点区域消防安全管理要求，严格执行民宿、储能电站、气膜馆、临时设施等新业态消防技术规范，确保各类场所消防安全管理有据可依、落实到位。</w:t>
      </w:r>
    </w:p>
    <w:p w14:paraId="533660C1">
      <w:pPr>
        <w:rPr>
          <w:rFonts w:hint="eastAsia"/>
          <w:b w:val="0"/>
          <w:bCs w:val="0"/>
          <w:color w:val="auto"/>
          <w:lang w:val="en-US" w:eastAsia="zh-CN"/>
        </w:rPr>
      </w:pPr>
      <w:r>
        <w:rPr>
          <w:rFonts w:hint="eastAsia"/>
          <w:b/>
          <w:bCs/>
          <w:color w:val="auto"/>
          <w:lang w:val="en-US" w:eastAsia="zh-CN"/>
        </w:rPr>
        <w:t>4.提升消防执法规范化水平。</w:t>
      </w:r>
      <w:r>
        <w:rPr>
          <w:rFonts w:hint="eastAsia"/>
          <w:b w:val="0"/>
          <w:bCs w:val="0"/>
          <w:color w:val="auto"/>
          <w:lang w:val="en-US" w:eastAsia="zh-CN"/>
        </w:rPr>
        <w:t>严格执行消防执法人员双人执法、持证上岗和资格管理制度。全面推行执法公示、执法全过程记录、重大执法决定法制审核制度。建立执法质量考评机制，每年组织执法案卷评查，提升执法公信力和群众满意度。</w:t>
      </w:r>
    </w:p>
    <w:p w14:paraId="6F2BCFF2">
      <w:pPr>
        <w:outlineLvl w:val="2"/>
        <w:rPr>
          <w:rFonts w:hint="eastAsia"/>
          <w:color w:val="auto"/>
          <w:lang w:val="en-US" w:eastAsia="zh-CN"/>
        </w:rPr>
      </w:pPr>
      <w:bookmarkStart w:id="75" w:name="_Toc12240"/>
      <w:r>
        <w:rPr>
          <w:rFonts w:hint="eastAsia" w:ascii="楷体_GB2312" w:hAnsi="楷体_GB2312" w:eastAsia="楷体_GB2312" w:cs="楷体_GB2312"/>
          <w:b w:val="0"/>
          <w:bCs w:val="0"/>
          <w:color w:val="auto"/>
          <w:lang w:val="en-US" w:eastAsia="zh-CN"/>
        </w:rPr>
        <w:t>（五）强化科技赋能智慧消防建设</w:t>
      </w:r>
      <w:bookmarkEnd w:id="75"/>
    </w:p>
    <w:p w14:paraId="5E34E54B">
      <w:pPr>
        <w:rPr>
          <w:rFonts w:hint="eastAsia"/>
          <w:color w:val="auto"/>
          <w:lang w:val="en-US" w:eastAsia="zh-CN"/>
        </w:rPr>
      </w:pPr>
      <w:r>
        <w:rPr>
          <w:rFonts w:hint="eastAsia"/>
          <w:b/>
          <w:bCs/>
          <w:color w:val="auto"/>
          <w:lang w:val="en-US" w:eastAsia="zh-CN"/>
        </w:rPr>
        <w:t>1.构建全域覆盖的消防物联感知网络。</w:t>
      </w:r>
      <w:r>
        <w:rPr>
          <w:rFonts w:hint="eastAsia"/>
          <w:color w:val="auto"/>
          <w:lang w:val="en-US" w:eastAsia="zh-CN"/>
        </w:rPr>
        <w:t>扩大智能感知设备覆盖范围，在老旧小区、人员密集场所、危险化学品单位等重点区域推广安装电气火灾监控、智能梯控、消防水系统监测、燃气泄漏报警等物联感知设备，强化“三水一电”（消防水系统、电气安全监控）实时监测能力。推动消防安全监测数据全面接入市级消防物联网监测预警平台，实现风险早期感知和智能预警。</w:t>
      </w:r>
    </w:p>
    <w:p w14:paraId="3860C6AA">
      <w:pPr>
        <w:rPr>
          <w:rFonts w:hint="eastAsia"/>
          <w:color w:val="auto"/>
          <w:lang w:val="en-US" w:eastAsia="zh-CN"/>
        </w:rPr>
      </w:pPr>
      <w:r>
        <w:rPr>
          <w:rFonts w:hint="eastAsia"/>
          <w:b/>
          <w:bCs/>
          <w:color w:val="auto"/>
          <w:lang w:val="en-US" w:eastAsia="zh-CN"/>
        </w:rPr>
        <w:t>2.建设智慧型消防指挥调度平台。</w:t>
      </w:r>
      <w:r>
        <w:rPr>
          <w:rFonts w:hint="eastAsia"/>
          <w:color w:val="auto"/>
          <w:lang w:val="en-US" w:eastAsia="zh-CN"/>
        </w:rPr>
        <w:t>围绕“全灾种、大应急”实战需求，持续推进消防指挥中心智能化升级，综合运用物联网、云计算、大数据、移动互联网等新兴信息技术，深化信息资源整合与部门间数据共享，统筹调度各类专业处置力量，构建立体化、全覆盖的防灾救灾指挥体系，全面提升消防救援作战指挥的信息化、智能化、专业化水平。</w:t>
      </w:r>
    </w:p>
    <w:p w14:paraId="5B1710C2">
      <w:pPr>
        <w:outlineLvl w:val="1"/>
        <w:rPr>
          <w:rFonts w:hint="eastAsia" w:ascii="黑体" w:hAnsi="黑体" w:eastAsia="黑体" w:cs="黑体"/>
          <w:color w:val="auto"/>
          <w:lang w:val="en-US" w:eastAsia="zh-CN"/>
        </w:rPr>
      </w:pPr>
      <w:bookmarkStart w:id="76" w:name="_Toc18374"/>
      <w:r>
        <w:rPr>
          <w:rFonts w:hint="eastAsia" w:ascii="黑体" w:hAnsi="黑体" w:eastAsia="黑体" w:cs="黑体"/>
          <w:color w:val="auto"/>
          <w:lang w:val="en-US" w:eastAsia="zh-CN"/>
        </w:rPr>
        <w:t>五、防震减灾篇：提升地震灾害综合防御能力</w:t>
      </w:r>
      <w:bookmarkEnd w:id="76"/>
    </w:p>
    <w:p w14:paraId="40B2C46B">
      <w:pPr>
        <w:outlineLvl w:val="2"/>
        <w:rPr>
          <w:rFonts w:hint="eastAsia"/>
          <w:color w:val="auto"/>
          <w:lang w:val="en-US" w:eastAsia="zh-CN"/>
        </w:rPr>
      </w:pPr>
      <w:bookmarkStart w:id="77" w:name="_Toc29315"/>
      <w:r>
        <w:rPr>
          <w:rFonts w:hint="eastAsia" w:ascii="楷体_GB2312" w:hAnsi="楷体_GB2312" w:eastAsia="楷体_GB2312" w:cs="楷体_GB2312"/>
          <w:b w:val="0"/>
          <w:bCs w:val="0"/>
          <w:color w:val="auto"/>
          <w:lang w:val="en-US" w:eastAsia="zh-CN"/>
        </w:rPr>
        <w:t>（一）提升地震监测预警能力</w:t>
      </w:r>
      <w:bookmarkEnd w:id="77"/>
    </w:p>
    <w:p w14:paraId="20C706AE">
      <w:pPr>
        <w:rPr>
          <w:rFonts w:hint="eastAsia"/>
          <w:color w:val="auto"/>
          <w:lang w:val="en-US" w:eastAsia="zh-CN"/>
        </w:rPr>
      </w:pPr>
      <w:r>
        <w:rPr>
          <w:rFonts w:hint="eastAsia"/>
          <w:b/>
          <w:bCs/>
          <w:color w:val="auto"/>
          <w:lang w:val="en-US" w:eastAsia="zh-CN"/>
        </w:rPr>
        <w:t>1.完善地震监测网络布局。</w:t>
      </w:r>
      <w:r>
        <w:rPr>
          <w:rFonts w:hint="eastAsia"/>
          <w:color w:val="auto"/>
          <w:lang w:val="en-US" w:eastAsia="zh-CN"/>
        </w:rPr>
        <w:t>配合北京市地震局，升级改造怀柔现有地震监测台站，合理增设地球物理观测站点，提升全区地震监测能力。加强测震、烈度速报与地球物理站网建设，增强重要活动断层的动态监测能力。</w:t>
      </w:r>
    </w:p>
    <w:p w14:paraId="1351B14E">
      <w:pPr>
        <w:rPr>
          <w:rFonts w:hint="eastAsia"/>
          <w:color w:val="auto"/>
          <w:lang w:val="en-US" w:eastAsia="zh-CN"/>
        </w:rPr>
      </w:pPr>
      <w:r>
        <w:rPr>
          <w:rFonts w:hint="eastAsia"/>
          <w:b/>
          <w:bCs/>
          <w:color w:val="auto"/>
          <w:lang w:val="en-US" w:eastAsia="zh-CN"/>
        </w:rPr>
        <w:t>2.强化监测设施运维保障。</w:t>
      </w:r>
      <w:r>
        <w:rPr>
          <w:rFonts w:hint="eastAsia"/>
          <w:color w:val="auto"/>
          <w:lang w:val="en-US" w:eastAsia="zh-CN"/>
        </w:rPr>
        <w:t>建立常态化地震观测设施巡检维护制度，按要求设立保护标志和隔离设施，保障台站观测环境安全和设备稳定可靠运行，确保观测数据连续率。配合市级建设地震监测数据中心，实现监测数据的实时传输、智能分析和汇交共享。</w:t>
      </w:r>
    </w:p>
    <w:p w14:paraId="5D404F81">
      <w:pPr>
        <w:rPr>
          <w:rFonts w:hint="eastAsia"/>
          <w:color w:val="auto"/>
          <w:lang w:val="en-US" w:eastAsia="zh-CN"/>
        </w:rPr>
      </w:pPr>
      <w:r>
        <w:rPr>
          <w:rFonts w:hint="eastAsia"/>
          <w:b/>
          <w:bCs/>
          <w:color w:val="auto"/>
          <w:lang w:val="en-US" w:eastAsia="zh-CN"/>
        </w:rPr>
        <w:t>3.拓展预警信息服务应用。</w:t>
      </w:r>
      <w:r>
        <w:rPr>
          <w:rFonts w:hint="eastAsia"/>
          <w:color w:val="auto"/>
          <w:lang w:val="en-US" w:eastAsia="zh-CN"/>
        </w:rPr>
        <w:t>配合市级部署，积极拓展地震预警小程序等平台的覆盖范围和受众群体。重点推进学校、医院、大型商业综合体、科学城大科学装置、国际会都会议场馆等人员密集场所和重要设施的预警信息服务终端建设，实现地震预警信息的精准快速接收。针对交通、水利、电力、燃气等城市生命线工程，推进分级分类的地震预警信息服务应用。</w:t>
      </w:r>
    </w:p>
    <w:p w14:paraId="7B233160">
      <w:pPr>
        <w:outlineLvl w:val="2"/>
        <w:rPr>
          <w:rFonts w:hint="eastAsia"/>
          <w:color w:val="auto"/>
          <w:lang w:val="en-US" w:eastAsia="zh-CN"/>
        </w:rPr>
      </w:pPr>
      <w:bookmarkStart w:id="78" w:name="_Toc733"/>
      <w:r>
        <w:rPr>
          <w:rFonts w:hint="eastAsia" w:ascii="楷体_GB2312" w:hAnsi="楷体_GB2312" w:eastAsia="楷体_GB2312" w:cs="楷体_GB2312"/>
          <w:b w:val="0"/>
          <w:bCs w:val="0"/>
          <w:color w:val="auto"/>
          <w:lang w:val="en-US" w:eastAsia="zh-CN"/>
        </w:rPr>
        <w:t>（二）增强地震灾害风险防御能力</w:t>
      </w:r>
      <w:bookmarkEnd w:id="78"/>
    </w:p>
    <w:p w14:paraId="2119D3FA">
      <w:pPr>
        <w:rPr>
          <w:rFonts w:hint="eastAsia"/>
          <w:color w:val="auto"/>
          <w:lang w:val="en-US" w:eastAsia="zh-CN"/>
        </w:rPr>
      </w:pPr>
      <w:r>
        <w:rPr>
          <w:rFonts w:hint="eastAsia"/>
          <w:b/>
          <w:bCs/>
          <w:color w:val="auto"/>
          <w:lang w:val="en-US" w:eastAsia="zh-CN"/>
        </w:rPr>
        <w:t>1.深化地震构造探查与风险评估。</w:t>
      </w:r>
      <w:r>
        <w:rPr>
          <w:rFonts w:hint="eastAsia"/>
          <w:color w:val="auto"/>
          <w:lang w:val="en-US" w:eastAsia="zh-CN"/>
        </w:rPr>
        <w:t>配合北京市地震局，推进“透明北京”超密集观测二期工程在怀柔的实施，参与山区－浅山区“两线一面”构造探测，加强地震灾害监测防治。</w:t>
      </w:r>
    </w:p>
    <w:p w14:paraId="193B2093">
      <w:pPr>
        <w:rPr>
          <w:rFonts w:hint="eastAsia"/>
          <w:color w:val="auto"/>
          <w:lang w:val="en-US" w:eastAsia="zh-CN"/>
        </w:rPr>
      </w:pPr>
      <w:r>
        <w:rPr>
          <w:rFonts w:hint="eastAsia"/>
          <w:b/>
          <w:bCs/>
          <w:color w:val="auto"/>
          <w:lang w:val="en-US" w:eastAsia="zh-CN"/>
        </w:rPr>
        <w:t>2.强化抗震设防源头管控。</w:t>
      </w:r>
      <w:r>
        <w:rPr>
          <w:rFonts w:hint="eastAsia"/>
          <w:color w:val="auto"/>
          <w:lang w:val="en-US" w:eastAsia="zh-CN"/>
        </w:rPr>
        <w:t>全面开展区域性地震安全性评价，将地震活动断层探测和地震动参数精细区划成果深度应用于国土空间规划、怀柔科学城产业布局、重大工程选址立项。完善重大项目地震安全性评价论证制度，确保重要基础设施、生命线工程和人员密集场所按高于一般建筑的标准进行抗震设防。</w:t>
      </w:r>
    </w:p>
    <w:p w14:paraId="489605EA">
      <w:pPr>
        <w:rPr>
          <w:rFonts w:hint="eastAsia"/>
          <w:color w:val="auto"/>
          <w:lang w:val="en-US" w:eastAsia="zh-CN"/>
        </w:rPr>
      </w:pPr>
      <w:r>
        <w:rPr>
          <w:rFonts w:hint="eastAsia"/>
          <w:b/>
          <w:bCs/>
          <w:color w:val="auto"/>
          <w:lang w:val="en-US" w:eastAsia="zh-CN"/>
        </w:rPr>
        <w:t>3.推进既有建筑抗震加固。</w:t>
      </w:r>
      <w:r>
        <w:rPr>
          <w:rFonts w:hint="eastAsia"/>
          <w:color w:val="auto"/>
          <w:lang w:val="en-US" w:eastAsia="zh-CN"/>
        </w:rPr>
        <w:t>统筹老旧小区改造、农村危房改造和抗震加固，实施人员密集场所（学校、医院、养老院）和重要公共建筑抗震加固行动计划。开展农村民居抗震改造示范，推广抗震节能农宅建设，逐步消除不设防农村民居，提升城乡建筑抗震设防整体水平。持续推进老旧桥梁、供水、供电、通信等基础设施的抗震性能评估与加固改造。</w:t>
      </w:r>
    </w:p>
    <w:p w14:paraId="453D4E38">
      <w:pPr>
        <w:outlineLvl w:val="2"/>
        <w:rPr>
          <w:rFonts w:hint="default" w:ascii="楷体_GB2312" w:hAnsi="楷体_GB2312" w:eastAsia="楷体_GB2312" w:cs="楷体_GB2312"/>
          <w:b w:val="0"/>
          <w:bCs w:val="0"/>
          <w:color w:val="auto"/>
          <w:lang w:val="en-US" w:eastAsia="zh-CN"/>
        </w:rPr>
      </w:pPr>
      <w:bookmarkStart w:id="79" w:name="_Toc9929"/>
      <w:r>
        <w:rPr>
          <w:rFonts w:hint="eastAsia" w:ascii="楷体_GB2312" w:hAnsi="楷体_GB2312" w:eastAsia="楷体_GB2312" w:cs="楷体_GB2312"/>
          <w:b w:val="0"/>
          <w:bCs w:val="0"/>
          <w:color w:val="auto"/>
          <w:lang w:val="en-US" w:eastAsia="zh-CN"/>
        </w:rPr>
        <w:t>（三）提升地震应急响应能力</w:t>
      </w:r>
      <w:bookmarkEnd w:id="79"/>
    </w:p>
    <w:p w14:paraId="4324A13D">
      <w:pPr>
        <w:rPr>
          <w:rFonts w:hint="eastAsia"/>
          <w:color w:val="auto"/>
          <w:lang w:val="en-US" w:eastAsia="zh-CN"/>
        </w:rPr>
      </w:pPr>
      <w:r>
        <w:rPr>
          <w:rFonts w:hint="eastAsia"/>
          <w:b/>
          <w:bCs/>
          <w:color w:val="auto"/>
          <w:lang w:val="en-US" w:eastAsia="zh-CN"/>
        </w:rPr>
        <w:t>1.完善应急响应机制。</w:t>
      </w:r>
      <w:r>
        <w:rPr>
          <w:rFonts w:hint="eastAsia"/>
          <w:color w:val="auto"/>
          <w:lang w:val="en-US" w:eastAsia="zh-CN"/>
        </w:rPr>
        <w:t>修订完善区、镇乡（街道）两级地震应急预案，强化与市级预案的衔接，细化应急响应流程图、指令卡、指挥手册。健全多部门应急处置联动机制，明确抗震救灾指挥部各成员单位职责分工。完善地震突发事件舆情引导工作机制，规范信息发布流程。</w:t>
      </w:r>
    </w:p>
    <w:p w14:paraId="3A32F966">
      <w:pPr>
        <w:rPr>
          <w:rFonts w:hint="eastAsia"/>
          <w:color w:val="auto"/>
          <w:lang w:val="en-US" w:eastAsia="zh-CN"/>
        </w:rPr>
      </w:pPr>
      <w:r>
        <w:rPr>
          <w:rFonts w:hint="eastAsia"/>
          <w:b/>
          <w:bCs/>
          <w:color w:val="auto"/>
          <w:lang w:val="en-US" w:eastAsia="zh-CN"/>
        </w:rPr>
        <w:t>2.加强应急基础能力建设。</w:t>
      </w:r>
      <w:r>
        <w:rPr>
          <w:rFonts w:hint="eastAsia"/>
          <w:color w:val="auto"/>
          <w:lang w:val="en-US" w:eastAsia="zh-CN"/>
        </w:rPr>
        <w:t>依托灾害信息员队伍，加强防震减灾知识和灾情报送技能培训，提升震后灾情信息快速获取与核报能力。做好重点时段、重大活动（如重大国事活动、北京国际电影节等）的地震安全保障服务与应急值守。</w:t>
      </w:r>
    </w:p>
    <w:p w14:paraId="660C72A3">
      <w:pPr>
        <w:rPr>
          <w:rFonts w:hint="eastAsia"/>
          <w:color w:val="auto"/>
          <w:lang w:val="en-US" w:eastAsia="zh-CN"/>
        </w:rPr>
      </w:pPr>
      <w:r>
        <w:rPr>
          <w:rFonts w:hint="eastAsia"/>
          <w:b/>
          <w:bCs/>
          <w:color w:val="auto"/>
          <w:lang w:val="en-US" w:eastAsia="zh-CN"/>
        </w:rPr>
        <w:t>3.开展应急演练与培训。</w:t>
      </w:r>
      <w:r>
        <w:rPr>
          <w:rFonts w:hint="eastAsia"/>
          <w:color w:val="auto"/>
          <w:lang w:val="en-US" w:eastAsia="zh-CN"/>
        </w:rPr>
        <w:t>定期组织开展地震应急指挥演练和覆盖城乡的全要素综合性演练。组织面向基层干部、应急救援人员、网格员、志愿者及公众的防震减灾知识技能培训，推进学校、社区、企业地震应急疏散演练常态化、规范化。</w:t>
      </w:r>
    </w:p>
    <w:p w14:paraId="3B6ECD0B">
      <w:pPr>
        <w:outlineLvl w:val="2"/>
        <w:rPr>
          <w:rFonts w:hint="eastAsia"/>
          <w:color w:val="auto"/>
          <w:lang w:val="en-US" w:eastAsia="zh-CN"/>
        </w:rPr>
      </w:pPr>
      <w:bookmarkStart w:id="80" w:name="_Toc26631"/>
      <w:r>
        <w:rPr>
          <w:rFonts w:hint="eastAsia" w:ascii="楷体_GB2312" w:hAnsi="楷体_GB2312" w:eastAsia="楷体_GB2312" w:cs="楷体_GB2312"/>
          <w:b w:val="0"/>
          <w:bCs w:val="0"/>
          <w:color w:val="auto"/>
          <w:lang w:val="en-US" w:eastAsia="zh-CN"/>
        </w:rPr>
        <w:t>（四）提升防震减灾公共服务效能</w:t>
      </w:r>
      <w:bookmarkEnd w:id="80"/>
    </w:p>
    <w:p w14:paraId="0606372F">
      <w:pPr>
        <w:rPr>
          <w:rFonts w:hint="eastAsia"/>
          <w:color w:val="auto"/>
          <w:lang w:val="en-US" w:eastAsia="zh-CN"/>
        </w:rPr>
      </w:pPr>
      <w:r>
        <w:rPr>
          <w:rFonts w:hint="eastAsia"/>
          <w:b/>
          <w:bCs/>
          <w:color w:val="auto"/>
          <w:lang w:val="en-US" w:eastAsia="zh-CN"/>
        </w:rPr>
        <w:t>1.创新科普宣传方式与内容。</w:t>
      </w:r>
      <w:r>
        <w:rPr>
          <w:rFonts w:hint="eastAsia"/>
          <w:color w:val="auto"/>
          <w:lang w:val="en-US" w:eastAsia="zh-CN"/>
        </w:rPr>
        <w:t>充分利用政府网站、社交媒体、广播电视、应急广播等平台，扩大宣传覆盖面。制作发放形式多样的防震减灾宣传品，开发短视频、动漫、VR体验等新媒体科普产品，提升公众参与度和宣传效果。结合怀柔山区旅游特点，在旅游景区、民宿民俗户中开展针对性地震避险宣传。</w:t>
      </w:r>
    </w:p>
    <w:p w14:paraId="0F8A0FEA">
      <w:pPr>
        <w:rPr>
          <w:rFonts w:hint="eastAsia"/>
          <w:color w:val="auto"/>
          <w:lang w:val="en-US" w:eastAsia="zh-CN"/>
        </w:rPr>
      </w:pPr>
      <w:r>
        <w:rPr>
          <w:rFonts w:hint="eastAsia"/>
          <w:b/>
          <w:bCs/>
          <w:color w:val="auto"/>
          <w:lang w:val="en-US" w:eastAsia="zh-CN"/>
        </w:rPr>
        <w:t>2.深化科普“五进”活动。</w:t>
      </w:r>
      <w:r>
        <w:rPr>
          <w:rFonts w:hint="eastAsia"/>
          <w:color w:val="auto"/>
          <w:lang w:val="en-US" w:eastAsia="zh-CN"/>
        </w:rPr>
        <w:t>持续深入开展防震减灾知识“进学校、进社区、进企业、进农村、进家庭”活动，重点加强对怀柔科学城科研人员、国际会都会展从业者、山区中小学生、农村留守老人等重点人群的科普宣传，着力克服公众侥幸心理，提升避险意识。</w:t>
      </w:r>
    </w:p>
    <w:p w14:paraId="1DDA48DC">
      <w:pPr>
        <w:rPr>
          <w:rFonts w:hint="eastAsia"/>
          <w:color w:val="auto"/>
          <w:lang w:val="en-US" w:eastAsia="zh-CN"/>
        </w:rPr>
      </w:pPr>
      <w:r>
        <w:rPr>
          <w:rFonts w:hint="eastAsia"/>
          <w:b/>
          <w:bCs/>
          <w:color w:val="auto"/>
          <w:lang w:val="en-US" w:eastAsia="zh-CN"/>
        </w:rPr>
        <w:t>3.拓展公共服务覆盖领域。</w:t>
      </w:r>
      <w:r>
        <w:rPr>
          <w:rFonts w:hint="eastAsia"/>
          <w:color w:val="auto"/>
          <w:lang w:val="en-US" w:eastAsia="zh-CN"/>
        </w:rPr>
        <w:t>面向政府决策、国土规划、工程建设、重大活动安全保障等领域，提供专业化防震减灾服务产品。编制并发放通俗易懂的地震应急避险指南与家庭应急准备手册，指导家庭做好应急物资储备和避险演练。加强与科研院所、高校在监测预报、地震构造探查、情景构建等领域的深度合作，引导社会力量有序参与防震减灾公共服务，形成“政府+市场+社会”多元共治的良好格局。</w:t>
      </w:r>
    </w:p>
    <w:p w14:paraId="4D2B4FE1">
      <w:pPr>
        <w:rPr>
          <w:rFonts w:hint="eastAsia"/>
          <w:color w:val="auto"/>
          <w:lang w:val="en-US" w:eastAsia="zh-CN"/>
        </w:rPr>
      </w:pPr>
      <w:r>
        <w:rPr>
          <w:rFonts w:hint="eastAsia"/>
          <w:b/>
          <w:bCs/>
          <w:color w:val="auto"/>
          <w:lang w:val="en-US" w:eastAsia="zh-CN"/>
        </w:rPr>
        <w:t>4.提升公众应急避险能力。</w:t>
      </w:r>
      <w:r>
        <w:rPr>
          <w:rFonts w:hint="eastAsia"/>
          <w:color w:val="auto"/>
          <w:lang w:val="en-US" w:eastAsia="zh-CN"/>
        </w:rPr>
        <w:t>结合“全国防灾减灾日”“唐山大地震纪念日”等重要节点，组织开展形式多样的主题宣传活动，切实提升社会公众的自救互救能力和防震减灾意识，筑牢防灾减灾救灾的人民防线。</w:t>
      </w:r>
    </w:p>
    <w:p w14:paraId="61E0F578">
      <w:pPr>
        <w:outlineLvl w:val="1"/>
        <w:rPr>
          <w:rFonts w:hint="default" w:ascii="黑体" w:hAnsi="黑体" w:eastAsia="黑体" w:cs="黑体"/>
          <w:color w:val="auto"/>
          <w:lang w:val="en-US" w:eastAsia="zh-CN"/>
        </w:rPr>
      </w:pPr>
      <w:bookmarkStart w:id="81" w:name="_Toc22906"/>
      <w:r>
        <w:rPr>
          <w:rFonts w:hint="eastAsia" w:ascii="黑体" w:hAnsi="黑体" w:eastAsia="黑体" w:cs="黑体"/>
          <w:color w:val="auto"/>
          <w:lang w:val="en-US" w:eastAsia="zh-CN"/>
        </w:rPr>
        <w:t>六、应急保障篇：夯实支撑有力的资源底座</w:t>
      </w:r>
      <w:bookmarkEnd w:id="81"/>
    </w:p>
    <w:p w14:paraId="3979C73A">
      <w:pPr>
        <w:outlineLvl w:val="2"/>
        <w:rPr>
          <w:rFonts w:hint="default" w:ascii="楷体_GB2312" w:hAnsi="楷体_GB2312" w:eastAsia="楷体_GB2312" w:cs="楷体_GB2312"/>
          <w:b w:val="0"/>
          <w:bCs w:val="0"/>
          <w:color w:val="auto"/>
          <w:lang w:val="en-US" w:eastAsia="zh-CN"/>
        </w:rPr>
      </w:pPr>
      <w:bookmarkStart w:id="82" w:name="_Toc28941"/>
      <w:r>
        <w:rPr>
          <w:rFonts w:hint="eastAsia" w:ascii="楷体_GB2312" w:hAnsi="楷体_GB2312" w:eastAsia="楷体_GB2312" w:cs="楷体_GB2312"/>
          <w:b w:val="0"/>
          <w:bCs w:val="0"/>
          <w:color w:val="auto"/>
          <w:lang w:val="en-US" w:eastAsia="zh-CN"/>
        </w:rPr>
        <w:t>（一）</w:t>
      </w:r>
      <w:r>
        <w:rPr>
          <w:rFonts w:hint="default" w:ascii="楷体_GB2312" w:hAnsi="楷体_GB2312" w:eastAsia="楷体_GB2312" w:cs="楷体_GB2312"/>
          <w:b w:val="0"/>
          <w:bCs w:val="0"/>
          <w:color w:val="auto"/>
          <w:lang w:val="en-US" w:eastAsia="zh-CN"/>
        </w:rPr>
        <w:t>完善应急管理法治体系</w:t>
      </w:r>
      <w:bookmarkEnd w:id="82"/>
    </w:p>
    <w:p w14:paraId="0E5CB406">
      <w:pPr>
        <w:rPr>
          <w:rFonts w:hint="default"/>
          <w:color w:val="auto"/>
          <w:highlight w:val="none"/>
          <w:lang w:val="en-US" w:eastAsia="zh-CN"/>
        </w:rPr>
      </w:pPr>
      <w:r>
        <w:rPr>
          <w:rFonts w:hint="eastAsia"/>
          <w:b/>
          <w:bCs/>
          <w:color w:val="auto"/>
          <w:highlight w:val="none"/>
          <w:lang w:val="en-US" w:eastAsia="zh-CN"/>
        </w:rPr>
        <w:t>1.</w:t>
      </w:r>
      <w:r>
        <w:rPr>
          <w:rFonts w:hint="default"/>
          <w:b/>
          <w:bCs/>
          <w:color w:val="auto"/>
          <w:highlight w:val="none"/>
          <w:lang w:val="en-US" w:eastAsia="zh-CN"/>
        </w:rPr>
        <w:t>完善配套制度与地方标准。</w:t>
      </w:r>
      <w:r>
        <w:rPr>
          <w:rFonts w:hint="default"/>
          <w:color w:val="auto"/>
          <w:highlight w:val="none"/>
          <w:lang w:val="en-US" w:eastAsia="zh-CN"/>
        </w:rPr>
        <w:t>严格执行国家及北京市应急管理相关法律法规，积极配合市级立法修订工作，结合怀柔区“一城两都”建设和生态涵养区定位，开展区域性危险化学品、旅游景区、森林防火等重点领域安全管理配套制度研究。推进应急管理标准化建设，围绕科学城大科学装置运行、国际会都重大活动保障、中国影都拍摄场景安全、山区旅游民宿管理等区域特色，参与或主导制定相关应急管理地方标准。</w:t>
      </w:r>
    </w:p>
    <w:p w14:paraId="650C0D2F">
      <w:pPr>
        <w:rPr>
          <w:rFonts w:hint="default"/>
          <w:color w:val="auto"/>
          <w:highlight w:val="none"/>
          <w:lang w:val="en-US" w:eastAsia="zh-CN"/>
        </w:rPr>
      </w:pPr>
      <w:r>
        <w:rPr>
          <w:rFonts w:hint="eastAsia"/>
          <w:b/>
          <w:bCs/>
          <w:color w:val="auto"/>
          <w:highlight w:val="none"/>
          <w:lang w:val="en-US" w:eastAsia="zh-CN"/>
        </w:rPr>
        <w:t>2.</w:t>
      </w:r>
      <w:r>
        <w:rPr>
          <w:rFonts w:hint="default"/>
          <w:b/>
          <w:bCs/>
          <w:color w:val="auto"/>
          <w:highlight w:val="none"/>
          <w:lang w:val="en-US" w:eastAsia="zh-CN"/>
        </w:rPr>
        <w:t>健全信用分级分类监管机制。</w:t>
      </w:r>
      <w:r>
        <w:rPr>
          <w:rFonts w:hint="default"/>
          <w:color w:val="auto"/>
          <w:highlight w:val="none"/>
          <w:lang w:val="en-US" w:eastAsia="zh-CN"/>
        </w:rPr>
        <w:t>完善以信用评价为基础的分级分类监管机制，健全信用修复制度，建立安全生产守信激励和失信惩戒闭环管理机制。将行政处罚、事故信息纳入信用档案，对失信主体实施联合惩戒，鼓励失信主体主动纠正违法行为。</w:t>
      </w:r>
    </w:p>
    <w:p w14:paraId="7C388F33">
      <w:pPr>
        <w:rPr>
          <w:rFonts w:hint="default"/>
          <w:color w:val="auto"/>
          <w:highlight w:val="none"/>
          <w:lang w:val="en-US" w:eastAsia="zh-CN"/>
        </w:rPr>
      </w:pPr>
      <w:r>
        <w:rPr>
          <w:rFonts w:hint="eastAsia"/>
          <w:b/>
          <w:bCs/>
          <w:color w:val="auto"/>
          <w:highlight w:val="none"/>
          <w:lang w:val="en-US" w:eastAsia="zh-CN"/>
        </w:rPr>
        <w:t>3.</w:t>
      </w:r>
      <w:r>
        <w:rPr>
          <w:rFonts w:hint="default"/>
          <w:b/>
          <w:bCs/>
          <w:color w:val="auto"/>
          <w:highlight w:val="none"/>
          <w:lang w:val="en-US" w:eastAsia="zh-CN"/>
        </w:rPr>
        <w:t>规范行政执法与优化营商环境。</w:t>
      </w:r>
      <w:r>
        <w:rPr>
          <w:rFonts w:hint="default"/>
          <w:color w:val="auto"/>
          <w:highlight w:val="none"/>
          <w:lang w:val="en-US" w:eastAsia="zh-CN"/>
        </w:rPr>
        <w:t>依法规范行政执法行为，细化行政处罚裁量基准，完善执法程序，强化涉企行政检查的规范性与透明度，全面推行行政执法“三项制度”</w:t>
      </w:r>
      <w:r>
        <w:rPr>
          <w:rFonts w:hint="eastAsia"/>
          <w:color w:val="auto"/>
          <w:highlight w:val="none"/>
          <w:lang w:val="en-US" w:eastAsia="zh-CN"/>
        </w:rPr>
        <w:t>。</w:t>
      </w:r>
      <w:r>
        <w:rPr>
          <w:rFonts w:hint="default"/>
          <w:color w:val="auto"/>
          <w:highlight w:val="none"/>
          <w:lang w:val="en-US" w:eastAsia="zh-CN"/>
        </w:rPr>
        <w:t>落实应急管理领域轻微违法行为依法不予行政处罚清单，优化营商环境。</w:t>
      </w:r>
    </w:p>
    <w:p w14:paraId="27B1246F">
      <w:pPr>
        <w:outlineLvl w:val="2"/>
        <w:rPr>
          <w:rFonts w:hint="default"/>
          <w:color w:val="auto"/>
          <w:highlight w:val="none"/>
          <w:lang w:val="en-US" w:eastAsia="zh-CN"/>
        </w:rPr>
      </w:pPr>
      <w:bookmarkStart w:id="83" w:name="_Toc1088"/>
      <w:r>
        <w:rPr>
          <w:rFonts w:hint="eastAsia" w:ascii="楷体_GB2312" w:hAnsi="楷体_GB2312" w:eastAsia="楷体_GB2312" w:cs="楷体_GB2312"/>
          <w:b w:val="0"/>
          <w:bCs w:val="0"/>
          <w:color w:val="auto"/>
          <w:lang w:val="en-US" w:eastAsia="zh-CN"/>
        </w:rPr>
        <w:t>（二）</w:t>
      </w:r>
      <w:r>
        <w:rPr>
          <w:rFonts w:hint="default" w:ascii="楷体_GB2312" w:hAnsi="楷体_GB2312" w:eastAsia="楷体_GB2312" w:cs="楷体_GB2312"/>
          <w:b w:val="0"/>
          <w:bCs w:val="0"/>
          <w:color w:val="auto"/>
          <w:lang w:val="en-US" w:eastAsia="zh-CN"/>
        </w:rPr>
        <w:t>建强多元化应急救援力量</w:t>
      </w:r>
      <w:bookmarkEnd w:id="83"/>
    </w:p>
    <w:p w14:paraId="5FC9CECF">
      <w:pPr>
        <w:rPr>
          <w:rFonts w:hint="default"/>
          <w:color w:val="auto"/>
          <w:highlight w:val="none"/>
          <w:lang w:val="en-US" w:eastAsia="zh-CN"/>
        </w:rPr>
      </w:pPr>
      <w:r>
        <w:rPr>
          <w:rFonts w:hint="eastAsia"/>
          <w:b/>
          <w:bCs/>
          <w:color w:val="auto"/>
          <w:highlight w:val="none"/>
          <w:lang w:val="en-US" w:eastAsia="zh-CN"/>
        </w:rPr>
        <w:t>1.</w:t>
      </w:r>
      <w:r>
        <w:rPr>
          <w:rFonts w:hint="default"/>
          <w:b/>
          <w:bCs/>
          <w:color w:val="auto"/>
          <w:highlight w:val="none"/>
          <w:lang w:val="en-US" w:eastAsia="zh-CN"/>
        </w:rPr>
        <w:t>构建多元救援力量格局。</w:t>
      </w:r>
      <w:r>
        <w:rPr>
          <w:rFonts w:hint="default"/>
          <w:color w:val="auto"/>
          <w:highlight w:val="none"/>
          <w:lang w:val="en-US" w:eastAsia="zh-CN"/>
        </w:rPr>
        <w:t>构建“综合救援+专业处置+社会协同”的应急救援力量体系，统筹全区应急救援队伍布局。指导区内大中型高危企业建立专职救援队，中小微企业普遍建立兼职救援队伍。推动在怀科研机构、高校及“专精特新”企业参与应急技术研发与力量建设，支持科学城相关单位建立实验室安全应急分队。</w:t>
      </w:r>
    </w:p>
    <w:p w14:paraId="30CDC9C3">
      <w:pPr>
        <w:rPr>
          <w:rFonts w:hint="default"/>
          <w:color w:val="auto"/>
          <w:highlight w:val="none"/>
          <w:lang w:val="en-US" w:eastAsia="zh-CN"/>
        </w:rPr>
      </w:pPr>
      <w:r>
        <w:rPr>
          <w:rFonts w:hint="eastAsia"/>
          <w:b/>
          <w:bCs/>
          <w:color w:val="auto"/>
          <w:highlight w:val="none"/>
          <w:lang w:val="en-US" w:eastAsia="zh-CN"/>
        </w:rPr>
        <w:t>2.</w:t>
      </w:r>
      <w:r>
        <w:rPr>
          <w:rFonts w:hint="default"/>
          <w:b/>
          <w:bCs/>
          <w:color w:val="auto"/>
          <w:highlight w:val="none"/>
          <w:lang w:val="en-US" w:eastAsia="zh-CN"/>
        </w:rPr>
        <w:t>推动社会应急力量发展。</w:t>
      </w:r>
      <w:r>
        <w:rPr>
          <w:rFonts w:hint="default"/>
          <w:color w:val="auto"/>
          <w:highlight w:val="none"/>
          <w:lang w:val="en-US" w:eastAsia="zh-CN"/>
        </w:rPr>
        <w:t>加强对社会应急力量的培育、引导和规范管理，支持其依法依规参与应急救援工作。重点指导区内具备较强专业能力的社会应急力量，提升救援技能和规范化水平。推动社会应急力量与专业救援队伍开展联训联演，形成协同作战能力，充分发挥其在突发事件应对中的补充作用。</w:t>
      </w:r>
    </w:p>
    <w:p w14:paraId="4BC55DA0">
      <w:pPr>
        <w:rPr>
          <w:rFonts w:hint="default"/>
          <w:color w:val="auto"/>
          <w:highlight w:val="none"/>
          <w:lang w:val="en-US" w:eastAsia="zh-CN"/>
        </w:rPr>
      </w:pPr>
      <w:r>
        <w:rPr>
          <w:rFonts w:hint="eastAsia"/>
          <w:b/>
          <w:bCs/>
          <w:color w:val="auto"/>
          <w:highlight w:val="none"/>
          <w:lang w:val="en-US" w:eastAsia="zh-CN"/>
        </w:rPr>
        <w:t>3.</w:t>
      </w:r>
      <w:r>
        <w:rPr>
          <w:rFonts w:hint="default"/>
          <w:b/>
          <w:bCs/>
          <w:color w:val="auto"/>
          <w:highlight w:val="none"/>
          <w:lang w:val="en-US" w:eastAsia="zh-CN"/>
        </w:rPr>
        <w:t>提升装备与训练水平。</w:t>
      </w:r>
      <w:r>
        <w:rPr>
          <w:rFonts w:hint="default"/>
          <w:color w:val="auto"/>
          <w:highlight w:val="none"/>
          <w:lang w:val="en-US" w:eastAsia="zh-CN"/>
        </w:rPr>
        <w:t>推动专业应急救援队伍装备升级，对标市级目录，加大大流量排水、大型无人机、山地搜救、</w:t>
      </w:r>
      <w:r>
        <w:rPr>
          <w:rFonts w:hint="eastAsia"/>
          <w:color w:val="auto"/>
          <w:highlight w:val="none"/>
          <w:lang w:val="en-US" w:eastAsia="zh-CN"/>
        </w:rPr>
        <w:t>危险化学品</w:t>
      </w:r>
      <w:r>
        <w:rPr>
          <w:rFonts w:hint="default"/>
          <w:color w:val="auto"/>
          <w:highlight w:val="none"/>
          <w:lang w:val="en-US" w:eastAsia="zh-CN"/>
        </w:rPr>
        <w:t>处置等先进装备配置。完善区、镇乡（街道）、村（社区）三级应急救援训练体系，依托区消防训练基地开展实战化演练，强化区森林消防综合救援支队与各镇乡森林消防队伍的联防联控联训机制，每年至少组织1次跨区域、多部门综合应急演练。</w:t>
      </w:r>
    </w:p>
    <w:p w14:paraId="6693C450">
      <w:pPr>
        <w:outlineLvl w:val="2"/>
        <w:rPr>
          <w:rFonts w:hint="default" w:ascii="楷体_GB2312" w:hAnsi="楷体_GB2312" w:eastAsia="楷体_GB2312" w:cs="楷体_GB2312"/>
          <w:b w:val="0"/>
          <w:bCs w:val="0"/>
          <w:color w:val="auto"/>
          <w:lang w:val="en-US" w:eastAsia="zh-CN"/>
        </w:rPr>
      </w:pPr>
      <w:bookmarkStart w:id="84" w:name="_Toc9168"/>
      <w:r>
        <w:rPr>
          <w:rFonts w:hint="eastAsia" w:ascii="楷体_GB2312" w:hAnsi="楷体_GB2312" w:eastAsia="楷体_GB2312" w:cs="楷体_GB2312"/>
          <w:b w:val="0"/>
          <w:bCs w:val="0"/>
          <w:color w:val="auto"/>
          <w:lang w:val="en-US" w:eastAsia="zh-CN"/>
        </w:rPr>
        <w:t>（三）</w:t>
      </w:r>
      <w:r>
        <w:rPr>
          <w:rFonts w:hint="default" w:ascii="楷体_GB2312" w:hAnsi="楷体_GB2312" w:eastAsia="楷体_GB2312" w:cs="楷体_GB2312"/>
          <w:b w:val="0"/>
          <w:bCs w:val="0"/>
          <w:color w:val="auto"/>
          <w:lang w:val="en-US" w:eastAsia="zh-CN"/>
        </w:rPr>
        <w:t>完善应急物资与装备储备</w:t>
      </w:r>
      <w:bookmarkEnd w:id="84"/>
    </w:p>
    <w:p w14:paraId="755F4B36">
      <w:pPr>
        <w:rPr>
          <w:rFonts w:hint="default"/>
          <w:color w:val="auto"/>
          <w:highlight w:val="none"/>
          <w:lang w:val="en-US" w:eastAsia="zh-CN"/>
        </w:rPr>
      </w:pPr>
      <w:r>
        <w:rPr>
          <w:rFonts w:hint="eastAsia"/>
          <w:b/>
          <w:bCs/>
          <w:color w:val="auto"/>
          <w:highlight w:val="none"/>
          <w:lang w:val="en-US" w:eastAsia="zh-CN"/>
        </w:rPr>
        <w:t>1.</w:t>
      </w:r>
      <w:r>
        <w:rPr>
          <w:rFonts w:hint="default"/>
          <w:b/>
          <w:bCs/>
          <w:color w:val="auto"/>
          <w:highlight w:val="none"/>
          <w:lang w:val="en-US" w:eastAsia="zh-CN"/>
        </w:rPr>
        <w:t>优化三级储备网络布局。</w:t>
      </w:r>
      <w:r>
        <w:rPr>
          <w:rFonts w:hint="default"/>
          <w:color w:val="auto"/>
          <w:highlight w:val="none"/>
          <w:lang w:val="en-US" w:eastAsia="zh-CN"/>
        </w:rPr>
        <w:t>结合怀柔区多山地形与自然灾害风险特点，进一步完善区级现有储备库，强化综合统筹与应急调拨能力</w:t>
      </w:r>
      <w:r>
        <w:rPr>
          <w:rFonts w:hint="eastAsia"/>
          <w:color w:val="auto"/>
          <w:highlight w:val="none"/>
          <w:lang w:val="en-US" w:eastAsia="zh-CN"/>
        </w:rPr>
        <w:t>。</w:t>
      </w:r>
      <w:r>
        <w:rPr>
          <w:rFonts w:hint="default"/>
          <w:color w:val="auto"/>
          <w:highlight w:val="none"/>
          <w:lang w:val="en-US" w:eastAsia="zh-CN"/>
        </w:rPr>
        <w:t>在北部山区及核心区域合理布设应急物资储备库（点），提升区域辐射保障水平</w:t>
      </w:r>
      <w:r>
        <w:rPr>
          <w:rFonts w:hint="eastAsia"/>
          <w:color w:val="auto"/>
          <w:highlight w:val="none"/>
          <w:lang w:val="en-US" w:eastAsia="zh-CN"/>
        </w:rPr>
        <w:t>；</w:t>
      </w:r>
      <w:r>
        <w:rPr>
          <w:rFonts w:hint="default"/>
          <w:color w:val="auto"/>
          <w:highlight w:val="none"/>
          <w:lang w:val="en-US" w:eastAsia="zh-CN"/>
        </w:rPr>
        <w:t>同步推进村级储备点前置化配置，补齐末端响应短板，构建形成功能明确、分级响应、覆盖全域的“区—镇—村”三级应急物资储备网络。</w:t>
      </w:r>
    </w:p>
    <w:p w14:paraId="79D49AC7">
      <w:pPr>
        <w:rPr>
          <w:rFonts w:hint="default"/>
          <w:color w:val="auto"/>
          <w:highlight w:val="none"/>
          <w:lang w:val="en-US" w:eastAsia="zh-CN"/>
        </w:rPr>
      </w:pPr>
      <w:r>
        <w:rPr>
          <w:rFonts w:hint="eastAsia"/>
          <w:b/>
          <w:bCs/>
          <w:color w:val="auto"/>
          <w:highlight w:val="none"/>
          <w:lang w:val="en-US" w:eastAsia="zh-CN"/>
        </w:rPr>
        <w:t>2.</w:t>
      </w:r>
      <w:r>
        <w:rPr>
          <w:rFonts w:hint="default"/>
          <w:b/>
          <w:bCs/>
          <w:color w:val="auto"/>
          <w:highlight w:val="none"/>
          <w:lang w:val="en-US" w:eastAsia="zh-CN"/>
        </w:rPr>
        <w:t>健全物资快速调运机制。</w:t>
      </w:r>
      <w:r>
        <w:rPr>
          <w:rFonts w:hint="default"/>
          <w:color w:val="auto"/>
          <w:highlight w:val="none"/>
          <w:lang w:val="en-US" w:eastAsia="zh-CN"/>
        </w:rPr>
        <w:t>健全应急物资运输绿色通道机制，确保突发事件发生后，首批区级应急物资</w:t>
      </w:r>
      <w:r>
        <w:rPr>
          <w:rFonts w:hint="eastAsia"/>
          <w:color w:val="auto"/>
          <w:highlight w:val="none"/>
          <w:lang w:val="en-US" w:eastAsia="zh-CN"/>
        </w:rPr>
        <w:t>能够高效调运至</w:t>
      </w:r>
      <w:r>
        <w:rPr>
          <w:rFonts w:hint="default"/>
          <w:color w:val="auto"/>
          <w:highlight w:val="none"/>
          <w:lang w:val="en-US" w:eastAsia="zh-CN"/>
        </w:rPr>
        <w:t>灾区，偏远山区结合交通条件统筹保障调运时效。动态优化物资储备目录与规模，制定防汛、森林火灾、地质灾害、</w:t>
      </w:r>
      <w:r>
        <w:rPr>
          <w:rFonts w:hint="eastAsia"/>
          <w:color w:val="auto"/>
          <w:highlight w:val="none"/>
          <w:lang w:val="en-US" w:eastAsia="zh-CN"/>
        </w:rPr>
        <w:t>危险化学品</w:t>
      </w:r>
      <w:r>
        <w:rPr>
          <w:rFonts w:hint="default"/>
          <w:color w:val="auto"/>
          <w:highlight w:val="none"/>
          <w:lang w:val="en-US" w:eastAsia="zh-CN"/>
        </w:rPr>
        <w:t>泄漏等专项物资储备计划，推动将应急物资采购与维护资金纳入同级财政预算。</w:t>
      </w:r>
    </w:p>
    <w:p w14:paraId="742DB7F6">
      <w:pPr>
        <w:rPr>
          <w:rFonts w:hint="default"/>
          <w:color w:val="auto"/>
          <w:highlight w:val="none"/>
          <w:lang w:val="en-US" w:eastAsia="zh-CN"/>
        </w:rPr>
      </w:pPr>
      <w:r>
        <w:rPr>
          <w:rFonts w:hint="eastAsia"/>
          <w:b/>
          <w:bCs/>
          <w:color w:val="auto"/>
          <w:highlight w:val="none"/>
          <w:lang w:val="en-US" w:eastAsia="zh-CN"/>
        </w:rPr>
        <w:t>3.</w:t>
      </w:r>
      <w:r>
        <w:rPr>
          <w:rFonts w:hint="default"/>
          <w:b/>
          <w:bCs/>
          <w:color w:val="auto"/>
          <w:highlight w:val="none"/>
          <w:lang w:val="en-US" w:eastAsia="zh-CN"/>
        </w:rPr>
        <w:t>动态调整储备与前置部署。</w:t>
      </w:r>
      <w:r>
        <w:rPr>
          <w:rFonts w:hint="default"/>
          <w:color w:val="auto"/>
          <w:highlight w:val="none"/>
          <w:lang w:val="en-US" w:eastAsia="zh-CN"/>
        </w:rPr>
        <w:t>主汛期及高火险期，在险村险段、景区入口、山区道路等重点区域前置水泵、沙袋、卫星电话、救生艇、风力灭火机等物资装备，结合山区道路养护力量预置铲车、挖掘机等重型机械。</w:t>
      </w:r>
    </w:p>
    <w:p w14:paraId="7736CD9C">
      <w:pPr>
        <w:rPr>
          <w:rFonts w:hint="default"/>
          <w:color w:val="auto"/>
          <w:highlight w:val="none"/>
          <w:lang w:val="en-US" w:eastAsia="zh-CN"/>
        </w:rPr>
      </w:pPr>
      <w:r>
        <w:rPr>
          <w:rFonts w:hint="eastAsia"/>
          <w:b/>
          <w:bCs/>
          <w:color w:val="auto"/>
          <w:highlight w:val="none"/>
          <w:lang w:val="en-US" w:eastAsia="zh-CN"/>
        </w:rPr>
        <w:t>4.</w:t>
      </w:r>
      <w:r>
        <w:rPr>
          <w:rFonts w:hint="default"/>
          <w:b/>
          <w:bCs/>
          <w:color w:val="auto"/>
          <w:highlight w:val="none"/>
          <w:lang w:val="en-US" w:eastAsia="zh-CN"/>
        </w:rPr>
        <w:t>倡导家庭应急物资储备。</w:t>
      </w:r>
      <w:r>
        <w:rPr>
          <w:rFonts w:hint="default"/>
          <w:color w:val="auto"/>
          <w:highlight w:val="none"/>
          <w:lang w:val="en-US" w:eastAsia="zh-CN"/>
        </w:rPr>
        <w:t>发放家庭应急物资储备建议清单，鼓励居民家庭储备应急包，提升基层自救互救能力。</w:t>
      </w:r>
    </w:p>
    <w:p w14:paraId="39106F38">
      <w:pPr>
        <w:outlineLvl w:val="2"/>
        <w:rPr>
          <w:rFonts w:hint="default"/>
          <w:color w:val="auto"/>
          <w:highlight w:val="none"/>
          <w:lang w:val="en-US" w:eastAsia="zh-CN"/>
        </w:rPr>
      </w:pPr>
      <w:bookmarkStart w:id="85" w:name="_Toc17623"/>
      <w:r>
        <w:rPr>
          <w:rFonts w:hint="eastAsia" w:ascii="楷体_GB2312" w:hAnsi="楷体_GB2312" w:eastAsia="楷体_GB2312" w:cs="楷体_GB2312"/>
          <w:b w:val="0"/>
          <w:bCs w:val="0"/>
          <w:color w:val="auto"/>
          <w:lang w:val="en-US" w:eastAsia="zh-CN"/>
        </w:rPr>
        <w:t>（四）健全</w:t>
      </w:r>
      <w:r>
        <w:rPr>
          <w:rFonts w:hint="default" w:ascii="楷体_GB2312" w:hAnsi="楷体_GB2312" w:eastAsia="楷体_GB2312" w:cs="楷体_GB2312"/>
          <w:b w:val="0"/>
          <w:bCs w:val="0"/>
          <w:color w:val="auto"/>
          <w:lang w:val="en-US" w:eastAsia="zh-CN"/>
        </w:rPr>
        <w:t>突发事件救灾救助准备</w:t>
      </w:r>
      <w:bookmarkEnd w:id="85"/>
    </w:p>
    <w:p w14:paraId="116EA7CE">
      <w:pPr>
        <w:rPr>
          <w:rFonts w:hint="default"/>
          <w:color w:val="auto"/>
          <w:highlight w:val="none"/>
          <w:lang w:val="en-US" w:eastAsia="zh-CN"/>
        </w:rPr>
      </w:pPr>
      <w:r>
        <w:rPr>
          <w:rFonts w:hint="eastAsia"/>
          <w:b/>
          <w:bCs/>
          <w:color w:val="auto"/>
          <w:highlight w:val="none"/>
          <w:lang w:val="en-US" w:eastAsia="zh-CN"/>
        </w:rPr>
        <w:t>1.</w:t>
      </w:r>
      <w:r>
        <w:rPr>
          <w:rFonts w:hint="default"/>
          <w:b/>
          <w:bCs/>
          <w:color w:val="auto"/>
          <w:highlight w:val="none"/>
          <w:lang w:val="en-US" w:eastAsia="zh-CN"/>
        </w:rPr>
        <w:t>健全灾情管理与核查评估机制。</w:t>
      </w:r>
      <w:r>
        <w:rPr>
          <w:rFonts w:hint="default"/>
          <w:color w:val="auto"/>
          <w:highlight w:val="none"/>
          <w:lang w:val="en-US" w:eastAsia="zh-CN"/>
        </w:rPr>
        <w:t>健全区、镇乡（街道）、村（社区）三级灾情管理体系，建设稳定高效的灾情信息员队伍，定期组织灾情报送演练。配合市级开展重特大自然灾害核查评估标准研究，推动第一次全国自然灾害综合风险普查成果应用于灾情管理。</w:t>
      </w:r>
    </w:p>
    <w:p w14:paraId="3702B3EA">
      <w:pPr>
        <w:rPr>
          <w:rFonts w:hint="default"/>
          <w:color w:val="auto"/>
          <w:highlight w:val="none"/>
          <w:lang w:val="en-US" w:eastAsia="zh-CN"/>
        </w:rPr>
      </w:pPr>
      <w:r>
        <w:rPr>
          <w:rFonts w:hint="eastAsia"/>
          <w:b/>
          <w:bCs/>
          <w:color w:val="auto"/>
          <w:highlight w:val="none"/>
          <w:lang w:val="en-US" w:eastAsia="zh-CN"/>
        </w:rPr>
        <w:t>2.</w:t>
      </w:r>
      <w:r>
        <w:rPr>
          <w:rFonts w:hint="default"/>
          <w:b/>
          <w:bCs/>
          <w:color w:val="auto"/>
          <w:highlight w:val="none"/>
          <w:lang w:val="en-US" w:eastAsia="zh-CN"/>
        </w:rPr>
        <w:t>完善三级救助预案体系。</w:t>
      </w:r>
      <w:r>
        <w:rPr>
          <w:rFonts w:hint="default"/>
          <w:color w:val="auto"/>
          <w:highlight w:val="none"/>
          <w:lang w:val="en-US" w:eastAsia="zh-CN"/>
        </w:rPr>
        <w:t>完善区级突发事件救助应急预案体系，指导各镇乡（街道）、村（社区）制定专项预案与综合预案，形成区、镇乡（街道）、村（社区）三级联动救助网络。</w:t>
      </w:r>
    </w:p>
    <w:p w14:paraId="16E0771A">
      <w:pPr>
        <w:rPr>
          <w:rFonts w:hint="default"/>
          <w:color w:val="auto"/>
          <w:highlight w:val="none"/>
          <w:lang w:val="en-US" w:eastAsia="zh-CN"/>
        </w:rPr>
      </w:pPr>
      <w:r>
        <w:rPr>
          <w:rFonts w:hint="eastAsia"/>
          <w:b/>
          <w:bCs/>
          <w:color w:val="auto"/>
          <w:highlight w:val="none"/>
          <w:lang w:val="en-US" w:eastAsia="zh-CN"/>
        </w:rPr>
        <w:t>3.</w:t>
      </w:r>
      <w:r>
        <w:rPr>
          <w:rFonts w:hint="default"/>
          <w:b/>
          <w:bCs/>
          <w:color w:val="auto"/>
          <w:highlight w:val="none"/>
          <w:lang w:val="en-US" w:eastAsia="zh-CN"/>
        </w:rPr>
        <w:t>落实救灾救助标准与保险保障。</w:t>
      </w:r>
      <w:r>
        <w:rPr>
          <w:rFonts w:hint="default"/>
          <w:color w:val="auto"/>
          <w:highlight w:val="none"/>
          <w:lang w:val="en-US" w:eastAsia="zh-CN"/>
        </w:rPr>
        <w:t>落实北京市自然灾害生活救助标准，制定区级实施细则，明确救助对象、标准和程序。推动巨灾保险制度落地，鼓励保险机构开发“政策性巨灾保险+商业性巨灾保险”相互支撑的险种体系，探索推行快速理赔机制。扩大普惠家财保、政策性农房保险等民生保险覆盖面，完善安全生产责任险实施配套制度，推动在高危行业领域全覆盖。</w:t>
      </w:r>
    </w:p>
    <w:p w14:paraId="67F7C059">
      <w:pPr>
        <w:rPr>
          <w:rFonts w:hint="default"/>
          <w:color w:val="auto"/>
          <w:highlight w:val="none"/>
          <w:lang w:val="en-US" w:eastAsia="zh-CN"/>
        </w:rPr>
      </w:pPr>
      <w:r>
        <w:rPr>
          <w:rFonts w:hint="eastAsia"/>
          <w:b/>
          <w:bCs/>
          <w:color w:val="auto"/>
          <w:highlight w:val="none"/>
          <w:lang w:val="en-US" w:eastAsia="zh-CN"/>
        </w:rPr>
        <w:t>4.</w:t>
      </w:r>
      <w:r>
        <w:rPr>
          <w:rFonts w:hint="default"/>
          <w:b/>
          <w:bCs/>
          <w:color w:val="auto"/>
          <w:highlight w:val="none"/>
          <w:lang w:val="en-US" w:eastAsia="zh-CN"/>
        </w:rPr>
        <w:t>规范救灾捐赠管理。</w:t>
      </w:r>
      <w:r>
        <w:rPr>
          <w:rFonts w:hint="default"/>
          <w:color w:val="auto"/>
          <w:highlight w:val="none"/>
          <w:lang w:val="en-US" w:eastAsia="zh-CN"/>
        </w:rPr>
        <w:t>加强救灾捐赠机制建设，明确捐赠接收、分配与管理制度，深化与区红十字会、慈善协会等组织的协作，建立规范、透明、可持续的救灾捐赠体系。</w:t>
      </w:r>
    </w:p>
    <w:p w14:paraId="6EEA279E">
      <w:pPr>
        <w:outlineLvl w:val="2"/>
        <w:rPr>
          <w:rFonts w:hint="default"/>
          <w:color w:val="auto"/>
          <w:highlight w:val="none"/>
          <w:lang w:val="en-US" w:eastAsia="zh-CN"/>
        </w:rPr>
      </w:pPr>
      <w:bookmarkStart w:id="86" w:name="_Toc275"/>
      <w:r>
        <w:rPr>
          <w:rFonts w:hint="eastAsia" w:ascii="楷体_GB2312" w:hAnsi="楷体_GB2312" w:eastAsia="楷体_GB2312" w:cs="楷体_GB2312"/>
          <w:b w:val="0"/>
          <w:bCs w:val="0"/>
          <w:color w:val="auto"/>
          <w:lang w:val="en-US" w:eastAsia="zh-CN"/>
        </w:rPr>
        <w:t>（五）</w:t>
      </w:r>
      <w:r>
        <w:rPr>
          <w:rFonts w:hint="default" w:ascii="楷体_GB2312" w:hAnsi="楷体_GB2312" w:eastAsia="楷体_GB2312" w:cs="楷体_GB2312"/>
          <w:b w:val="0"/>
          <w:bCs w:val="0"/>
          <w:color w:val="auto"/>
          <w:lang w:val="en-US" w:eastAsia="zh-CN"/>
        </w:rPr>
        <w:t>强化应急通信与智慧科技支撑</w:t>
      </w:r>
      <w:bookmarkEnd w:id="86"/>
    </w:p>
    <w:p w14:paraId="088FA7F9">
      <w:pPr>
        <w:rPr>
          <w:rFonts w:hint="default"/>
          <w:color w:val="auto"/>
          <w:highlight w:val="none"/>
          <w:lang w:val="en-US" w:eastAsia="zh-CN"/>
        </w:rPr>
      </w:pPr>
      <w:r>
        <w:rPr>
          <w:rFonts w:hint="eastAsia"/>
          <w:b/>
          <w:bCs/>
          <w:color w:val="auto"/>
          <w:highlight w:val="none"/>
          <w:lang w:val="en-US" w:eastAsia="zh-CN"/>
        </w:rPr>
        <w:t>1.</w:t>
      </w:r>
      <w:r>
        <w:rPr>
          <w:rFonts w:hint="default"/>
          <w:b/>
          <w:bCs/>
          <w:color w:val="auto"/>
          <w:highlight w:val="none"/>
          <w:lang w:val="en-US" w:eastAsia="zh-CN"/>
        </w:rPr>
        <w:t>筑牢应急通信保障网络。</w:t>
      </w:r>
      <w:r>
        <w:rPr>
          <w:rFonts w:hint="default"/>
          <w:color w:val="auto"/>
          <w:highlight w:val="none"/>
          <w:lang w:val="en-US" w:eastAsia="zh-CN"/>
        </w:rPr>
        <w:t>围绕“断路、断电、断通信”极端场景，扩大应急通信无人机、卫星指挥车、宽窄带自组网设备、卫星便携站、高通量卫星站、电台等多种通信手段的综合应用。推动建设应急指挥窄带无线通信专网，部署抗灾超级基站，配备卫星链路自动切换模块。在通信盲区、偏远自然村建设“平急两用”的安全应急屋，配备卫星电话、应急电源、必要生活物资等。优先为山区乡村干部、地质灾害监测员、森防队员及基层应急救援力量配备具有北斗短报文功能的通信终端；在村干部家、村级活动场所等关键点位，配置并维护好应急大喇叭、手摇报警器、高音哨等传统预警信息传递工具。强化全区119消防通信指挥系统的灾备能力，确保极端情况下报警通道畅通和指挥调度不间断。</w:t>
      </w:r>
    </w:p>
    <w:p w14:paraId="7EC00AC6">
      <w:pPr>
        <w:rPr>
          <w:rFonts w:hint="default"/>
          <w:color w:val="auto"/>
          <w:highlight w:val="none"/>
          <w:lang w:val="en-US" w:eastAsia="zh-CN"/>
        </w:rPr>
      </w:pPr>
      <w:r>
        <w:rPr>
          <w:rFonts w:hint="eastAsia"/>
          <w:b/>
          <w:bCs/>
          <w:color w:val="auto"/>
          <w:highlight w:val="none"/>
          <w:lang w:val="en-US" w:eastAsia="zh-CN"/>
        </w:rPr>
        <w:t>2.</w:t>
      </w:r>
      <w:r>
        <w:rPr>
          <w:rFonts w:hint="default"/>
          <w:b/>
          <w:bCs/>
          <w:color w:val="auto"/>
          <w:highlight w:val="none"/>
          <w:lang w:val="en-US" w:eastAsia="zh-CN"/>
        </w:rPr>
        <w:t>科技赋能推进智慧应急建设。</w:t>
      </w:r>
      <w:r>
        <w:rPr>
          <w:rFonts w:hint="default"/>
          <w:color w:val="auto"/>
          <w:highlight w:val="none"/>
          <w:lang w:val="en-US" w:eastAsia="zh-CN"/>
        </w:rPr>
        <w:t>依托怀柔区韧性城市综合运行监测中心，升级应急管理数据平台，强化多部门、多层级监测感知数据和风险分析结果的汇聚应用。聚焦防汛、森林防灭火、抗震救灾、安全生产监管等核心业务，加快智慧化突发事件态势研判、资源调度、指令分发与协同处置能力建设。推动安全生产监管全链条数据融合分析应用，赋能风险分级管控和隐患排查治理。积极对接国家级、市级科技计划，布局应急管理核心技术攻关，培育一批低成本、高效能的新技术成果和创新型产品。</w:t>
      </w:r>
    </w:p>
    <w:p w14:paraId="39A71BC5">
      <w:pPr>
        <w:outlineLvl w:val="1"/>
        <w:rPr>
          <w:rFonts w:hint="default" w:ascii="黑体" w:hAnsi="黑体" w:eastAsia="黑体" w:cs="黑体"/>
          <w:color w:val="auto"/>
          <w:lang w:val="en-US" w:eastAsia="zh-CN"/>
        </w:rPr>
      </w:pPr>
      <w:bookmarkStart w:id="87" w:name="_Toc22450"/>
      <w:bookmarkStart w:id="88" w:name="_Toc21273"/>
      <w:r>
        <w:rPr>
          <w:rFonts w:hint="eastAsia" w:ascii="黑体" w:hAnsi="黑体" w:eastAsia="黑体" w:cs="黑体"/>
          <w:color w:val="auto"/>
          <w:lang w:val="en-US" w:eastAsia="zh-CN"/>
        </w:rPr>
        <w:t>七、</w:t>
      </w:r>
      <w:bookmarkEnd w:id="87"/>
      <w:r>
        <w:rPr>
          <w:rFonts w:hint="eastAsia" w:ascii="黑体" w:hAnsi="黑体" w:eastAsia="黑体" w:cs="黑体"/>
          <w:color w:val="auto"/>
          <w:lang w:val="en-US" w:eastAsia="zh-CN"/>
        </w:rPr>
        <w:t>社会共治篇：营造全民参与的应急文化</w:t>
      </w:r>
      <w:bookmarkEnd w:id="88"/>
    </w:p>
    <w:p w14:paraId="42D0AE6F">
      <w:pPr>
        <w:outlineLvl w:val="2"/>
        <w:rPr>
          <w:rFonts w:hint="eastAsia"/>
          <w:color w:val="auto"/>
          <w:lang w:val="en-US" w:eastAsia="zh-CN"/>
        </w:rPr>
      </w:pPr>
      <w:bookmarkStart w:id="89" w:name="_Toc23236"/>
      <w:r>
        <w:rPr>
          <w:rFonts w:hint="eastAsia" w:ascii="楷体_GB2312" w:hAnsi="楷体_GB2312" w:eastAsia="楷体_GB2312" w:cs="楷体_GB2312"/>
          <w:b w:val="0"/>
          <w:bCs w:val="0"/>
          <w:color w:val="auto"/>
          <w:lang w:val="en-US" w:eastAsia="zh-CN"/>
        </w:rPr>
        <w:t>（一）加速提升基层应急管理能力</w:t>
      </w:r>
      <w:bookmarkEnd w:id="89"/>
    </w:p>
    <w:p w14:paraId="3E8CE651">
      <w:pPr>
        <w:rPr>
          <w:rFonts w:hint="eastAsia"/>
          <w:color w:val="auto"/>
          <w:lang w:val="en-US" w:eastAsia="zh-CN"/>
        </w:rPr>
      </w:pPr>
      <w:r>
        <w:rPr>
          <w:rFonts w:hint="eastAsia"/>
          <w:b/>
          <w:bCs/>
          <w:color w:val="auto"/>
          <w:lang w:val="en-US" w:eastAsia="zh-CN"/>
        </w:rPr>
        <w:t>1.健全基层应急管理体系。</w:t>
      </w:r>
      <w:r>
        <w:rPr>
          <w:rFonts w:hint="eastAsia"/>
          <w:b w:val="0"/>
          <w:bCs w:val="0"/>
          <w:color w:val="auto"/>
          <w:lang w:val="en-US" w:eastAsia="zh-CN"/>
        </w:rPr>
        <w:t>围绕进一步提升基层应急管理“五种能力”建设，</w:t>
      </w:r>
      <w:r>
        <w:rPr>
          <w:rFonts w:hint="eastAsia"/>
          <w:color w:val="auto"/>
          <w:lang w:val="en-US" w:eastAsia="zh-CN"/>
        </w:rPr>
        <w:t>系统部署基层应急管理能力建设重点任务，建立健全指导帮带、定期会商、督导考核、保障激励机制，按照“有方案、有力量、有投入、有考核、有品牌”要求统筹推进任务落地。将基层应急能力建设纳入区级巡查考核体系，督导相关部门履行“三管三必须”职责，推动街道（乡镇）、社区（村）对照基层事项清单履职，压实基层应急管理责任链条。压实街道（乡镇）党政主要负责同志第一责任人职责，优化应急管理工作由综合保障部门或平安建设部门牵头负责的运转效能。充分发挥乡镇（街道）党建工作协调委员会作用，协调整合辖区各类应急资源。深化“双报到”和干部下沉机制，引导广大党员平时参与应急宣教、隐患排查，应急状态下就地转化为先期处置、群众转移、物资分发的中坚力量。依托“街乡吹哨、部门报到”和接诉即办机制，条块协同解决基层应急管理中的重点难点问题，形成党组织统一领导、各类组织积极协同、群众广泛参与的基层应急管理工作格局。</w:t>
      </w:r>
    </w:p>
    <w:p w14:paraId="315B66A9">
      <w:pPr>
        <w:rPr>
          <w:rFonts w:hint="eastAsia"/>
          <w:color w:val="auto"/>
          <w:lang w:val="en-US" w:eastAsia="zh-CN"/>
        </w:rPr>
      </w:pPr>
      <w:r>
        <w:rPr>
          <w:rFonts w:hint="eastAsia"/>
          <w:b/>
          <w:bCs/>
          <w:color w:val="auto"/>
          <w:lang w:val="en-US" w:eastAsia="zh-CN"/>
        </w:rPr>
        <w:t>2.推进应消一体综合救援服务站建设。</w:t>
      </w:r>
      <w:r>
        <w:rPr>
          <w:rFonts w:hint="eastAsia"/>
          <w:color w:val="auto"/>
          <w:lang w:val="en-US" w:eastAsia="zh-CN"/>
        </w:rPr>
        <w:t>强化乡镇（街道）应急管理力量整合，积极探索基层应消一体综合救援模式，因地制宜推进街道（乡镇）、社区（村）应消一体综合救援服务站（点）建设，整合微型消防站、应急物资储备点、医疗急救点等功能，配备简易应急救援器材，建强基层“最小救援圈”“最小响应单元”，提升基层先期处置和协同救援能力。到2026年底，力争完成1个示范性服务站建设。</w:t>
      </w:r>
    </w:p>
    <w:p w14:paraId="746219C2">
      <w:pPr>
        <w:rPr>
          <w:rFonts w:hint="eastAsia"/>
          <w:color w:val="auto"/>
          <w:lang w:val="en-US" w:eastAsia="zh-CN"/>
        </w:rPr>
      </w:pPr>
      <w:r>
        <w:rPr>
          <w:rFonts w:hint="eastAsia"/>
          <w:b/>
          <w:bCs/>
          <w:color w:val="auto"/>
          <w:lang w:val="en-US" w:eastAsia="zh-CN"/>
        </w:rPr>
        <w:t>3.提升基层应急响应和处置能力。</w:t>
      </w:r>
      <w:r>
        <w:rPr>
          <w:rFonts w:hint="eastAsia"/>
          <w:color w:val="auto"/>
          <w:lang w:val="en-US" w:eastAsia="zh-CN"/>
        </w:rPr>
        <w:t>依托网格化服务管理体系，有效整合灾害信息员、群测群防员、护林员、安全员等各类基层网格力量，实现“多员合一、一岗多能”。完善直达网格责任人的预警“叫应”效能，确保高级别预警信息第一时间“叫醒”并“回应”。在高层建筑、老旧小区、山区险村及人员密集场所，因地制宜构建以楼门、院落、企业为单元的“最小应急响应单元”，明确单元长、楼门长职责，定期组织邻里互助、应急疏散演练，实现“户户有人联、人人有依靠”。指导乡镇（街道）摸清本地区应急救援力量底数，整合专业救援力量、民兵、预备役人员、保安员、医务人员等，建强专兼职应急救援队伍；村（社区）以“两委”干部、“双报到”党员、物业管理人员、外卖员、快递员等为主体，组建应急响应人队伍，提升先期处置能力。</w:t>
      </w:r>
    </w:p>
    <w:p w14:paraId="45938180">
      <w:pPr>
        <w:rPr>
          <w:rFonts w:hint="eastAsia"/>
          <w:color w:val="auto"/>
          <w:lang w:val="en-US" w:eastAsia="zh-CN"/>
        </w:rPr>
      </w:pPr>
      <w:r>
        <w:rPr>
          <w:rFonts w:hint="eastAsia"/>
          <w:b/>
          <w:bCs/>
          <w:color w:val="auto"/>
          <w:lang w:val="en-US" w:eastAsia="zh-CN"/>
        </w:rPr>
        <w:t>4.强化基层“自适自转”与自救互救能力。</w:t>
      </w:r>
      <w:r>
        <w:rPr>
          <w:rFonts w:hint="eastAsia"/>
          <w:color w:val="auto"/>
          <w:lang w:val="en-US" w:eastAsia="zh-CN"/>
        </w:rPr>
        <w:t>聚焦洪灾、地震等易导致“断水、断电、断路、断通信”的巨灾场景，指导乡镇（街道）以村（社区）为单元，完善“一村一策”防汛避险预案，落实“七包七落实”避险措施。鼓励村（社区）储备至少可满足3天自给自足的食品、饮用水、药品、照明工具等生活必需品，完善居民自救互救和邻里相助机制。主汛期及高火险期，在高风险区域和险村实施力量前置，预置铲车、挖掘机、水泵、沙袋、救生艇、卫星电话等关键设备物资，确保极端条件下“村自为战”有能力、有底气。定期针对多灾易灾边远村庄开展自救能力评估，精准指导物资补充、预案修订和演练提升，形成闭环管理。</w:t>
      </w:r>
    </w:p>
    <w:p w14:paraId="5493165A">
      <w:pPr>
        <w:outlineLvl w:val="2"/>
        <w:rPr>
          <w:rFonts w:hint="eastAsia"/>
          <w:color w:val="auto"/>
          <w:lang w:val="en-US" w:eastAsia="zh-CN"/>
        </w:rPr>
      </w:pPr>
      <w:bookmarkStart w:id="90" w:name="_Toc21692"/>
      <w:r>
        <w:rPr>
          <w:rFonts w:hint="eastAsia" w:ascii="楷体_GB2312" w:hAnsi="楷体_GB2312" w:eastAsia="楷体_GB2312" w:cs="楷体_GB2312"/>
          <w:b w:val="0"/>
          <w:bCs w:val="0"/>
          <w:color w:val="auto"/>
          <w:lang w:val="en-US" w:eastAsia="zh-CN"/>
        </w:rPr>
        <w:t>（二）广泛开展应急宣传教育</w:t>
      </w:r>
      <w:bookmarkEnd w:id="90"/>
    </w:p>
    <w:p w14:paraId="6F182773">
      <w:pPr>
        <w:rPr>
          <w:rFonts w:hint="eastAsia"/>
          <w:color w:val="auto"/>
          <w:lang w:val="en-US" w:eastAsia="zh-CN"/>
        </w:rPr>
      </w:pPr>
      <w:r>
        <w:rPr>
          <w:rFonts w:hint="eastAsia"/>
          <w:b/>
          <w:bCs/>
          <w:color w:val="auto"/>
          <w:lang w:val="en-US" w:eastAsia="zh-CN"/>
        </w:rPr>
        <w:t>1.创新宣传教育活动。</w:t>
      </w:r>
      <w:r>
        <w:rPr>
          <w:rFonts w:hint="eastAsia"/>
          <w:color w:val="auto"/>
          <w:lang w:val="en-US" w:eastAsia="zh-CN"/>
        </w:rPr>
        <w:t>提升“5·12防灾减灾日”“6·16安全宣传咨询日”“安全生产月”“消防宣传月”等活动实效，开展“应急宣传进万家”系列活动。采用沉浸式科普宣传方式，持续推进安全宣传“进企业、进农村、进社区、进学校、进家庭”，开展应急知识竞赛、技能比武等群众性活动。重点加强对科学城科研人员、国际会都从业者、山区中小学生、农村留守老人、民宿经营者等重点人群的针对性宣传，着力克服侥幸心理。</w:t>
      </w:r>
    </w:p>
    <w:p w14:paraId="4BC1EFCF">
      <w:pPr>
        <w:rPr>
          <w:rFonts w:hint="eastAsia"/>
          <w:color w:val="auto"/>
          <w:lang w:val="en-US" w:eastAsia="zh-CN"/>
        </w:rPr>
      </w:pPr>
      <w:r>
        <w:rPr>
          <w:rFonts w:hint="eastAsia"/>
          <w:b/>
          <w:bCs/>
          <w:color w:val="auto"/>
          <w:lang w:val="en-US" w:eastAsia="zh-CN"/>
        </w:rPr>
        <w:t>2.建设应急科普阵地。</w:t>
      </w:r>
      <w:r>
        <w:rPr>
          <w:rFonts w:hint="eastAsia"/>
          <w:color w:val="auto"/>
          <w:lang w:val="en-US" w:eastAsia="zh-CN"/>
        </w:rPr>
        <w:t>高标准建设区级应急安全教育基地，打造集展示、体验、培训功能于一体的综合平台。在乡镇、街道建设应急科普体验馆，在社区、学校建设微型安全体验室。推动将安全教育融入全学段教育，到2030年基本实现对在校学生常见风险应对知识与技能的全覆盖。分级分类建立应急科普专家队伍，提升应急科普传播水平。</w:t>
      </w:r>
    </w:p>
    <w:p w14:paraId="64DD43C3">
      <w:pPr>
        <w:rPr>
          <w:rFonts w:hint="eastAsia"/>
          <w:color w:val="auto"/>
          <w:lang w:val="en-US" w:eastAsia="zh-CN"/>
        </w:rPr>
      </w:pPr>
      <w:r>
        <w:rPr>
          <w:rFonts w:hint="eastAsia"/>
          <w:b/>
          <w:bCs/>
          <w:color w:val="auto"/>
          <w:lang w:val="en-US" w:eastAsia="zh-CN"/>
        </w:rPr>
        <w:t>3.营造社会共治氛围。</w:t>
      </w:r>
      <w:r>
        <w:rPr>
          <w:rFonts w:hint="eastAsia"/>
          <w:color w:val="auto"/>
          <w:lang w:val="en-US" w:eastAsia="zh-CN"/>
        </w:rPr>
        <w:t>持续开展“应急先锋”评选活动，选树基层应急管理先进典型。强化事故灾害警示教育，通过前后情境对比提升群众安全意识。开发应急科普新媒体产品，完善“怀柔应急”新媒体矩阵，打造“半小时传播圈”，提升突发事件信息发布能力，形成“人人讲安全、个个会应急”的社会氛围。</w:t>
      </w:r>
    </w:p>
    <w:p w14:paraId="27F4934E">
      <w:pPr>
        <w:outlineLvl w:val="2"/>
        <w:rPr>
          <w:rFonts w:hint="eastAsia"/>
          <w:color w:val="auto"/>
          <w:lang w:val="en-US" w:eastAsia="zh-CN"/>
        </w:rPr>
      </w:pPr>
      <w:bookmarkStart w:id="91" w:name="_Toc21848"/>
      <w:r>
        <w:rPr>
          <w:rFonts w:hint="eastAsia" w:ascii="楷体_GB2312" w:hAnsi="楷体_GB2312" w:eastAsia="楷体_GB2312" w:cs="楷体_GB2312"/>
          <w:b w:val="0"/>
          <w:bCs w:val="0"/>
          <w:color w:val="auto"/>
          <w:lang w:val="en-US" w:eastAsia="zh-CN"/>
        </w:rPr>
        <w:t>（三）完善社会动员与志愿服务体系</w:t>
      </w:r>
      <w:bookmarkEnd w:id="91"/>
    </w:p>
    <w:p w14:paraId="6A94704D">
      <w:pPr>
        <w:rPr>
          <w:rFonts w:hint="eastAsia"/>
          <w:color w:val="auto"/>
          <w:lang w:val="en-US" w:eastAsia="zh-CN"/>
        </w:rPr>
      </w:pPr>
      <w:r>
        <w:rPr>
          <w:rFonts w:hint="eastAsia"/>
          <w:b/>
          <w:bCs/>
          <w:color w:val="auto"/>
          <w:lang w:val="en-US" w:eastAsia="zh-CN"/>
        </w:rPr>
        <w:t>1.健全社会应急力量培育与规范管理机制。</w:t>
      </w:r>
      <w:r>
        <w:rPr>
          <w:rFonts w:hint="eastAsia"/>
          <w:color w:val="auto"/>
          <w:lang w:val="en-US" w:eastAsia="zh-CN"/>
        </w:rPr>
        <w:t>健全社会应急力量的培育、引导和规范管理机制，推动实施分级分类测评，搭建任务对接、技能提升、激励保障等平台。探索建立社会应急力量与属地政府、国家综合性消防救援队伍及专业救援力量的联训联演机制，提升协同作战能力。积极推动在怀科研机构、高校及“专精特新”企业参与应急力量建设，支持相关单位建立安全应急分队，形成政府主导、社会协同、专业支撑的多元力量格局。</w:t>
      </w:r>
    </w:p>
    <w:p w14:paraId="41B6EAA0">
      <w:pPr>
        <w:rPr>
          <w:rFonts w:hint="eastAsia"/>
          <w:color w:val="auto"/>
          <w:lang w:val="en-US" w:eastAsia="zh-CN"/>
        </w:rPr>
      </w:pPr>
      <w:r>
        <w:rPr>
          <w:rFonts w:hint="eastAsia"/>
          <w:b/>
          <w:bCs/>
          <w:color w:val="auto"/>
          <w:lang w:val="en-US" w:eastAsia="zh-CN"/>
        </w:rPr>
        <w:t>2.建强三级应急志愿服务体系。</w:t>
      </w:r>
      <w:r>
        <w:rPr>
          <w:rFonts w:hint="eastAsia"/>
          <w:color w:val="auto"/>
          <w:lang w:val="en-US" w:eastAsia="zh-CN"/>
        </w:rPr>
        <w:t>建强区、乡镇（街道）、村（社区）三级应急志愿服务队伍，将其纳入重大突发事件应急管理体系，推行分类分级管理。鼓励有条件的乡镇（街道）组建不少于50人的应急志愿服务队，并结合属地需求常态化开展应急知识宣传、隐患巡查、先期处置等志愿服务活动。完善应急志愿者注册、培训、激励和保障机制，建立应急志愿者保险制度，为志愿者参与救援行动提供必要支持，打造具有怀柔特色的应急志愿服务品牌，提升社会动员整体效能。</w:t>
      </w:r>
    </w:p>
    <w:p w14:paraId="381CC678">
      <w:pPr>
        <w:rPr>
          <w:rFonts w:hint="eastAsia"/>
          <w:color w:val="auto"/>
          <w:lang w:val="en-US" w:eastAsia="zh-CN"/>
        </w:rPr>
      </w:pPr>
      <w:r>
        <w:rPr>
          <w:rFonts w:hint="eastAsia"/>
          <w:b/>
          <w:bCs/>
          <w:color w:val="auto"/>
          <w:lang w:val="en-US" w:eastAsia="zh-CN"/>
        </w:rPr>
        <w:t>3.完善公众参与和举报奖励机制。</w:t>
      </w:r>
      <w:r>
        <w:rPr>
          <w:rFonts w:hint="eastAsia"/>
          <w:color w:val="auto"/>
          <w:lang w:val="en-US" w:eastAsia="zh-CN"/>
        </w:rPr>
        <w:t>健全安全生产和消防安全举报体系，推动负有监督管理职责的部门建立健全举报制度，拓宽举报接收渠道，优化工作流程，落实举报奖励，鼓励和引导社会公众、从业人员报告身边风险隐患和违法违规行为。通过社会广泛参与，形成人人关心安全、人人参与应急的共治共享氛围。</w:t>
      </w:r>
    </w:p>
    <w:p w14:paraId="666CDC71">
      <w:pPr>
        <w:outlineLvl w:val="2"/>
        <w:rPr>
          <w:rFonts w:hint="eastAsia"/>
          <w:color w:val="auto"/>
          <w:lang w:val="en-US" w:eastAsia="zh-CN"/>
        </w:rPr>
      </w:pPr>
      <w:bookmarkStart w:id="92" w:name="_Toc25513"/>
      <w:r>
        <w:rPr>
          <w:rFonts w:hint="eastAsia" w:ascii="楷体_GB2312" w:hAnsi="楷体_GB2312" w:eastAsia="楷体_GB2312" w:cs="楷体_GB2312"/>
          <w:b w:val="0"/>
          <w:bCs w:val="0"/>
          <w:color w:val="auto"/>
          <w:lang w:val="en-US" w:eastAsia="zh-CN"/>
        </w:rPr>
        <w:t>（四）加强依法治理与普法培训</w:t>
      </w:r>
      <w:bookmarkEnd w:id="92"/>
    </w:p>
    <w:p w14:paraId="35CB0F39">
      <w:pPr>
        <w:rPr>
          <w:rFonts w:hint="eastAsia"/>
          <w:color w:val="auto"/>
          <w:lang w:val="en-US" w:eastAsia="zh-CN"/>
        </w:rPr>
      </w:pPr>
      <w:r>
        <w:rPr>
          <w:rFonts w:hint="eastAsia"/>
          <w:b/>
          <w:bCs/>
          <w:color w:val="auto"/>
          <w:lang w:val="en-US" w:eastAsia="zh-CN"/>
        </w:rPr>
        <w:t>1.强化法律法规普及。</w:t>
      </w:r>
      <w:r>
        <w:rPr>
          <w:rFonts w:hint="eastAsia"/>
          <w:color w:val="auto"/>
          <w:lang w:val="en-US" w:eastAsia="zh-CN"/>
        </w:rPr>
        <w:t>紧扣“九五”普法规划总体部署，将应急管理相关法律法规纳入公民法治宣传教育重点内容，结合国家安全教育日、防灾减灾日等重要节点，常态化开展形式多样的应急普法宣传活动，编印更新《怀柔区公众应急手册》《家庭安全指南》等科普读物，免费向居民发放，持续提升公众应急法治意识。</w:t>
      </w:r>
    </w:p>
    <w:p w14:paraId="0D1CFE4A">
      <w:pPr>
        <w:rPr>
          <w:rFonts w:hint="eastAsia"/>
          <w:color w:val="auto"/>
          <w:lang w:val="en-US" w:eastAsia="zh-CN"/>
        </w:rPr>
      </w:pPr>
      <w:r>
        <w:rPr>
          <w:rFonts w:hint="eastAsia"/>
          <w:b/>
          <w:bCs/>
          <w:color w:val="auto"/>
          <w:lang w:val="en-US" w:eastAsia="zh-CN"/>
        </w:rPr>
        <w:t>2.加强基层干部法治培训。</w:t>
      </w:r>
      <w:r>
        <w:rPr>
          <w:rFonts w:hint="eastAsia"/>
          <w:color w:val="auto"/>
          <w:lang w:val="en-US" w:eastAsia="zh-CN"/>
        </w:rPr>
        <w:t>将应急管理法律法规纳入基层干部教育培训必修内容，着力提升基层干部依法预防、依法处置、依法应对突发事件的能力水平，聚焦基层应急管理工作人员开展常态化业务与法治培训，规范应急处置流程与工作行为。</w:t>
      </w:r>
    </w:p>
    <w:p w14:paraId="386F5702">
      <w:pPr>
        <w:rPr>
          <w:rFonts w:hint="eastAsia"/>
          <w:color w:val="auto"/>
          <w:lang w:val="en-US" w:eastAsia="zh-CN"/>
        </w:rPr>
      </w:pPr>
      <w:r>
        <w:rPr>
          <w:rFonts w:hint="eastAsia"/>
          <w:b/>
          <w:bCs/>
          <w:color w:val="auto"/>
          <w:lang w:val="en-US" w:eastAsia="zh-CN"/>
        </w:rPr>
        <w:t>3.推进诚信体系建设。</w:t>
      </w:r>
      <w:r>
        <w:rPr>
          <w:rFonts w:hint="eastAsia"/>
          <w:color w:val="auto"/>
          <w:lang w:val="en-US" w:eastAsia="zh-CN"/>
        </w:rPr>
        <w:t>建立消防安全信用记录制度、安全生产信用评价机制，将行政处罚、事故信息纳入信用档案，对失信主体实施联合惩戒。完善信用修复制度，鼓励失信主体主动纠正违法行为。</w:t>
      </w:r>
    </w:p>
    <w:p w14:paraId="1A28AD11">
      <w:pPr>
        <w:rPr>
          <w:rFonts w:hint="eastAsia"/>
          <w:color w:val="auto"/>
          <w:lang w:val="en-US" w:eastAsia="zh-CN"/>
        </w:rPr>
      </w:pPr>
      <w:r>
        <w:rPr>
          <w:rFonts w:hint="eastAsia"/>
          <w:b/>
          <w:bCs/>
          <w:color w:val="auto"/>
          <w:lang w:val="en-US" w:eastAsia="zh-CN"/>
        </w:rPr>
        <w:t>4.深化行业依法治理。</w:t>
      </w:r>
      <w:r>
        <w:rPr>
          <w:rFonts w:hint="eastAsia"/>
          <w:color w:val="auto"/>
          <w:lang w:val="en-US" w:eastAsia="zh-CN"/>
        </w:rPr>
        <w:t>指导科学城实验室、重点景区、民宿等行业建立健全内部安全管理制度，落实安全生产法律法规要求。开展企业主要负责人和安全管理人员法治轮训，提升企业依法治安水平。</w:t>
      </w:r>
    </w:p>
    <w:p w14:paraId="6A74FF45">
      <w:pPr>
        <w:keepNext w:val="0"/>
        <w:keepLines w:val="0"/>
        <w:pageBreakBefore w:val="0"/>
        <w:widowControl w:val="0"/>
        <w:kinsoku/>
        <w:wordWrap/>
        <w:overflowPunct/>
        <w:topLinePunct w:val="0"/>
        <w:autoSpaceDE/>
        <w:autoSpaceDN/>
        <w:bidi w:val="0"/>
        <w:adjustRightInd w:val="0"/>
        <w:snapToGrid w:val="0"/>
        <w:spacing w:before="340" w:after="330"/>
        <w:ind w:left="0" w:leftChars="0" w:firstLine="0" w:firstLineChars="0"/>
        <w:jc w:val="center"/>
        <w:textAlignment w:val="auto"/>
        <w:outlineLvl w:val="0"/>
        <w:rPr>
          <w:rFonts w:hint="eastAsia" w:ascii="方正小标宋简体" w:hAnsi="方正小标宋简体" w:eastAsia="方正小标宋简体" w:cs="方正小标宋简体"/>
          <w:color w:val="auto"/>
          <w:sz w:val="44"/>
          <w:szCs w:val="44"/>
          <w:lang w:val="en-US" w:eastAsia="zh-CN"/>
        </w:rPr>
      </w:pPr>
      <w:bookmarkStart w:id="93" w:name="_Toc13619"/>
      <w:bookmarkStart w:id="94" w:name="_Toc2338"/>
      <w:r>
        <w:rPr>
          <w:rFonts w:hint="eastAsia" w:ascii="方正小标宋简体" w:hAnsi="方正小标宋简体" w:eastAsia="方正小标宋简体" w:cs="方正小标宋简体"/>
          <w:color w:val="auto"/>
          <w:sz w:val="44"/>
          <w:szCs w:val="44"/>
          <w:lang w:val="en-US" w:eastAsia="zh-CN"/>
        </w:rPr>
        <w:t>第五章 重点工程项目</w:t>
      </w:r>
      <w:bookmarkEnd w:id="93"/>
      <w:bookmarkEnd w:id="94"/>
    </w:p>
    <w:p w14:paraId="2136EA7E">
      <w:pPr>
        <w:outlineLvl w:val="1"/>
        <w:rPr>
          <w:rFonts w:hint="eastAsia"/>
          <w:b w:val="0"/>
          <w:bCs w:val="0"/>
          <w:color w:val="auto"/>
          <w:lang w:val="en-US" w:eastAsia="zh-CN"/>
        </w:rPr>
      </w:pPr>
      <w:bookmarkStart w:id="95" w:name="_Toc29425"/>
      <w:bookmarkStart w:id="96" w:name="_Toc1105"/>
      <w:r>
        <w:rPr>
          <w:rFonts w:hint="eastAsia" w:ascii="黑体" w:hAnsi="黑体" w:eastAsia="黑体" w:cs="黑体"/>
          <w:color w:val="auto"/>
          <w:lang w:val="en-US" w:eastAsia="zh-CN"/>
        </w:rPr>
        <w:t>一、应急避险避难空间建设工程</w:t>
      </w:r>
      <w:bookmarkEnd w:id="95"/>
      <w:bookmarkEnd w:id="96"/>
    </w:p>
    <w:p w14:paraId="60661806">
      <w:pPr>
        <w:outlineLvl w:val="2"/>
        <w:rPr>
          <w:rFonts w:hint="eastAsia" w:ascii="楷体_GB2312" w:hAnsi="楷体_GB2312" w:eastAsia="楷体_GB2312" w:cs="楷体_GB2312"/>
          <w:b w:val="0"/>
          <w:bCs w:val="0"/>
          <w:color w:val="auto"/>
          <w:lang w:val="en-US" w:eastAsia="zh-CN"/>
        </w:rPr>
      </w:pPr>
      <w:bookmarkStart w:id="97" w:name="_Toc24633"/>
      <w:r>
        <w:rPr>
          <w:rFonts w:hint="eastAsia" w:ascii="楷体_GB2312" w:hAnsi="楷体_GB2312" w:eastAsia="楷体_GB2312" w:cs="楷体_GB2312"/>
          <w:b w:val="0"/>
          <w:bCs w:val="0"/>
          <w:color w:val="auto"/>
          <w:lang w:val="en-US" w:eastAsia="zh-CN"/>
        </w:rPr>
        <w:t>1.应急避难场所建设与更新改造项目</w:t>
      </w:r>
      <w:bookmarkEnd w:id="97"/>
    </w:p>
    <w:p w14:paraId="70A530A6">
      <w:pPr>
        <w:rPr>
          <w:rFonts w:hint="eastAsia"/>
          <w:b w:val="0"/>
          <w:bCs w:val="0"/>
          <w:color w:val="auto"/>
          <w:lang w:val="en-US" w:eastAsia="zh-CN"/>
        </w:rPr>
      </w:pPr>
      <w:r>
        <w:rPr>
          <w:rFonts w:hint="eastAsia"/>
          <w:b w:val="0"/>
          <w:bCs w:val="0"/>
          <w:color w:val="auto"/>
          <w:lang w:val="en-US" w:eastAsia="zh-CN"/>
        </w:rPr>
        <w:t>依据《北京市韧性城市空间专项规划（2022年—2035年）实施方案》及《北京市怀柔区应急避难场所专项规划（2024年—2035年）》，统筹推进山区与全区应急避难场所标准化、体系化建设，构建多层次、综合性的应急避险工作体系。在山区乡镇，规划建设综合性、室内型长期应急避难场所，结合各韧性街镇单元规划的综合性短期应急避难场所与山区自然村建设的</w:t>
      </w:r>
      <w:r>
        <w:rPr>
          <w:rFonts w:hint="eastAsia"/>
          <w:b w:val="0"/>
          <w:bCs w:val="0"/>
          <w:color w:val="auto"/>
          <w:lang w:val="en-US" w:eastAsia="zh-CN"/>
        </w:rPr>
        <w:t>“</w:t>
      </w:r>
      <w:r>
        <w:rPr>
          <w:rFonts w:hint="eastAsia"/>
          <w:b w:val="0"/>
          <w:bCs w:val="0"/>
          <w:color w:val="auto"/>
          <w:lang w:val="en-US" w:eastAsia="zh-CN"/>
        </w:rPr>
        <w:t>平急两用</w:t>
      </w:r>
      <w:r>
        <w:rPr>
          <w:rFonts w:hint="eastAsia"/>
          <w:b w:val="0"/>
          <w:bCs w:val="0"/>
          <w:color w:val="auto"/>
          <w:lang w:val="en-US" w:eastAsia="zh-CN"/>
        </w:rPr>
        <w:t>”</w:t>
      </w:r>
      <w:r>
        <w:rPr>
          <w:rFonts w:hint="eastAsia"/>
          <w:b w:val="0"/>
          <w:bCs w:val="0"/>
          <w:color w:val="auto"/>
          <w:lang w:val="en-US" w:eastAsia="zh-CN"/>
        </w:rPr>
        <w:t>高地堡垒（安全应急屋），形成山区应急避险避难空间布局，实现灾时“不亡人”、生活条件不大幅下降、不进行大规模人口转移等目标。在全区范围，统筹利用现有公共服务设施与新建场所，系统整合区域内酒店、村委会、学校等现有公共服务设施，通过标准化改造提升其应急避难功能，科学规划新建一批紧急避难场所，有效填补服务空白；对区级在册应急避难场所实施标准化改造与功能提升，重点完善应急集散、应急住宿、应急排污、应急供水、应急供电、应急照明、应急消防、垃圾储运、物资储备、医疗救治、应急通讯、应急停车及无障碍设施等配套设施。在保障核心避难功能基础上，拓展防灾减灾教育与实训功能，设置模拟体验区、宣教展厅及培训教室，面向公众常态化开展灾害认知、应急避险、自救互救等知识普及与技能训练。建立健全“平急结合”运维管理模式，完善从应急启用、分区管理到物资调配、服务保障的全流程运行预案，构建覆盖全面、功能复合、运行高效的应急避难场所网络，显著提升应对重大灾害时的长期安置保障能力与区域韧性。</w:t>
      </w:r>
    </w:p>
    <w:p w14:paraId="0823E7E3">
      <w:pPr>
        <w:outlineLvl w:val="2"/>
        <w:rPr>
          <w:rFonts w:hint="eastAsia" w:ascii="楷体_GB2312" w:hAnsi="楷体_GB2312" w:eastAsia="楷体_GB2312" w:cs="楷体_GB2312"/>
          <w:b w:val="0"/>
          <w:bCs w:val="0"/>
          <w:color w:val="auto"/>
          <w:lang w:val="en-US" w:eastAsia="zh-CN"/>
        </w:rPr>
      </w:pPr>
      <w:bookmarkStart w:id="98" w:name="_Toc29550"/>
      <w:r>
        <w:rPr>
          <w:rFonts w:hint="eastAsia" w:ascii="楷体_GB2312" w:hAnsi="楷体_GB2312" w:eastAsia="楷体_GB2312" w:cs="楷体_GB2312"/>
          <w:b w:val="0"/>
          <w:bCs w:val="0"/>
          <w:color w:val="auto"/>
          <w:lang w:val="en-US" w:eastAsia="zh-CN"/>
        </w:rPr>
        <w:t>2.山区村庄</w:t>
      </w:r>
      <w:r>
        <w:rPr>
          <w:rFonts w:hint="eastAsia" w:ascii="楷体_GB2312" w:hAnsi="楷体_GB2312" w:eastAsia="楷体_GB2312" w:cs="楷体_GB2312"/>
          <w:b w:val="0"/>
          <w:bCs w:val="0"/>
          <w:color w:val="auto"/>
          <w:lang w:val="en-US" w:eastAsia="zh-CN"/>
        </w:rPr>
        <w:t>“</w:t>
      </w:r>
      <w:r>
        <w:rPr>
          <w:rFonts w:hint="eastAsia" w:ascii="楷体_GB2312" w:hAnsi="楷体_GB2312" w:eastAsia="楷体_GB2312" w:cs="楷体_GB2312"/>
          <w:b w:val="0"/>
          <w:bCs w:val="0"/>
          <w:color w:val="auto"/>
          <w:lang w:val="en-US" w:eastAsia="zh-CN"/>
        </w:rPr>
        <w:t>平急两用</w:t>
      </w:r>
      <w:r>
        <w:rPr>
          <w:rFonts w:hint="eastAsia" w:ascii="楷体_GB2312" w:hAnsi="楷体_GB2312" w:eastAsia="楷体_GB2312" w:cs="楷体_GB2312"/>
          <w:b w:val="0"/>
          <w:bCs w:val="0"/>
          <w:color w:val="auto"/>
          <w:lang w:val="en-US" w:eastAsia="zh-CN"/>
        </w:rPr>
        <w:t>”</w:t>
      </w:r>
      <w:r>
        <w:rPr>
          <w:rFonts w:hint="eastAsia" w:ascii="楷体_GB2312" w:hAnsi="楷体_GB2312" w:eastAsia="楷体_GB2312" w:cs="楷体_GB2312"/>
          <w:b w:val="0"/>
          <w:bCs w:val="0"/>
          <w:color w:val="auto"/>
          <w:lang w:val="en-US" w:eastAsia="zh-CN"/>
        </w:rPr>
        <w:t>高地堡垒（安全应急屋）建设项目</w:t>
      </w:r>
      <w:bookmarkEnd w:id="98"/>
    </w:p>
    <w:p w14:paraId="561BFA03">
      <w:pPr>
        <w:rPr>
          <w:rFonts w:hint="eastAsia"/>
          <w:b w:val="0"/>
          <w:bCs w:val="0"/>
          <w:color w:val="auto"/>
          <w:lang w:val="en-US" w:eastAsia="zh-CN"/>
        </w:rPr>
      </w:pPr>
      <w:r>
        <w:rPr>
          <w:rFonts w:hint="eastAsia"/>
          <w:b w:val="0"/>
          <w:bCs w:val="0"/>
          <w:color w:val="auto"/>
          <w:lang w:val="en-US" w:eastAsia="zh-CN"/>
        </w:rPr>
        <w:t>推动实现每个山区自然村建成一处“平急两用”的高地堡垒（安全应急屋），用于避险时长不超过24小时的紧急防汛避险设施，主要针对在突发事件的事前及事中紧急躲避危险、保护生命的行为，以受灾群众临时庇护为主。建设内容主要包括：根据村庄实际条件，采取建筑利旧改造、新建建筑或装配式安全小屋等方式进行设施建设，选址应满足防洪、地质安全等要求，确保具备应急避险条件。构建稳定可靠的应急供电、应急供水、应急通信及物资储备体系，完善人员快速转移通道，确保应急启用时受灾群众基本生活有保障、疏散转移顺畅安全。</w:t>
      </w:r>
    </w:p>
    <w:p w14:paraId="159EE020">
      <w:pPr>
        <w:outlineLvl w:val="1"/>
        <w:rPr>
          <w:rFonts w:hint="eastAsia" w:ascii="黑体" w:hAnsi="黑体" w:eastAsia="黑体" w:cs="黑体"/>
          <w:color w:val="auto"/>
          <w:lang w:val="en-US" w:eastAsia="zh-CN"/>
        </w:rPr>
      </w:pPr>
      <w:bookmarkStart w:id="99" w:name="_Toc17362"/>
      <w:bookmarkStart w:id="100" w:name="_Toc31991"/>
      <w:r>
        <w:rPr>
          <w:rFonts w:hint="eastAsia" w:ascii="黑体" w:hAnsi="黑体" w:eastAsia="黑体" w:cs="黑体"/>
          <w:color w:val="auto"/>
          <w:lang w:val="en-US" w:eastAsia="zh-CN"/>
        </w:rPr>
        <w:t>二、</w:t>
      </w:r>
      <w:bookmarkEnd w:id="99"/>
      <w:r>
        <w:rPr>
          <w:rFonts w:hint="eastAsia" w:ascii="黑体" w:hAnsi="黑体" w:eastAsia="黑体" w:cs="黑体"/>
          <w:color w:val="auto"/>
          <w:lang w:val="en-US" w:eastAsia="zh-CN"/>
        </w:rPr>
        <w:t>应急救援训练和保障设施建设工程</w:t>
      </w:r>
      <w:bookmarkEnd w:id="100"/>
    </w:p>
    <w:p w14:paraId="224C7EA5">
      <w:pPr>
        <w:outlineLvl w:val="2"/>
        <w:rPr>
          <w:rFonts w:hint="eastAsia"/>
          <w:color w:val="auto"/>
          <w:lang w:val="en-US" w:eastAsia="zh-CN"/>
        </w:rPr>
      </w:pPr>
      <w:bookmarkStart w:id="101" w:name="_Toc12052"/>
      <w:bookmarkStart w:id="102" w:name="_Toc557"/>
      <w:r>
        <w:rPr>
          <w:rFonts w:hint="eastAsia" w:ascii="楷体_GB2312" w:hAnsi="楷体_GB2312" w:eastAsia="楷体_GB2312" w:cs="楷体_GB2312"/>
          <w:b w:val="0"/>
          <w:bCs w:val="0"/>
          <w:color w:val="auto"/>
          <w:lang w:val="en-US" w:eastAsia="zh-CN"/>
        </w:rPr>
        <w:t>3.</w:t>
      </w:r>
      <w:r>
        <w:rPr>
          <w:rFonts w:hint="default" w:ascii="楷体_GB2312" w:hAnsi="楷体_GB2312" w:eastAsia="楷体_GB2312" w:cs="楷体_GB2312"/>
          <w:b w:val="0"/>
          <w:bCs w:val="0"/>
          <w:color w:val="auto"/>
          <w:lang w:val="en-US" w:eastAsia="zh-CN"/>
        </w:rPr>
        <w:t>森林消防综合救援支队驻地</w:t>
      </w:r>
      <w:r>
        <w:rPr>
          <w:rFonts w:hint="eastAsia" w:ascii="楷体_GB2312" w:hAnsi="楷体_GB2312" w:eastAsia="楷体_GB2312" w:cs="楷体_GB2312"/>
          <w:b w:val="0"/>
          <w:bCs w:val="0"/>
          <w:color w:val="auto"/>
          <w:lang w:val="en-US" w:eastAsia="zh-CN"/>
        </w:rPr>
        <w:t>建设项目</w:t>
      </w:r>
      <w:bookmarkEnd w:id="101"/>
      <w:bookmarkEnd w:id="102"/>
    </w:p>
    <w:p w14:paraId="3F4B1373">
      <w:pPr>
        <w:ind w:left="0" w:leftChars="0" w:firstLine="640" w:firstLineChars="200"/>
        <w:rPr>
          <w:rFonts w:hint="eastAsia"/>
          <w:color w:val="auto"/>
          <w:lang w:val="en-US" w:eastAsia="zh-CN"/>
        </w:rPr>
      </w:pPr>
      <w:r>
        <w:rPr>
          <w:rFonts w:hint="eastAsia"/>
          <w:color w:val="auto"/>
          <w:lang w:val="en-US" w:eastAsia="zh-CN"/>
        </w:rPr>
        <w:t>构建布局科学、功能完备、响应高效的森林消防驻地网络，规划推进森林消防综合救援支队驻地新建与改造工作，强化区域内重点区域的救援力量覆盖与联动指挥效能，系统提升怀柔区森林火灾综合防控与应急响应能力。</w:t>
      </w:r>
    </w:p>
    <w:p w14:paraId="537E690D">
      <w:pPr>
        <w:ind w:left="0" w:leftChars="0" w:firstLine="640" w:firstLineChars="200"/>
        <w:rPr>
          <w:rFonts w:hint="eastAsia"/>
          <w:color w:val="auto"/>
          <w:lang w:val="en-US" w:eastAsia="zh-CN"/>
        </w:rPr>
      </w:pPr>
      <w:r>
        <w:rPr>
          <w:rFonts w:hint="eastAsia"/>
          <w:color w:val="auto"/>
          <w:lang w:val="en-US" w:eastAsia="zh-CN"/>
        </w:rPr>
        <w:t>北台上驻地改造提升项目。立足服务政治经济核心区及周边生态防护林带，对北台上驻地进行综合改造，重点实施营房翻新加固与防水处理。</w:t>
      </w:r>
    </w:p>
    <w:p w14:paraId="0ED7986F">
      <w:pPr>
        <w:ind w:left="0" w:leftChars="0" w:firstLine="640" w:firstLineChars="200"/>
        <w:rPr>
          <w:rFonts w:hint="eastAsia"/>
          <w:color w:val="auto"/>
          <w:lang w:val="en-US" w:eastAsia="zh-CN"/>
        </w:rPr>
      </w:pPr>
      <w:r>
        <w:rPr>
          <w:rFonts w:hint="eastAsia"/>
          <w:color w:val="auto"/>
          <w:lang w:val="en-US" w:eastAsia="zh-CN"/>
        </w:rPr>
        <w:t>喇叭沟门驻地能力强化项目。作为京津冀交界区域关键防控节点，重点强化跨省火源管控与联合处置能力。实施营房结构加固改造；预留宿舍扩容条件，满足常态化驻勤需求。</w:t>
      </w:r>
    </w:p>
    <w:p w14:paraId="65E11CD8">
      <w:pPr>
        <w:ind w:left="0" w:leftChars="0" w:firstLine="640" w:firstLineChars="200"/>
        <w:rPr>
          <w:rFonts w:hint="eastAsia"/>
          <w:b w:val="0"/>
          <w:bCs w:val="0"/>
          <w:color w:val="auto"/>
          <w:lang w:val="en-US" w:eastAsia="zh-CN"/>
        </w:rPr>
      </w:pPr>
      <w:r>
        <w:rPr>
          <w:rFonts w:hint="eastAsia"/>
          <w:color w:val="auto"/>
          <w:lang w:val="en-US" w:eastAsia="zh-CN"/>
        </w:rPr>
        <w:t>交界河驻地改建项目。</w:t>
      </w:r>
      <w:r>
        <w:rPr>
          <w:rFonts w:hint="eastAsia"/>
          <w:b w:val="0"/>
          <w:bCs w:val="0"/>
          <w:color w:val="auto"/>
          <w:lang w:val="en-US" w:eastAsia="zh-CN"/>
        </w:rPr>
        <w:t>作为深山区核心救援枢纽，有效覆盖周边行政村及原始林区，重点改建综合营房，包括跨区域指挥室及临时安置点。</w:t>
      </w:r>
    </w:p>
    <w:p w14:paraId="43D827F4">
      <w:pPr>
        <w:outlineLvl w:val="1"/>
        <w:rPr>
          <w:rFonts w:hint="eastAsia" w:ascii="黑体" w:hAnsi="黑体" w:eastAsia="黑体" w:cs="黑体"/>
          <w:color w:val="auto"/>
          <w:lang w:val="en-US" w:eastAsia="zh-CN"/>
        </w:rPr>
      </w:pPr>
      <w:bookmarkStart w:id="103" w:name="_Toc29138"/>
      <w:bookmarkStart w:id="104" w:name="_Toc3310"/>
      <w:bookmarkStart w:id="105" w:name="_Toc9223"/>
      <w:r>
        <w:rPr>
          <w:rFonts w:hint="eastAsia" w:ascii="黑体" w:hAnsi="黑体" w:eastAsia="黑体" w:cs="黑体"/>
          <w:color w:val="auto"/>
          <w:lang w:val="en-US" w:eastAsia="zh-CN"/>
        </w:rPr>
        <w:t>三、危险化学品集中管理体系建设工程</w:t>
      </w:r>
      <w:bookmarkEnd w:id="103"/>
      <w:bookmarkEnd w:id="104"/>
      <w:bookmarkEnd w:id="105"/>
    </w:p>
    <w:p w14:paraId="1F144A95">
      <w:pPr>
        <w:outlineLvl w:val="2"/>
        <w:rPr>
          <w:rFonts w:hint="default"/>
          <w:color w:val="auto"/>
          <w:lang w:val="en-US" w:eastAsia="zh-CN"/>
        </w:rPr>
      </w:pPr>
      <w:bookmarkStart w:id="106" w:name="_Toc7675"/>
      <w:bookmarkStart w:id="107" w:name="_Toc5792"/>
      <w:bookmarkStart w:id="108" w:name="_Toc31997"/>
      <w:r>
        <w:rPr>
          <w:rFonts w:hint="eastAsia" w:ascii="楷体_GB2312" w:hAnsi="楷体_GB2312" w:eastAsia="楷体_GB2312" w:cs="楷体_GB2312"/>
          <w:b w:val="0"/>
          <w:bCs w:val="0"/>
          <w:color w:val="auto"/>
          <w:highlight w:val="none"/>
          <w:lang w:val="en-US" w:eastAsia="zh-CN"/>
        </w:rPr>
        <w:t>4.怀柔区危险化学品快速周转节点</w:t>
      </w:r>
      <w:bookmarkEnd w:id="106"/>
      <w:bookmarkEnd w:id="107"/>
      <w:bookmarkEnd w:id="108"/>
      <w:r>
        <w:rPr>
          <w:rFonts w:hint="eastAsia" w:ascii="楷体_GB2312" w:hAnsi="楷体_GB2312" w:eastAsia="楷体_GB2312" w:cs="楷体_GB2312"/>
          <w:b w:val="0"/>
          <w:bCs w:val="0"/>
          <w:color w:val="auto"/>
          <w:highlight w:val="none"/>
          <w:lang w:val="en-US" w:eastAsia="zh-CN"/>
        </w:rPr>
        <w:t>建设项目</w:t>
      </w:r>
    </w:p>
    <w:p w14:paraId="118C2579">
      <w:pPr>
        <w:rPr>
          <w:rFonts w:hint="eastAsia"/>
          <w:color w:val="auto"/>
          <w:lang w:val="en-US" w:eastAsia="zh-CN"/>
        </w:rPr>
      </w:pPr>
      <w:r>
        <w:rPr>
          <w:rFonts w:hint="eastAsia"/>
          <w:color w:val="auto"/>
          <w:lang w:val="en-US" w:eastAsia="zh-CN"/>
        </w:rPr>
        <w:t>围绕怀柔区危险化学品全链条安全监管与保供需求，统筹推进危险化学品快速周转节点建设。新设危险化学品库房，着力打造集约化、智能化的危险化学品储存与快速周转核心枢纽。重点满足危险化学品保供需求，优化仓储布局与物流流程，提升对怀柔科学城大科学装置、前沿科研项目及高端制造业、生命科学等重点产业的危险化学品快速配送能力，有效降低本地长期储存风险。</w:t>
      </w:r>
    </w:p>
    <w:p w14:paraId="17023819">
      <w:pPr>
        <w:outlineLvl w:val="1"/>
        <w:rPr>
          <w:rFonts w:hint="eastAsia" w:ascii="黑体" w:hAnsi="黑体" w:eastAsia="黑体" w:cs="黑体"/>
          <w:color w:val="auto"/>
          <w:lang w:val="en-US" w:eastAsia="zh-CN"/>
        </w:rPr>
      </w:pPr>
      <w:bookmarkStart w:id="109" w:name="_Toc32155"/>
      <w:r>
        <w:rPr>
          <w:rFonts w:hint="eastAsia" w:ascii="黑体" w:hAnsi="黑体" w:eastAsia="黑体" w:cs="黑体"/>
          <w:color w:val="auto"/>
          <w:lang w:val="en-US" w:eastAsia="zh-CN"/>
        </w:rPr>
        <w:t>四、消防救援站建设工程</w:t>
      </w:r>
      <w:bookmarkEnd w:id="109"/>
    </w:p>
    <w:p w14:paraId="3DC282C1">
      <w:pPr>
        <w:outlineLvl w:val="2"/>
        <w:rPr>
          <w:rFonts w:hint="eastAsia" w:ascii="楷体_GB2312" w:hAnsi="楷体_GB2312" w:eastAsia="楷体_GB2312" w:cs="楷体_GB2312"/>
          <w:b w:val="0"/>
          <w:bCs w:val="0"/>
          <w:color w:val="auto"/>
          <w:lang w:val="en-US" w:eastAsia="zh-CN"/>
        </w:rPr>
      </w:pPr>
      <w:bookmarkStart w:id="110" w:name="_Toc112"/>
      <w:r>
        <w:rPr>
          <w:rFonts w:hint="eastAsia" w:ascii="楷体_GB2312" w:hAnsi="楷体_GB2312" w:eastAsia="楷体_GB2312" w:cs="楷体_GB2312"/>
          <w:b w:val="0"/>
          <w:bCs w:val="0"/>
          <w:color w:val="auto"/>
          <w:lang w:val="en-US" w:eastAsia="zh-CN"/>
        </w:rPr>
        <w:t>5.消防救援站新建项目</w:t>
      </w:r>
      <w:bookmarkEnd w:id="110"/>
    </w:p>
    <w:p w14:paraId="44B50D83">
      <w:pPr>
        <w:rPr>
          <w:rFonts w:hint="default"/>
          <w:color w:val="auto"/>
          <w:lang w:val="en-US" w:eastAsia="zh-CN"/>
        </w:rPr>
      </w:pPr>
      <w:r>
        <w:rPr>
          <w:rFonts w:hint="default"/>
          <w:color w:val="auto"/>
          <w:lang w:val="en-US" w:eastAsia="zh-CN"/>
        </w:rPr>
        <w:t>“十五五”时期，围绕构建“责任区覆盖全面、响应及时、分级配置、功能互补”的消防救援体系框架，针对不同区域风险特征和救援需求，差异化配置消防站点资源，规划建设怀北、庙城2座消防救援站，进一步织密全区消防救援网络，提升灭火救援响应时效。</w:t>
      </w:r>
    </w:p>
    <w:p w14:paraId="53E270D7">
      <w:pPr>
        <w:rPr>
          <w:rFonts w:hint="default"/>
          <w:color w:val="auto"/>
          <w:lang w:val="en-US" w:eastAsia="zh-CN"/>
        </w:rPr>
      </w:pPr>
      <w:r>
        <w:rPr>
          <w:rFonts w:hint="default"/>
          <w:color w:val="auto"/>
          <w:lang w:val="en-US" w:eastAsia="zh-CN"/>
        </w:rPr>
        <w:t>怀北消防救援站。项目位于怀柔科学城，依据相关规划预留的消防设施用地，拟规划建设一座一级消防救援站。该项目原为前期规划建设任务，因APEC会议期间建设国际会都消防站而暂缓，现按市级相关规划要求，“十五五”时期启动建设。项目建成后主要辐射怀北镇区域，有效弥补平原地区与山区交界处消防救援力量不足，显著提升各类抢险救援到场时效，最大限度减少火灾损失及因车祸、山岳救援、地质灾害等事故造成的人员伤亡。</w:t>
      </w:r>
    </w:p>
    <w:p w14:paraId="3D8109DF">
      <w:pPr>
        <w:rPr>
          <w:rFonts w:hint="default"/>
          <w:b w:val="0"/>
          <w:bCs w:val="0"/>
          <w:color w:val="auto"/>
          <w:lang w:val="en-US" w:eastAsia="zh-CN"/>
        </w:rPr>
      </w:pPr>
      <w:r>
        <w:rPr>
          <w:rFonts w:hint="default"/>
          <w:color w:val="auto"/>
          <w:lang w:val="en-US" w:eastAsia="zh-CN"/>
        </w:rPr>
        <w:t>庙城消防救援站。项目位于怀柔新城，依据相关规划预留的消防设施用地，拟规划建设一座二级消防救援站。项目建成后主要辐射庙城镇区域，有效弥补庙城镇人口密集区域消防救援力量缺口，降低火灾造成的直接和间接经济损失。</w:t>
      </w:r>
    </w:p>
    <w:p w14:paraId="5E30570A">
      <w:pPr>
        <w:outlineLvl w:val="1"/>
        <w:rPr>
          <w:rFonts w:hint="default" w:ascii="黑体" w:hAnsi="黑体" w:eastAsia="黑体" w:cs="黑体"/>
          <w:color w:val="auto"/>
          <w:lang w:val="en-US" w:eastAsia="zh-CN"/>
        </w:rPr>
      </w:pPr>
      <w:bookmarkStart w:id="111" w:name="_Toc4819"/>
      <w:bookmarkStart w:id="112" w:name="_Toc13394"/>
      <w:r>
        <w:rPr>
          <w:rFonts w:hint="eastAsia" w:ascii="黑体" w:hAnsi="黑体" w:eastAsia="黑体" w:cs="黑体"/>
          <w:color w:val="auto"/>
          <w:lang w:val="en-US" w:eastAsia="zh-CN"/>
        </w:rPr>
        <w:t>五、消防安全标准化与设施提质工程</w:t>
      </w:r>
      <w:bookmarkEnd w:id="111"/>
      <w:bookmarkEnd w:id="112"/>
    </w:p>
    <w:p w14:paraId="7ADADE14">
      <w:pPr>
        <w:outlineLvl w:val="2"/>
        <w:rPr>
          <w:rFonts w:hint="default" w:ascii="楷体_GB2312" w:hAnsi="楷体_GB2312" w:eastAsia="楷体_GB2312" w:cs="楷体_GB2312"/>
          <w:b w:val="0"/>
          <w:bCs w:val="0"/>
          <w:color w:val="auto"/>
          <w:lang w:val="en-US" w:eastAsia="zh-CN"/>
        </w:rPr>
      </w:pPr>
      <w:bookmarkStart w:id="113" w:name="_Toc17467"/>
      <w:r>
        <w:rPr>
          <w:rFonts w:hint="eastAsia" w:ascii="楷体_GB2312" w:hAnsi="楷体_GB2312" w:eastAsia="楷体_GB2312" w:cs="楷体_GB2312"/>
          <w:b w:val="0"/>
          <w:bCs w:val="0"/>
          <w:color w:val="auto"/>
          <w:lang w:val="en-US" w:eastAsia="zh-CN"/>
        </w:rPr>
        <w:t>6.行业消防安全标准化建设与星级评价项目</w:t>
      </w:r>
      <w:bookmarkEnd w:id="113"/>
    </w:p>
    <w:p w14:paraId="7B160230">
      <w:pPr>
        <w:rPr>
          <w:rFonts w:hint="default"/>
          <w:b w:val="0"/>
          <w:bCs w:val="0"/>
          <w:color w:val="auto"/>
          <w:lang w:val="en-US" w:eastAsia="zh-CN"/>
        </w:rPr>
      </w:pPr>
      <w:r>
        <w:rPr>
          <w:rFonts w:hint="eastAsia"/>
          <w:b w:val="0"/>
          <w:bCs w:val="0"/>
          <w:color w:val="auto"/>
          <w:lang w:val="en-US" w:eastAsia="zh-CN"/>
        </w:rPr>
        <w:t>构建符合怀柔区情、覆盖重点行业的现代化消防安全治理体系，通过标准化建设和星级评价，推动消防安全管理从被动应对向主动防范转变，为区域“1+3”融合发展战略提供坚实的安全保障。针对教育、民政、文旅、卫健等重点行业特点，研制并出台一批区域性行业消防安全管理标准与规定，形成具有怀柔特色的标准体系，实现“一行业一标准”。全面启动并分步完成重点行业的消防安全星级评价工作。建立“规划</w:t>
      </w:r>
      <w:r>
        <w:rPr>
          <w:rFonts w:hint="eastAsia"/>
          <w:color w:val="auto"/>
          <w:lang w:val="en-US" w:eastAsia="zh-CN"/>
        </w:rPr>
        <w:t>－</w:t>
      </w:r>
      <w:r>
        <w:rPr>
          <w:rFonts w:hint="eastAsia"/>
          <w:b w:val="0"/>
          <w:bCs w:val="0"/>
          <w:color w:val="auto"/>
          <w:lang w:val="en-US" w:eastAsia="zh-CN"/>
        </w:rPr>
        <w:t>预算</w:t>
      </w:r>
      <w:r>
        <w:rPr>
          <w:rFonts w:hint="eastAsia"/>
          <w:color w:val="auto"/>
          <w:lang w:val="en-US" w:eastAsia="zh-CN"/>
        </w:rPr>
        <w:t>－</w:t>
      </w:r>
      <w:r>
        <w:rPr>
          <w:rFonts w:hint="eastAsia"/>
          <w:b w:val="0"/>
          <w:bCs w:val="0"/>
          <w:color w:val="auto"/>
          <w:lang w:val="en-US" w:eastAsia="zh-CN"/>
        </w:rPr>
        <w:t>评价”联动机制，推动各行业主管部门将评价结果作为编制中短期消防工作计划和申报消防专项经费的核心依据，确保资源精准投入。由区消防部门牵头，指导各行业主管部门全面推行以“风险自知、安全自查、隐患自改”为核心的安全管理新模式。建立季度与年度行业火灾风险分析评估制度，利用大数据等手段，实现风险精准画像与早期预警。定期组织开展“行业消防安全管理示范单位”与“标准化建设标杆单位”的评选与创建活动。通过树立典型、表彰先进，形成示范引领效应，带动全区各行业消防安全管理水平整体跃升。</w:t>
      </w:r>
    </w:p>
    <w:p w14:paraId="315A05DB">
      <w:pPr>
        <w:outlineLvl w:val="2"/>
        <w:rPr>
          <w:rFonts w:hint="default" w:ascii="楷体_GB2312" w:hAnsi="楷体_GB2312" w:eastAsia="楷体_GB2312" w:cs="楷体_GB2312"/>
          <w:b w:val="0"/>
          <w:bCs w:val="0"/>
          <w:color w:val="auto"/>
          <w:lang w:val="en-US" w:eastAsia="zh-CN"/>
        </w:rPr>
      </w:pPr>
      <w:bookmarkStart w:id="114" w:name="_Toc12227"/>
      <w:r>
        <w:rPr>
          <w:rFonts w:hint="eastAsia" w:ascii="楷体_GB2312" w:hAnsi="楷体_GB2312" w:eastAsia="楷体_GB2312" w:cs="楷体_GB2312"/>
          <w:b w:val="0"/>
          <w:bCs w:val="0"/>
          <w:color w:val="auto"/>
          <w:lang w:val="en-US" w:eastAsia="zh-CN"/>
        </w:rPr>
        <w:t>7.城市老旧消防设施更新升级项目</w:t>
      </w:r>
      <w:bookmarkEnd w:id="114"/>
      <w:r>
        <w:rPr>
          <w:rFonts w:hint="eastAsia" w:ascii="楷体_GB2312" w:hAnsi="楷体_GB2312" w:eastAsia="楷体_GB2312" w:cs="楷体_GB2312"/>
          <w:b w:val="0"/>
          <w:bCs w:val="0"/>
          <w:color w:val="auto"/>
          <w:lang w:val="en-US" w:eastAsia="zh-CN"/>
        </w:rPr>
        <w:t xml:space="preserve">  </w:t>
      </w:r>
    </w:p>
    <w:p w14:paraId="1A232F33">
      <w:pPr>
        <w:rPr>
          <w:rFonts w:hint="eastAsia"/>
          <w:b w:val="0"/>
          <w:bCs w:val="0"/>
          <w:color w:val="auto"/>
          <w:lang w:val="en-US" w:eastAsia="zh-CN"/>
        </w:rPr>
      </w:pPr>
      <w:r>
        <w:rPr>
          <w:rFonts w:hint="eastAsia"/>
          <w:b w:val="0"/>
          <w:bCs w:val="0"/>
          <w:color w:val="auto"/>
          <w:lang w:val="en-US" w:eastAsia="zh-CN"/>
        </w:rPr>
        <w:t>系统化、分批次完成全区老旧小区及重点区域消防设施的全面更新与智能化改造，建立长效管理机制，实现城区消防安全基础条件的根本性改善和本质安全水平的跃升。由住建部门牵头，对全区老旧小区、公共建筑的消防设施运行状况开展全覆盖普查与专业化安全评估，建立“一小区一档”的《老旧消防设施安全隐患台账》，实行分级分类、动态更新的清单化管理。制定《怀柔区消防设施分级改造技术指南》，依据评估结果，对技术落后、故障频发且无维修价值的消防设施，优先纳入改造计划，实行“挂账整改、限期销项”机制，确保隐患整改到位。创新资金筹措机制，系统研究并畅通公共维修资金用于消防设施更新的申请渠道与审批流程。推动建立“政府引导、物业主体、业主参与”的多方资金共担模式，为改造工作提供可持续的财力保障。在改造中同步推广应用物联网、大数据等先进技术，推动消防设施从“传统机械式”向“智能联网式”升级，建设区级消防设施智能监测平台，实现火灾预警、设施状态监控的精准化和高效化。</w:t>
      </w:r>
    </w:p>
    <w:p w14:paraId="2C0A7CA6">
      <w:pPr>
        <w:outlineLvl w:val="1"/>
        <w:rPr>
          <w:rFonts w:hint="default" w:ascii="黑体" w:hAnsi="黑体" w:eastAsia="黑体" w:cs="黑体"/>
          <w:color w:val="auto"/>
          <w:lang w:val="en-US" w:eastAsia="zh-CN"/>
        </w:rPr>
      </w:pPr>
      <w:bookmarkStart w:id="115" w:name="_Toc402"/>
      <w:r>
        <w:rPr>
          <w:rFonts w:hint="eastAsia" w:ascii="黑体" w:hAnsi="黑体" w:eastAsia="黑体" w:cs="黑体"/>
          <w:color w:val="auto"/>
          <w:lang w:val="en-US" w:eastAsia="zh-CN"/>
        </w:rPr>
        <w:t>六、智慧应急建设工程</w:t>
      </w:r>
      <w:bookmarkEnd w:id="115"/>
    </w:p>
    <w:p w14:paraId="4D7BFED2">
      <w:pPr>
        <w:outlineLvl w:val="2"/>
        <w:rPr>
          <w:rFonts w:hint="eastAsia"/>
          <w:color w:val="auto"/>
          <w:lang w:val="en-US" w:eastAsia="zh-CN"/>
        </w:rPr>
      </w:pPr>
      <w:bookmarkStart w:id="116" w:name="_Toc23655"/>
      <w:r>
        <w:rPr>
          <w:rFonts w:hint="eastAsia" w:ascii="楷体_GB2312" w:hAnsi="楷体_GB2312" w:eastAsia="楷体_GB2312" w:cs="楷体_GB2312"/>
          <w:b w:val="0"/>
          <w:bCs w:val="0"/>
          <w:color w:val="auto"/>
          <w:lang w:val="en-US" w:eastAsia="zh-CN"/>
        </w:rPr>
        <w:t>8.基层应急监测预警系统提升项目</w:t>
      </w:r>
      <w:bookmarkEnd w:id="116"/>
    </w:p>
    <w:p w14:paraId="26ECFF14">
      <w:pPr>
        <w:rPr>
          <w:rFonts w:hint="eastAsia"/>
          <w:color w:val="auto"/>
          <w:lang w:val="en-US" w:eastAsia="zh-CN"/>
        </w:rPr>
      </w:pPr>
      <w:r>
        <w:rPr>
          <w:rFonts w:hint="eastAsia"/>
          <w:color w:val="auto"/>
          <w:lang w:val="en-US" w:eastAsia="zh-CN"/>
        </w:rPr>
        <w:t>对山区险村所安装的监测预警系统进行改造提升，进一步提升山洪地质灾害险村监测预警能力。完善应急广播覆盖网，对预警广播主机及部分广播杆进行更换，打通预警信息入户的“最后一公里”。扩大预警信号发布覆盖范围，为险村增设预警广播杆，并配套完善相关终端设备；同时为主机加装备用电源，保障断电情况下的持续运行能力，确保极端条件下预警信号及时发出。建设应急数字智能监测预警管理平台，实现区级远程发布预警信号和实时掌握降雨数据，并具备在断电断网情况下，通过超短波自组网远程发布预警、远程控制警灯警报、超短波通话及数据上传等功能。</w:t>
      </w:r>
      <w:bookmarkStart w:id="117" w:name="_Toc10589"/>
    </w:p>
    <w:p w14:paraId="7E038328">
      <w:pPr>
        <w:keepNext w:val="0"/>
        <w:keepLines w:val="0"/>
        <w:pageBreakBefore w:val="0"/>
        <w:widowControl w:val="0"/>
        <w:kinsoku/>
        <w:wordWrap/>
        <w:overflowPunct/>
        <w:topLinePunct w:val="0"/>
        <w:autoSpaceDE/>
        <w:autoSpaceDN/>
        <w:bidi w:val="0"/>
        <w:adjustRightInd w:val="0"/>
        <w:snapToGrid w:val="0"/>
        <w:spacing w:before="340" w:after="330"/>
        <w:ind w:left="0" w:leftChars="0" w:firstLine="0" w:firstLineChars="0"/>
        <w:jc w:val="center"/>
        <w:textAlignment w:val="auto"/>
        <w:outlineLvl w:val="0"/>
        <w:rPr>
          <w:rFonts w:hint="eastAsia" w:ascii="方正小标宋简体" w:hAnsi="方正小标宋简体" w:eastAsia="方正小标宋简体" w:cs="方正小标宋简体"/>
          <w:color w:val="auto"/>
          <w:sz w:val="44"/>
          <w:szCs w:val="44"/>
          <w:lang w:val="en-US" w:eastAsia="zh-CN"/>
        </w:rPr>
      </w:pPr>
      <w:bookmarkStart w:id="118" w:name="_Toc29392"/>
      <w:r>
        <w:rPr>
          <w:rFonts w:hint="eastAsia" w:ascii="方正小标宋简体" w:hAnsi="方正小标宋简体" w:eastAsia="方正小标宋简体" w:cs="方正小标宋简体"/>
          <w:color w:val="auto"/>
          <w:sz w:val="44"/>
          <w:szCs w:val="44"/>
          <w:lang w:val="en-US" w:eastAsia="zh-CN"/>
        </w:rPr>
        <w:t>第六章 保障措施</w:t>
      </w:r>
      <w:bookmarkEnd w:id="117"/>
      <w:bookmarkEnd w:id="118"/>
    </w:p>
    <w:p w14:paraId="2C115D86">
      <w:pPr>
        <w:outlineLvl w:val="1"/>
        <w:rPr>
          <w:rFonts w:hint="eastAsia" w:ascii="黑体" w:hAnsi="黑体" w:eastAsia="黑体" w:cs="黑体"/>
          <w:color w:val="auto"/>
          <w:lang w:val="en-US" w:eastAsia="zh-CN"/>
        </w:rPr>
      </w:pPr>
      <w:bookmarkStart w:id="119" w:name="_Toc13255"/>
      <w:bookmarkStart w:id="120" w:name="_Toc15101"/>
      <w:r>
        <w:rPr>
          <w:rFonts w:hint="eastAsia" w:ascii="黑体" w:hAnsi="黑体" w:eastAsia="黑体" w:cs="黑体"/>
          <w:color w:val="auto"/>
          <w:lang w:val="en-US" w:eastAsia="zh-CN"/>
        </w:rPr>
        <w:t>一、加强组织领导</w:t>
      </w:r>
      <w:bookmarkEnd w:id="119"/>
      <w:bookmarkEnd w:id="120"/>
    </w:p>
    <w:p w14:paraId="3DB0F5BB">
      <w:pPr>
        <w:rPr>
          <w:rFonts w:hint="eastAsia"/>
          <w:color w:val="auto"/>
          <w:lang w:val="en-US" w:eastAsia="zh-CN"/>
        </w:rPr>
      </w:pPr>
      <w:r>
        <w:rPr>
          <w:rFonts w:hint="eastAsia"/>
          <w:color w:val="auto"/>
          <w:lang w:val="en-US" w:eastAsia="zh-CN"/>
        </w:rPr>
        <w:t>完善区应急委统筹协调机制，建立“十五五”应急管理体系建设工作领导小组，由区政府主要领导担任组长。各镇乡、街道成立相应工作专班，形成分级负责、层层落实的组织领导体系。制定规划实施责任清单，将重点任务分解到各相关部门和镇乡街道，明确责任主体和完成时限，确保各项任务有序推进。</w:t>
      </w:r>
    </w:p>
    <w:p w14:paraId="6F754737">
      <w:pPr>
        <w:outlineLvl w:val="1"/>
        <w:rPr>
          <w:rFonts w:hint="eastAsia" w:ascii="黑体" w:hAnsi="黑体" w:eastAsia="黑体" w:cs="黑体"/>
          <w:color w:val="auto"/>
          <w:lang w:val="en-US" w:eastAsia="zh-CN"/>
        </w:rPr>
      </w:pPr>
      <w:bookmarkStart w:id="121" w:name="_Toc14712"/>
      <w:bookmarkStart w:id="122" w:name="_Toc14935"/>
      <w:r>
        <w:rPr>
          <w:rFonts w:hint="eastAsia" w:ascii="黑体" w:hAnsi="黑体" w:eastAsia="黑体" w:cs="黑体"/>
          <w:color w:val="auto"/>
          <w:lang w:val="en-US" w:eastAsia="zh-CN"/>
        </w:rPr>
        <w:t>二、强化政策保障</w:t>
      </w:r>
      <w:bookmarkEnd w:id="121"/>
      <w:bookmarkEnd w:id="122"/>
    </w:p>
    <w:p w14:paraId="0D4FE1F1">
      <w:pPr>
        <w:rPr>
          <w:rFonts w:hint="eastAsia"/>
          <w:color w:val="auto"/>
          <w:lang w:val="en-US" w:eastAsia="zh-CN"/>
        </w:rPr>
      </w:pPr>
      <w:r>
        <w:rPr>
          <w:rFonts w:hint="eastAsia"/>
          <w:color w:val="auto"/>
          <w:lang w:val="en-US" w:eastAsia="zh-CN"/>
        </w:rPr>
        <w:t>积极争取市级资金支持，重点保障监测预警、应急救援、物资储备等重点项目建设。制定出台应急管理领域配套政策措施，在人才引进、科技创新等方面给予政策倾斜。制定应急管理重点项目清单，优先保障关键领域资源需求。</w:t>
      </w:r>
    </w:p>
    <w:p w14:paraId="5B41E584">
      <w:pPr>
        <w:outlineLvl w:val="1"/>
        <w:rPr>
          <w:rFonts w:hint="eastAsia" w:ascii="黑体" w:hAnsi="黑体" w:eastAsia="黑体" w:cs="黑体"/>
          <w:color w:val="auto"/>
          <w:lang w:val="en-US" w:eastAsia="zh-CN"/>
        </w:rPr>
      </w:pPr>
      <w:bookmarkStart w:id="123" w:name="_Toc17351"/>
      <w:bookmarkStart w:id="124" w:name="_Toc3863"/>
      <w:r>
        <w:rPr>
          <w:rFonts w:hint="eastAsia" w:ascii="黑体" w:hAnsi="黑体" w:eastAsia="黑体" w:cs="黑体"/>
          <w:color w:val="auto"/>
          <w:lang w:val="en-US" w:eastAsia="zh-CN"/>
        </w:rPr>
        <w:t>三、加强监督评估</w:t>
      </w:r>
      <w:bookmarkEnd w:id="123"/>
      <w:bookmarkEnd w:id="124"/>
    </w:p>
    <w:p w14:paraId="7B6443AA">
      <w:pPr>
        <w:rPr>
          <w:rFonts w:hint="eastAsia"/>
          <w:color w:val="auto"/>
          <w:lang w:val="en-US" w:eastAsia="zh-CN"/>
        </w:rPr>
      </w:pPr>
      <w:r>
        <w:rPr>
          <w:rFonts w:hint="eastAsia"/>
          <w:color w:val="auto"/>
          <w:lang w:val="en-US" w:eastAsia="zh-CN"/>
        </w:rPr>
        <w:t>制定规划实施监测评估办法，设立量化评估指标体系。引入第三方评估机构，定期开展规划实施情况评估，及时发现问题并提出改进建议。建立规划动态修订机制，根据评估结果和形势变化，适时优化调整规划目标任务。健全规划实施反馈机制，广泛听取各方意见建议。</w:t>
      </w:r>
    </w:p>
    <w:p w14:paraId="1BFD9E91">
      <w:pPr>
        <w:outlineLvl w:val="1"/>
        <w:rPr>
          <w:rFonts w:hint="eastAsia" w:ascii="黑体" w:hAnsi="黑体" w:eastAsia="黑体" w:cs="黑体"/>
          <w:color w:val="auto"/>
          <w:lang w:val="en-US" w:eastAsia="zh-CN"/>
        </w:rPr>
      </w:pPr>
      <w:bookmarkStart w:id="125" w:name="_Toc22745"/>
      <w:bookmarkStart w:id="126" w:name="_Toc25710"/>
      <w:r>
        <w:rPr>
          <w:rFonts w:hint="eastAsia" w:ascii="黑体" w:hAnsi="黑体" w:eastAsia="黑体" w:cs="黑体"/>
          <w:color w:val="auto"/>
          <w:lang w:val="en-US" w:eastAsia="zh-CN"/>
        </w:rPr>
        <w:t>四、强化协同机制</w:t>
      </w:r>
      <w:bookmarkEnd w:id="125"/>
      <w:bookmarkEnd w:id="126"/>
    </w:p>
    <w:p w14:paraId="450F4981">
      <w:pPr>
        <w:rPr>
          <w:rFonts w:hint="eastAsia"/>
          <w:color w:val="auto"/>
          <w:lang w:val="en-US" w:eastAsia="zh-CN"/>
        </w:rPr>
      </w:pPr>
      <w:r>
        <w:rPr>
          <w:rFonts w:hint="eastAsia"/>
          <w:color w:val="auto"/>
          <w:lang w:val="en-US" w:eastAsia="zh-CN"/>
        </w:rPr>
        <w:t>完善应急管理部门联动工作机制，建立常态化联席会议制度。打破部门信息壁垒，推动监测预警、资源调配、应急救援等环节无缝衔接。主动融入京津冀应急协同发展大局，完善与周边区县应急联动机制。在森林防火、防汛抗旱、地质灾害防治等领域深化合作，提升区域协同处置能力。建立政府、企业、社会组织协同参与机制，培育应急志愿服务组织。完善公众参与渠道，形成全社会共建共治共享格局。</w:t>
      </w:r>
    </w:p>
    <w:p w14:paraId="19352E15">
      <w:pPr>
        <w:rPr>
          <w:rFonts w:hint="default"/>
          <w:color w:val="auto"/>
          <w:lang w:val="en-US" w:eastAsia="zh-CN"/>
        </w:rPr>
      </w:pPr>
    </w:p>
    <w:sectPr>
      <w:footerReference r:id="rId6" w:type="default"/>
      <w:pgSz w:w="11906" w:h="16838"/>
      <w:pgMar w:top="2098" w:right="1474" w:bottom="1984" w:left="1587"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0C425">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D4001">
                          <w:pPr>
                            <w:pStyle w:val="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E0D4001">
                    <w:pPr>
                      <w:pStyle w:val="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58140">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178F8A">
                          <w:pPr>
                            <w:pStyle w:val="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3178F8A">
                    <w:pPr>
                      <w:pStyle w:val="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405FE"/>
    <w:rsid w:val="00460166"/>
    <w:rsid w:val="005A5813"/>
    <w:rsid w:val="005A7C15"/>
    <w:rsid w:val="008C7C51"/>
    <w:rsid w:val="008E2B37"/>
    <w:rsid w:val="00AD634C"/>
    <w:rsid w:val="01197F56"/>
    <w:rsid w:val="011C72DB"/>
    <w:rsid w:val="012375FA"/>
    <w:rsid w:val="012D7DF6"/>
    <w:rsid w:val="013D0081"/>
    <w:rsid w:val="014328E8"/>
    <w:rsid w:val="0147153B"/>
    <w:rsid w:val="028228CD"/>
    <w:rsid w:val="029E5E57"/>
    <w:rsid w:val="02B26E88"/>
    <w:rsid w:val="02CA1EB1"/>
    <w:rsid w:val="0320521A"/>
    <w:rsid w:val="034126F7"/>
    <w:rsid w:val="034E3158"/>
    <w:rsid w:val="0353435A"/>
    <w:rsid w:val="03C944FF"/>
    <w:rsid w:val="041E6533"/>
    <w:rsid w:val="04751AF9"/>
    <w:rsid w:val="04C837E3"/>
    <w:rsid w:val="0526590B"/>
    <w:rsid w:val="0559612F"/>
    <w:rsid w:val="056F6903"/>
    <w:rsid w:val="059211F2"/>
    <w:rsid w:val="05A30D0A"/>
    <w:rsid w:val="05D5174A"/>
    <w:rsid w:val="05FD4F45"/>
    <w:rsid w:val="06686D5B"/>
    <w:rsid w:val="06797C9F"/>
    <w:rsid w:val="069F4C3D"/>
    <w:rsid w:val="06A74829"/>
    <w:rsid w:val="06A74E91"/>
    <w:rsid w:val="06F52F1B"/>
    <w:rsid w:val="07116315"/>
    <w:rsid w:val="072D659E"/>
    <w:rsid w:val="074924D2"/>
    <w:rsid w:val="076369A2"/>
    <w:rsid w:val="07737BC9"/>
    <w:rsid w:val="07747A5B"/>
    <w:rsid w:val="0776385D"/>
    <w:rsid w:val="077C1F31"/>
    <w:rsid w:val="07AE1A0E"/>
    <w:rsid w:val="07B24CEF"/>
    <w:rsid w:val="07D04F20"/>
    <w:rsid w:val="07F91464"/>
    <w:rsid w:val="081A4110"/>
    <w:rsid w:val="083A10E0"/>
    <w:rsid w:val="0847418A"/>
    <w:rsid w:val="0869277E"/>
    <w:rsid w:val="088968DD"/>
    <w:rsid w:val="08910E59"/>
    <w:rsid w:val="089655F1"/>
    <w:rsid w:val="08BE0C1E"/>
    <w:rsid w:val="08D975D7"/>
    <w:rsid w:val="08ED259E"/>
    <w:rsid w:val="09331435"/>
    <w:rsid w:val="094B2E4C"/>
    <w:rsid w:val="095011A8"/>
    <w:rsid w:val="09A72BAB"/>
    <w:rsid w:val="09B22F38"/>
    <w:rsid w:val="09D6337F"/>
    <w:rsid w:val="09DE2FBB"/>
    <w:rsid w:val="09FB41EB"/>
    <w:rsid w:val="09FD1E6C"/>
    <w:rsid w:val="0A0F41A6"/>
    <w:rsid w:val="0A347112"/>
    <w:rsid w:val="0A5F69EF"/>
    <w:rsid w:val="0A6E5D8A"/>
    <w:rsid w:val="0AA87AD8"/>
    <w:rsid w:val="0ADD081A"/>
    <w:rsid w:val="0B1437F2"/>
    <w:rsid w:val="0B193F99"/>
    <w:rsid w:val="0B2C26F6"/>
    <w:rsid w:val="0B352C75"/>
    <w:rsid w:val="0B4C2920"/>
    <w:rsid w:val="0BE43DED"/>
    <w:rsid w:val="0C3314EF"/>
    <w:rsid w:val="0C4A676F"/>
    <w:rsid w:val="0CE56DDD"/>
    <w:rsid w:val="0CE60413"/>
    <w:rsid w:val="0D101759"/>
    <w:rsid w:val="0D3907F1"/>
    <w:rsid w:val="0D542742"/>
    <w:rsid w:val="0D6B1D64"/>
    <w:rsid w:val="0DB37F58"/>
    <w:rsid w:val="0DD867E0"/>
    <w:rsid w:val="0DFC2562"/>
    <w:rsid w:val="0E0662D9"/>
    <w:rsid w:val="0E45272D"/>
    <w:rsid w:val="0E903DE3"/>
    <w:rsid w:val="0EC67291"/>
    <w:rsid w:val="0ED14B39"/>
    <w:rsid w:val="0F0E2633"/>
    <w:rsid w:val="0F1A7F5F"/>
    <w:rsid w:val="0F242EBB"/>
    <w:rsid w:val="0F3D38EF"/>
    <w:rsid w:val="0F7C42DF"/>
    <w:rsid w:val="0F87169C"/>
    <w:rsid w:val="0F902BCC"/>
    <w:rsid w:val="0FE37B36"/>
    <w:rsid w:val="10023D56"/>
    <w:rsid w:val="10323C4A"/>
    <w:rsid w:val="104D7332"/>
    <w:rsid w:val="105570A4"/>
    <w:rsid w:val="106B1CC2"/>
    <w:rsid w:val="10B84478"/>
    <w:rsid w:val="10EA1EE2"/>
    <w:rsid w:val="110E4B5A"/>
    <w:rsid w:val="11464036"/>
    <w:rsid w:val="11494E5B"/>
    <w:rsid w:val="117B6FDE"/>
    <w:rsid w:val="11823EC9"/>
    <w:rsid w:val="11A57D8E"/>
    <w:rsid w:val="121627E8"/>
    <w:rsid w:val="12660C15"/>
    <w:rsid w:val="12694CB6"/>
    <w:rsid w:val="1279475D"/>
    <w:rsid w:val="12C02499"/>
    <w:rsid w:val="12DC5736"/>
    <w:rsid w:val="12E65D92"/>
    <w:rsid w:val="133730FC"/>
    <w:rsid w:val="1362026A"/>
    <w:rsid w:val="138B04C7"/>
    <w:rsid w:val="13AE7229"/>
    <w:rsid w:val="13E62E35"/>
    <w:rsid w:val="142F28B9"/>
    <w:rsid w:val="147C22F2"/>
    <w:rsid w:val="14A971D0"/>
    <w:rsid w:val="14BC68D8"/>
    <w:rsid w:val="14CF1965"/>
    <w:rsid w:val="15175270"/>
    <w:rsid w:val="15395295"/>
    <w:rsid w:val="155043E1"/>
    <w:rsid w:val="155C2C83"/>
    <w:rsid w:val="15C54CCC"/>
    <w:rsid w:val="15C65D30"/>
    <w:rsid w:val="16123709"/>
    <w:rsid w:val="163670A5"/>
    <w:rsid w:val="16490268"/>
    <w:rsid w:val="16921052"/>
    <w:rsid w:val="16A652D4"/>
    <w:rsid w:val="16D02EBD"/>
    <w:rsid w:val="16F5338F"/>
    <w:rsid w:val="16F85429"/>
    <w:rsid w:val="16FE1A0D"/>
    <w:rsid w:val="17087F64"/>
    <w:rsid w:val="17224060"/>
    <w:rsid w:val="17440049"/>
    <w:rsid w:val="17852F91"/>
    <w:rsid w:val="17BD20FF"/>
    <w:rsid w:val="17C92318"/>
    <w:rsid w:val="17DB2585"/>
    <w:rsid w:val="17EE22B8"/>
    <w:rsid w:val="182511AD"/>
    <w:rsid w:val="185112ED"/>
    <w:rsid w:val="185C461C"/>
    <w:rsid w:val="18FB24E9"/>
    <w:rsid w:val="192D1698"/>
    <w:rsid w:val="19CE2882"/>
    <w:rsid w:val="1A11799A"/>
    <w:rsid w:val="1A202285"/>
    <w:rsid w:val="1A511E8D"/>
    <w:rsid w:val="1A7867B1"/>
    <w:rsid w:val="1A864F50"/>
    <w:rsid w:val="1AA408CB"/>
    <w:rsid w:val="1AD5301F"/>
    <w:rsid w:val="1B1412A8"/>
    <w:rsid w:val="1B4D0908"/>
    <w:rsid w:val="1B5508A0"/>
    <w:rsid w:val="1B5C18DE"/>
    <w:rsid w:val="1B611E96"/>
    <w:rsid w:val="1B813443"/>
    <w:rsid w:val="1B9541A1"/>
    <w:rsid w:val="1BA65C9D"/>
    <w:rsid w:val="1BC95CF0"/>
    <w:rsid w:val="1BF14125"/>
    <w:rsid w:val="1BFC0564"/>
    <w:rsid w:val="1C06118C"/>
    <w:rsid w:val="1C0D6AA6"/>
    <w:rsid w:val="1C2838BF"/>
    <w:rsid w:val="1C4C0C78"/>
    <w:rsid w:val="1CA6502B"/>
    <w:rsid w:val="1CB03FE0"/>
    <w:rsid w:val="1D13456F"/>
    <w:rsid w:val="1D2E3157"/>
    <w:rsid w:val="1D3960BC"/>
    <w:rsid w:val="1D3A7D4E"/>
    <w:rsid w:val="1D5E34AD"/>
    <w:rsid w:val="1D717880"/>
    <w:rsid w:val="1DBC76D0"/>
    <w:rsid w:val="1DBE1253"/>
    <w:rsid w:val="1DC420AC"/>
    <w:rsid w:val="1DDF4451"/>
    <w:rsid w:val="1E2E4331"/>
    <w:rsid w:val="1E37428D"/>
    <w:rsid w:val="1E7777B5"/>
    <w:rsid w:val="1E9B1A09"/>
    <w:rsid w:val="1EAD2D7C"/>
    <w:rsid w:val="1F0A69B7"/>
    <w:rsid w:val="1F0E6C26"/>
    <w:rsid w:val="1F1A18DF"/>
    <w:rsid w:val="1F1C2706"/>
    <w:rsid w:val="1F3537A2"/>
    <w:rsid w:val="1F6414BC"/>
    <w:rsid w:val="1F6F77C7"/>
    <w:rsid w:val="1F9957E4"/>
    <w:rsid w:val="1FA3607E"/>
    <w:rsid w:val="1FB27071"/>
    <w:rsid w:val="1FD9270D"/>
    <w:rsid w:val="1FDB24CF"/>
    <w:rsid w:val="204673DA"/>
    <w:rsid w:val="20473B02"/>
    <w:rsid w:val="2079293B"/>
    <w:rsid w:val="20940523"/>
    <w:rsid w:val="2099122F"/>
    <w:rsid w:val="20B2490B"/>
    <w:rsid w:val="20C932CD"/>
    <w:rsid w:val="20F04E35"/>
    <w:rsid w:val="210F03EE"/>
    <w:rsid w:val="21262AC3"/>
    <w:rsid w:val="21340F46"/>
    <w:rsid w:val="215C6521"/>
    <w:rsid w:val="216A1A6D"/>
    <w:rsid w:val="21843C8D"/>
    <w:rsid w:val="21A73DDD"/>
    <w:rsid w:val="21C127EB"/>
    <w:rsid w:val="21C1459A"/>
    <w:rsid w:val="21CF7458"/>
    <w:rsid w:val="21E464DA"/>
    <w:rsid w:val="21EB70A6"/>
    <w:rsid w:val="21F07C1E"/>
    <w:rsid w:val="220A4192"/>
    <w:rsid w:val="22104BCC"/>
    <w:rsid w:val="2226233D"/>
    <w:rsid w:val="227930C6"/>
    <w:rsid w:val="228B08AF"/>
    <w:rsid w:val="22BD4D30"/>
    <w:rsid w:val="22FB5322"/>
    <w:rsid w:val="233F1BAC"/>
    <w:rsid w:val="23B421E2"/>
    <w:rsid w:val="23BA3443"/>
    <w:rsid w:val="23C9745A"/>
    <w:rsid w:val="23CA7FCA"/>
    <w:rsid w:val="244C1266"/>
    <w:rsid w:val="246E16B7"/>
    <w:rsid w:val="250856C0"/>
    <w:rsid w:val="251C7D5D"/>
    <w:rsid w:val="25373901"/>
    <w:rsid w:val="25436A31"/>
    <w:rsid w:val="25C45B0B"/>
    <w:rsid w:val="26114B1C"/>
    <w:rsid w:val="26B8397D"/>
    <w:rsid w:val="26F57CEA"/>
    <w:rsid w:val="27100659"/>
    <w:rsid w:val="27A97FAA"/>
    <w:rsid w:val="28681C7B"/>
    <w:rsid w:val="28796501"/>
    <w:rsid w:val="288A09F7"/>
    <w:rsid w:val="28C64002"/>
    <w:rsid w:val="28CA642A"/>
    <w:rsid w:val="28E84B02"/>
    <w:rsid w:val="28EC45F2"/>
    <w:rsid w:val="2905040B"/>
    <w:rsid w:val="294766BF"/>
    <w:rsid w:val="29A90803"/>
    <w:rsid w:val="29AE1C1E"/>
    <w:rsid w:val="29F02856"/>
    <w:rsid w:val="29F139BD"/>
    <w:rsid w:val="2A6B7798"/>
    <w:rsid w:val="2A712C4A"/>
    <w:rsid w:val="2A860E2C"/>
    <w:rsid w:val="2AD03A9F"/>
    <w:rsid w:val="2AF61758"/>
    <w:rsid w:val="2B0771A6"/>
    <w:rsid w:val="2B6E373A"/>
    <w:rsid w:val="2B78358F"/>
    <w:rsid w:val="2B8A46C9"/>
    <w:rsid w:val="2BB023D1"/>
    <w:rsid w:val="2BB765DE"/>
    <w:rsid w:val="2BBF2C0A"/>
    <w:rsid w:val="2BC27F72"/>
    <w:rsid w:val="2BCC3532"/>
    <w:rsid w:val="2C0968BF"/>
    <w:rsid w:val="2C2E338F"/>
    <w:rsid w:val="2C330A88"/>
    <w:rsid w:val="2C755463"/>
    <w:rsid w:val="2CAC2710"/>
    <w:rsid w:val="2CB35427"/>
    <w:rsid w:val="2D023258"/>
    <w:rsid w:val="2D265F3D"/>
    <w:rsid w:val="2D314CC9"/>
    <w:rsid w:val="2D7C3A6A"/>
    <w:rsid w:val="2DAE4F6A"/>
    <w:rsid w:val="2DB057BD"/>
    <w:rsid w:val="2DFF226E"/>
    <w:rsid w:val="2E1B59A1"/>
    <w:rsid w:val="2E4B15AC"/>
    <w:rsid w:val="2E616171"/>
    <w:rsid w:val="2E7C7067"/>
    <w:rsid w:val="2ECA2D53"/>
    <w:rsid w:val="2F234DA1"/>
    <w:rsid w:val="2F324D29"/>
    <w:rsid w:val="2F587D47"/>
    <w:rsid w:val="2FCA56ED"/>
    <w:rsid w:val="301F5045"/>
    <w:rsid w:val="30395C43"/>
    <w:rsid w:val="30544B0C"/>
    <w:rsid w:val="30F524B2"/>
    <w:rsid w:val="311F20AE"/>
    <w:rsid w:val="31692558"/>
    <w:rsid w:val="31785D1F"/>
    <w:rsid w:val="32215CB9"/>
    <w:rsid w:val="32816B91"/>
    <w:rsid w:val="32B141B6"/>
    <w:rsid w:val="32BE566E"/>
    <w:rsid w:val="32C2668E"/>
    <w:rsid w:val="3354077E"/>
    <w:rsid w:val="33756832"/>
    <w:rsid w:val="33784CD4"/>
    <w:rsid w:val="338D4C23"/>
    <w:rsid w:val="33AE2D48"/>
    <w:rsid w:val="33ED4E54"/>
    <w:rsid w:val="34117EB3"/>
    <w:rsid w:val="344520F3"/>
    <w:rsid w:val="34624BD6"/>
    <w:rsid w:val="3467634A"/>
    <w:rsid w:val="346D766F"/>
    <w:rsid w:val="34D22A51"/>
    <w:rsid w:val="35112E91"/>
    <w:rsid w:val="354446EA"/>
    <w:rsid w:val="354B7320"/>
    <w:rsid w:val="355133A9"/>
    <w:rsid w:val="355D2AF5"/>
    <w:rsid w:val="35D501BC"/>
    <w:rsid w:val="35E90697"/>
    <w:rsid w:val="35FC7755"/>
    <w:rsid w:val="360016DD"/>
    <w:rsid w:val="361A51A9"/>
    <w:rsid w:val="362659BE"/>
    <w:rsid w:val="36390C11"/>
    <w:rsid w:val="3677516C"/>
    <w:rsid w:val="36A52284"/>
    <w:rsid w:val="36B87DF5"/>
    <w:rsid w:val="36E31B06"/>
    <w:rsid w:val="36FC2D76"/>
    <w:rsid w:val="37081D2E"/>
    <w:rsid w:val="37183975"/>
    <w:rsid w:val="37296998"/>
    <w:rsid w:val="37D5394D"/>
    <w:rsid w:val="382F6606"/>
    <w:rsid w:val="383B4C4E"/>
    <w:rsid w:val="383C3660"/>
    <w:rsid w:val="38D16D84"/>
    <w:rsid w:val="38E147DC"/>
    <w:rsid w:val="38EE1CC0"/>
    <w:rsid w:val="393B7F69"/>
    <w:rsid w:val="39580CEC"/>
    <w:rsid w:val="39612D58"/>
    <w:rsid w:val="39785C63"/>
    <w:rsid w:val="39BB61CB"/>
    <w:rsid w:val="3A127C30"/>
    <w:rsid w:val="3A7F0FC9"/>
    <w:rsid w:val="3A851E46"/>
    <w:rsid w:val="3A8838A6"/>
    <w:rsid w:val="3AB504FA"/>
    <w:rsid w:val="3AC5774B"/>
    <w:rsid w:val="3ACE7B5C"/>
    <w:rsid w:val="3AD66415"/>
    <w:rsid w:val="3AFB781A"/>
    <w:rsid w:val="3C3B7FED"/>
    <w:rsid w:val="3CC003DE"/>
    <w:rsid w:val="3CC571CC"/>
    <w:rsid w:val="3CE074CB"/>
    <w:rsid w:val="3D250E8C"/>
    <w:rsid w:val="3D53055E"/>
    <w:rsid w:val="3D6D4EB4"/>
    <w:rsid w:val="3D860D0F"/>
    <w:rsid w:val="3DAF5796"/>
    <w:rsid w:val="3DC44D8F"/>
    <w:rsid w:val="3DEE4CE7"/>
    <w:rsid w:val="3DF00289"/>
    <w:rsid w:val="3DF96BF2"/>
    <w:rsid w:val="3DFE7C91"/>
    <w:rsid w:val="3E0E1A8B"/>
    <w:rsid w:val="3E4A678D"/>
    <w:rsid w:val="3E766856"/>
    <w:rsid w:val="3E7A0DAC"/>
    <w:rsid w:val="3E950C88"/>
    <w:rsid w:val="3EA2653A"/>
    <w:rsid w:val="3EDB00C8"/>
    <w:rsid w:val="3F000032"/>
    <w:rsid w:val="3F086288"/>
    <w:rsid w:val="3F37128A"/>
    <w:rsid w:val="3F5278DE"/>
    <w:rsid w:val="3F7B3C19"/>
    <w:rsid w:val="3FB20CCA"/>
    <w:rsid w:val="4004001B"/>
    <w:rsid w:val="40215D3E"/>
    <w:rsid w:val="40923879"/>
    <w:rsid w:val="4095597C"/>
    <w:rsid w:val="40C014D6"/>
    <w:rsid w:val="40C770F8"/>
    <w:rsid w:val="41E15587"/>
    <w:rsid w:val="41E6395F"/>
    <w:rsid w:val="423D1B47"/>
    <w:rsid w:val="424D2B69"/>
    <w:rsid w:val="425863FC"/>
    <w:rsid w:val="42C972FA"/>
    <w:rsid w:val="42E04750"/>
    <w:rsid w:val="42E5058A"/>
    <w:rsid w:val="43057765"/>
    <w:rsid w:val="43081263"/>
    <w:rsid w:val="43317379"/>
    <w:rsid w:val="4373477F"/>
    <w:rsid w:val="4374370A"/>
    <w:rsid w:val="438E5566"/>
    <w:rsid w:val="43A77473"/>
    <w:rsid w:val="43A7763B"/>
    <w:rsid w:val="43CE2E1A"/>
    <w:rsid w:val="44243326"/>
    <w:rsid w:val="446C700F"/>
    <w:rsid w:val="44E84A5A"/>
    <w:rsid w:val="44F83747"/>
    <w:rsid w:val="44FC39B7"/>
    <w:rsid w:val="45322F35"/>
    <w:rsid w:val="454A2974"/>
    <w:rsid w:val="455429BE"/>
    <w:rsid w:val="456022A9"/>
    <w:rsid w:val="45C41A15"/>
    <w:rsid w:val="45DE7266"/>
    <w:rsid w:val="462A502F"/>
    <w:rsid w:val="46423B87"/>
    <w:rsid w:val="46555136"/>
    <w:rsid w:val="46C422B2"/>
    <w:rsid w:val="47281AAD"/>
    <w:rsid w:val="473E5F43"/>
    <w:rsid w:val="476D1EFD"/>
    <w:rsid w:val="479C2E87"/>
    <w:rsid w:val="47C32559"/>
    <w:rsid w:val="47D11CFA"/>
    <w:rsid w:val="483B0A16"/>
    <w:rsid w:val="48A60746"/>
    <w:rsid w:val="4901159C"/>
    <w:rsid w:val="49065FFF"/>
    <w:rsid w:val="49066BB2"/>
    <w:rsid w:val="49423962"/>
    <w:rsid w:val="49553696"/>
    <w:rsid w:val="49634005"/>
    <w:rsid w:val="49957F36"/>
    <w:rsid w:val="499C3073"/>
    <w:rsid w:val="49B66968"/>
    <w:rsid w:val="49D0642E"/>
    <w:rsid w:val="49E0067B"/>
    <w:rsid w:val="49ED7D72"/>
    <w:rsid w:val="4A0053E7"/>
    <w:rsid w:val="4A17781B"/>
    <w:rsid w:val="4A653DFE"/>
    <w:rsid w:val="4A7D3DB6"/>
    <w:rsid w:val="4A8E6992"/>
    <w:rsid w:val="4AA259FB"/>
    <w:rsid w:val="4AB259CE"/>
    <w:rsid w:val="4AD12753"/>
    <w:rsid w:val="4B4C32CB"/>
    <w:rsid w:val="4B553E21"/>
    <w:rsid w:val="4B58746D"/>
    <w:rsid w:val="4B6A1902"/>
    <w:rsid w:val="4B8427EA"/>
    <w:rsid w:val="4B89234F"/>
    <w:rsid w:val="4BBB69CF"/>
    <w:rsid w:val="4BFC604B"/>
    <w:rsid w:val="4C341C88"/>
    <w:rsid w:val="4C7835DA"/>
    <w:rsid w:val="4C7857B9"/>
    <w:rsid w:val="4C856040"/>
    <w:rsid w:val="4CB535E7"/>
    <w:rsid w:val="4CDC0F8F"/>
    <w:rsid w:val="4CE14A8C"/>
    <w:rsid w:val="4D0237A1"/>
    <w:rsid w:val="4D1129F3"/>
    <w:rsid w:val="4D3B0DF4"/>
    <w:rsid w:val="4D706CF0"/>
    <w:rsid w:val="4D81508F"/>
    <w:rsid w:val="4DCA5A39"/>
    <w:rsid w:val="4DE336CA"/>
    <w:rsid w:val="4EA64D68"/>
    <w:rsid w:val="4EB04BD4"/>
    <w:rsid w:val="4EB250E6"/>
    <w:rsid w:val="4EC56BC8"/>
    <w:rsid w:val="4EE47996"/>
    <w:rsid w:val="4EF60215"/>
    <w:rsid w:val="4F512EA0"/>
    <w:rsid w:val="4F8151E4"/>
    <w:rsid w:val="4F8C1A82"/>
    <w:rsid w:val="4F952A3E"/>
    <w:rsid w:val="4FBF6DE2"/>
    <w:rsid w:val="4FEB4D54"/>
    <w:rsid w:val="4FED012B"/>
    <w:rsid w:val="503E30D6"/>
    <w:rsid w:val="50962F12"/>
    <w:rsid w:val="50D73A8F"/>
    <w:rsid w:val="512F220B"/>
    <w:rsid w:val="51782617"/>
    <w:rsid w:val="51AC0513"/>
    <w:rsid w:val="52041C90"/>
    <w:rsid w:val="52291B63"/>
    <w:rsid w:val="523874B7"/>
    <w:rsid w:val="5244074B"/>
    <w:rsid w:val="526C7EB6"/>
    <w:rsid w:val="527F1783"/>
    <w:rsid w:val="528172AA"/>
    <w:rsid w:val="52B17B73"/>
    <w:rsid w:val="52DF2414"/>
    <w:rsid w:val="53126808"/>
    <w:rsid w:val="53437CFD"/>
    <w:rsid w:val="534741B0"/>
    <w:rsid w:val="534C78B7"/>
    <w:rsid w:val="53764BB0"/>
    <w:rsid w:val="538A48A8"/>
    <w:rsid w:val="53A67378"/>
    <w:rsid w:val="53A71C4B"/>
    <w:rsid w:val="53B35B89"/>
    <w:rsid w:val="53D5397D"/>
    <w:rsid w:val="53F109E6"/>
    <w:rsid w:val="540C143D"/>
    <w:rsid w:val="54101C86"/>
    <w:rsid w:val="54166D63"/>
    <w:rsid w:val="541F4B01"/>
    <w:rsid w:val="543D7B97"/>
    <w:rsid w:val="54426016"/>
    <w:rsid w:val="544F696F"/>
    <w:rsid w:val="545811FF"/>
    <w:rsid w:val="54824278"/>
    <w:rsid w:val="54866046"/>
    <w:rsid w:val="54ED6E78"/>
    <w:rsid w:val="554C0043"/>
    <w:rsid w:val="556C0634"/>
    <w:rsid w:val="557312C2"/>
    <w:rsid w:val="558C043F"/>
    <w:rsid w:val="56141A3A"/>
    <w:rsid w:val="56222B52"/>
    <w:rsid w:val="56242955"/>
    <w:rsid w:val="56436879"/>
    <w:rsid w:val="565F7902"/>
    <w:rsid w:val="56AC61AF"/>
    <w:rsid w:val="56B2348B"/>
    <w:rsid w:val="56D53F18"/>
    <w:rsid w:val="56F4639D"/>
    <w:rsid w:val="56FB3ACE"/>
    <w:rsid w:val="57160F67"/>
    <w:rsid w:val="5717446A"/>
    <w:rsid w:val="571A7501"/>
    <w:rsid w:val="5721172A"/>
    <w:rsid w:val="5740519C"/>
    <w:rsid w:val="575856F9"/>
    <w:rsid w:val="57A73C06"/>
    <w:rsid w:val="5809221B"/>
    <w:rsid w:val="58311772"/>
    <w:rsid w:val="585A65D3"/>
    <w:rsid w:val="589F0158"/>
    <w:rsid w:val="590429E2"/>
    <w:rsid w:val="592126A7"/>
    <w:rsid w:val="59317AC1"/>
    <w:rsid w:val="593725D9"/>
    <w:rsid w:val="59577BD8"/>
    <w:rsid w:val="59AA22F8"/>
    <w:rsid w:val="59DF0D50"/>
    <w:rsid w:val="5A0556A4"/>
    <w:rsid w:val="5A2D6270"/>
    <w:rsid w:val="5A494B51"/>
    <w:rsid w:val="5A5A04EF"/>
    <w:rsid w:val="5AB13E2E"/>
    <w:rsid w:val="5AD21008"/>
    <w:rsid w:val="5B2A3A7C"/>
    <w:rsid w:val="5BC352FD"/>
    <w:rsid w:val="5BC8220C"/>
    <w:rsid w:val="5BED7D39"/>
    <w:rsid w:val="5C1F2072"/>
    <w:rsid w:val="5C313AEE"/>
    <w:rsid w:val="5C6E4D42"/>
    <w:rsid w:val="5CB33F02"/>
    <w:rsid w:val="5CE047AB"/>
    <w:rsid w:val="5D2D2545"/>
    <w:rsid w:val="5D960BE1"/>
    <w:rsid w:val="5DEA664B"/>
    <w:rsid w:val="5DEC14F9"/>
    <w:rsid w:val="5E42042E"/>
    <w:rsid w:val="5E7319A8"/>
    <w:rsid w:val="5EC21376"/>
    <w:rsid w:val="5FA74E54"/>
    <w:rsid w:val="5FF07B7C"/>
    <w:rsid w:val="601405F8"/>
    <w:rsid w:val="603718B5"/>
    <w:rsid w:val="60E66296"/>
    <w:rsid w:val="60FB58E9"/>
    <w:rsid w:val="61587D6F"/>
    <w:rsid w:val="61755C8C"/>
    <w:rsid w:val="618952FF"/>
    <w:rsid w:val="61AD1E69"/>
    <w:rsid w:val="61B2747F"/>
    <w:rsid w:val="61CA2A1B"/>
    <w:rsid w:val="61D81393"/>
    <w:rsid w:val="61E67B5B"/>
    <w:rsid w:val="61EA1238"/>
    <w:rsid w:val="61F1097B"/>
    <w:rsid w:val="62AF441F"/>
    <w:rsid w:val="62E55F01"/>
    <w:rsid w:val="62F95C3C"/>
    <w:rsid w:val="62FB30A8"/>
    <w:rsid w:val="6332562F"/>
    <w:rsid w:val="633640E0"/>
    <w:rsid w:val="636544DF"/>
    <w:rsid w:val="63BB1F3E"/>
    <w:rsid w:val="63D91A7C"/>
    <w:rsid w:val="63E851F4"/>
    <w:rsid w:val="63F0442D"/>
    <w:rsid w:val="64191E26"/>
    <w:rsid w:val="642D7DF9"/>
    <w:rsid w:val="644256A7"/>
    <w:rsid w:val="644835AF"/>
    <w:rsid w:val="64BF5073"/>
    <w:rsid w:val="64D724A4"/>
    <w:rsid w:val="64E275B7"/>
    <w:rsid w:val="650224CC"/>
    <w:rsid w:val="651E3FBA"/>
    <w:rsid w:val="65376DE4"/>
    <w:rsid w:val="6545341F"/>
    <w:rsid w:val="655B332F"/>
    <w:rsid w:val="65DD0843"/>
    <w:rsid w:val="65F25A6D"/>
    <w:rsid w:val="66482EA5"/>
    <w:rsid w:val="66522FDF"/>
    <w:rsid w:val="66DB4D83"/>
    <w:rsid w:val="6736645D"/>
    <w:rsid w:val="67466A1E"/>
    <w:rsid w:val="677E1933"/>
    <w:rsid w:val="67EC2600"/>
    <w:rsid w:val="67FB3202"/>
    <w:rsid w:val="68231C2E"/>
    <w:rsid w:val="685968D3"/>
    <w:rsid w:val="68812AA4"/>
    <w:rsid w:val="68851598"/>
    <w:rsid w:val="68A11FFC"/>
    <w:rsid w:val="68AE6E3A"/>
    <w:rsid w:val="68C07914"/>
    <w:rsid w:val="68C94BAE"/>
    <w:rsid w:val="69143AB3"/>
    <w:rsid w:val="6922313D"/>
    <w:rsid w:val="693A7EFE"/>
    <w:rsid w:val="696F5C56"/>
    <w:rsid w:val="69924944"/>
    <w:rsid w:val="69A53324"/>
    <w:rsid w:val="69AF055A"/>
    <w:rsid w:val="69E46606"/>
    <w:rsid w:val="69EE3FBB"/>
    <w:rsid w:val="6A255B87"/>
    <w:rsid w:val="6A2657F7"/>
    <w:rsid w:val="6A560230"/>
    <w:rsid w:val="6A6F20C8"/>
    <w:rsid w:val="6A9D179B"/>
    <w:rsid w:val="6AA75BA8"/>
    <w:rsid w:val="6AB83530"/>
    <w:rsid w:val="6AE103C6"/>
    <w:rsid w:val="6B2D1B57"/>
    <w:rsid w:val="6B371AA7"/>
    <w:rsid w:val="6B711D7A"/>
    <w:rsid w:val="6BAD4363"/>
    <w:rsid w:val="6BF16DF6"/>
    <w:rsid w:val="6C2021C5"/>
    <w:rsid w:val="6C915A97"/>
    <w:rsid w:val="6CEB406B"/>
    <w:rsid w:val="6D02085D"/>
    <w:rsid w:val="6D0D1C8B"/>
    <w:rsid w:val="6D1D7B03"/>
    <w:rsid w:val="6D424F10"/>
    <w:rsid w:val="6D633F5B"/>
    <w:rsid w:val="6DA14C76"/>
    <w:rsid w:val="6DF55E10"/>
    <w:rsid w:val="6E1A0886"/>
    <w:rsid w:val="6E1F649C"/>
    <w:rsid w:val="6EA26A93"/>
    <w:rsid w:val="6F0843FC"/>
    <w:rsid w:val="6F2E67A2"/>
    <w:rsid w:val="6F674339"/>
    <w:rsid w:val="6FAC74D7"/>
    <w:rsid w:val="6FE4258E"/>
    <w:rsid w:val="700B23A9"/>
    <w:rsid w:val="701B05C9"/>
    <w:rsid w:val="702C664F"/>
    <w:rsid w:val="705A361E"/>
    <w:rsid w:val="7073427E"/>
    <w:rsid w:val="709A00CB"/>
    <w:rsid w:val="70BB219D"/>
    <w:rsid w:val="70BC55A2"/>
    <w:rsid w:val="70D9539B"/>
    <w:rsid w:val="70DB3A08"/>
    <w:rsid w:val="70E84C6C"/>
    <w:rsid w:val="710778D7"/>
    <w:rsid w:val="715649AA"/>
    <w:rsid w:val="71B22418"/>
    <w:rsid w:val="71D64AC4"/>
    <w:rsid w:val="71EE2AA4"/>
    <w:rsid w:val="72186426"/>
    <w:rsid w:val="721C436A"/>
    <w:rsid w:val="72565C05"/>
    <w:rsid w:val="725D51E5"/>
    <w:rsid w:val="72691DDC"/>
    <w:rsid w:val="72A05985"/>
    <w:rsid w:val="72A679E5"/>
    <w:rsid w:val="72A9136A"/>
    <w:rsid w:val="72D07765"/>
    <w:rsid w:val="72E77AF0"/>
    <w:rsid w:val="72F97861"/>
    <w:rsid w:val="73353B06"/>
    <w:rsid w:val="733D3517"/>
    <w:rsid w:val="734F64B6"/>
    <w:rsid w:val="73707D7C"/>
    <w:rsid w:val="73711B82"/>
    <w:rsid w:val="738F7621"/>
    <w:rsid w:val="73972979"/>
    <w:rsid w:val="73B04B84"/>
    <w:rsid w:val="73E410C3"/>
    <w:rsid w:val="74015CD1"/>
    <w:rsid w:val="74050E09"/>
    <w:rsid w:val="747E6A20"/>
    <w:rsid w:val="74884070"/>
    <w:rsid w:val="748C053F"/>
    <w:rsid w:val="74C21DB8"/>
    <w:rsid w:val="74DC4AE7"/>
    <w:rsid w:val="74F759BA"/>
    <w:rsid w:val="74F96A47"/>
    <w:rsid w:val="75376B9E"/>
    <w:rsid w:val="7540465B"/>
    <w:rsid w:val="75551D9C"/>
    <w:rsid w:val="755D39C4"/>
    <w:rsid w:val="75C13CDD"/>
    <w:rsid w:val="76211A8C"/>
    <w:rsid w:val="76360227"/>
    <w:rsid w:val="76684159"/>
    <w:rsid w:val="767D5E56"/>
    <w:rsid w:val="768906E1"/>
    <w:rsid w:val="768A0573"/>
    <w:rsid w:val="769A15AD"/>
    <w:rsid w:val="76F920BA"/>
    <w:rsid w:val="772C31EE"/>
    <w:rsid w:val="77324E93"/>
    <w:rsid w:val="7736743F"/>
    <w:rsid w:val="77393036"/>
    <w:rsid w:val="773B4D0D"/>
    <w:rsid w:val="773F3295"/>
    <w:rsid w:val="77597468"/>
    <w:rsid w:val="78063C29"/>
    <w:rsid w:val="78396771"/>
    <w:rsid w:val="784F5A51"/>
    <w:rsid w:val="78925B44"/>
    <w:rsid w:val="78A3591C"/>
    <w:rsid w:val="78B020F5"/>
    <w:rsid w:val="78FD1C28"/>
    <w:rsid w:val="79135C23"/>
    <w:rsid w:val="795E4950"/>
    <w:rsid w:val="79F614CD"/>
    <w:rsid w:val="7A080CC3"/>
    <w:rsid w:val="7A1435BF"/>
    <w:rsid w:val="7A720713"/>
    <w:rsid w:val="7A7632E8"/>
    <w:rsid w:val="7A8560AC"/>
    <w:rsid w:val="7A8F4231"/>
    <w:rsid w:val="7AAE6DEF"/>
    <w:rsid w:val="7AAF0C2D"/>
    <w:rsid w:val="7ABD4FF6"/>
    <w:rsid w:val="7B205002"/>
    <w:rsid w:val="7B25353B"/>
    <w:rsid w:val="7B4B7B3F"/>
    <w:rsid w:val="7B5951B2"/>
    <w:rsid w:val="7B625043"/>
    <w:rsid w:val="7B883E65"/>
    <w:rsid w:val="7B8B4A8A"/>
    <w:rsid w:val="7B9C4DA3"/>
    <w:rsid w:val="7BA01A1F"/>
    <w:rsid w:val="7BA92536"/>
    <w:rsid w:val="7BCE475E"/>
    <w:rsid w:val="7BD304FC"/>
    <w:rsid w:val="7BD41A8C"/>
    <w:rsid w:val="7BD8192A"/>
    <w:rsid w:val="7BD865C1"/>
    <w:rsid w:val="7BFD3595"/>
    <w:rsid w:val="7C3420D5"/>
    <w:rsid w:val="7C6158D2"/>
    <w:rsid w:val="7C926DE2"/>
    <w:rsid w:val="7CBF2104"/>
    <w:rsid w:val="7CC052C1"/>
    <w:rsid w:val="7CF83F27"/>
    <w:rsid w:val="7D760002"/>
    <w:rsid w:val="7D943D1F"/>
    <w:rsid w:val="7DFF09B1"/>
    <w:rsid w:val="7E147160"/>
    <w:rsid w:val="7E5A3391"/>
    <w:rsid w:val="7E7C0B04"/>
    <w:rsid w:val="7EB74AF4"/>
    <w:rsid w:val="7EC823C8"/>
    <w:rsid w:val="7ED82546"/>
    <w:rsid w:val="7EE256AB"/>
    <w:rsid w:val="7EF116B0"/>
    <w:rsid w:val="7F58120E"/>
    <w:rsid w:val="7F794CE1"/>
    <w:rsid w:val="7F9A5A21"/>
    <w:rsid w:val="7FDA60C7"/>
    <w:rsid w:val="7FE27B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60" w:lineRule="exact"/>
      <w:ind w:firstLine="883" w:firstLineChars="200"/>
      <w:jc w:val="both"/>
    </w:pPr>
    <w:rPr>
      <w:rFonts w:ascii="仿宋_GB2312" w:hAnsi="仿宋_GB2312" w:eastAsia="仿宋_GB2312" w:cs="仿宋_GB2312"/>
      <w:sz w:val="32"/>
      <w:szCs w:val="32"/>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spacing w:after="120" w:afterLines="0" w:afterAutospacing="0"/>
      <w:ind w:left="1440" w:leftChars="700" w:rightChars="700"/>
    </w:pPr>
  </w:style>
  <w:style w:type="paragraph" w:styleId="3">
    <w:name w:val="toc 3"/>
    <w:basedOn w:val="1"/>
    <w:next w:val="1"/>
    <w:qFormat/>
    <w:uiPriority w:val="0"/>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dc2af068-b907-436f-b943-23a1c4c5e0dd</errorID>
      <errorWord>规划</errorWord>
      <group>L1_AI</group>
      <groupName>深度校对</groupName>
      <ability>L2_AI_Grammar</ability>
      <abilityName>语法纠错</abilityName>
      <candidateList>
        <item>规划（征求意见稿）</item>
      </candidateList>
      <explain/>
      <paraID>7466DA23</paraID>
      <start>14</start>
      <end>16</end>
      <status>ignored</status>
      <modifiedWord/>
      <trackRevisions>false</trackRevisions>
    </reviewItem>
    <reviewItem>
      <errorID>bf022cc6-8687-46bf-9cad-9b39f64655d4</errorID>
      <errorWord>前 言</errorWord>
      <group>L1_AI</group>
      <groupName>深度校对</groupName>
      <ability>L2_AI_Word</ability>
      <abilityName>字词纠错</abilityName>
      <candidateList>
        <item>前言</item>
      </candidateList>
      <explain/>
      <paraID>30575561</paraID>
      <start>0</start>
      <end>3</end>
      <status>ignored</status>
      <modifiedWord/>
      <trackRevisions>false</trackRevisions>
    </reviewItem>
    <reviewItem>
      <errorID>ad58ee0b-b1f7-413f-aa37-d76128d85e3d</errorID>
      <errorWord>。</errorWord>
      <group>L1_AI</group>
      <groupName>深度校对</groupName>
      <ability>L2_AI_Grammar</ability>
      <abilityName>语法纠错</abilityName>
      <candidateList>
        <item>等工作。</item>
      </candidateList>
      <explain/>
      <paraID>279A6700</paraID>
      <start>91</start>
      <end>92</end>
      <status>ignored</status>
      <modifiedWord/>
      <trackRevisions>false</trackRevisions>
    </reviewItem>
    <reviewItem>
      <errorID>942ea7ed-13fc-4a8c-9986-ae74b3e1ee3f</errorID>
      <errorWord>已开展评估的14个</errorWord>
      <group>L1_AI</group>
      <groupName>深度校对</groupName>
      <ability>L2_AI_Word</ability>
      <abilityName>字词纠错</abilityName>
      <candidateList>
        <item>14个已开展评估的</item>
      </candidateList>
      <explain/>
      <paraID>66FB244F</paraID>
      <start>29</start>
      <end>38</end>
      <status>ignored</status>
      <modifiedWord/>
      <trackRevisions>false</trackRevisions>
    </reviewItem>
    <reviewItem>
      <errorID>1b5bfb10-b21b-4105-bf9a-e852a7a2a946</errorID>
      <errorWord>镇乡</errorWord>
      <group>L1_Word</group>
      <groupName>字词问题</groupName>
      <ability>L2_Typo</ability>
      <abilityName>字词错误</abilityName>
      <candidateList>
        <item>乡镇</item>
      </candidateList>
      <explain/>
      <paraID>50D1E616</paraID>
      <start>59</start>
      <end>61</end>
      <status>ignored</status>
      <modifiedWord/>
      <trackRevisions>false</trackRevisions>
    </reviewItem>
    <reviewItem>
      <errorID>94f8861e-2eff-4a8a-8e60-a750fe00507d</errorID>
      <errorWord>建设</errorWord>
      <group>L1_AI</group>
      <groupName>深度校对</groupName>
      <ability>L2_AI_Word</ability>
      <abilityName>字词纠错</abilityName>
      <candidateList>
        <item>，</item>
      </candidateList>
      <explain/>
      <paraID>21E21C83</paraID>
      <start>30</start>
      <end>32</end>
      <status>ignored</status>
      <modifiedWord/>
      <trackRevisions>false</trackRevisions>
    </reviewItem>
    <reviewItem>
      <errorID>3eb7fb0f-72ef-4f4b-83c3-e565ff721b1b</errorID>
      <errorWord>区委区政府</errorWord>
      <group>L1_Political</group>
      <groupName>政治性问题</groupName>
      <ability>L2_Keyword</ability>
      <abilityName>固定表述</abilityName>
      <candidateList>
        <item>区委、区政府</item>
      </candidateList>
      <explain>注意检查当前固定表述标点是否使用规范。</explain>
      <paraID>2ED8D265</paraID>
      <start>11</start>
      <end>16</end>
      <status>ignored</status>
      <modifiedWord/>
      <trackRevisions>false</trackRevisions>
    </reviewItem>
    <reviewItem>
      <errorID>3e69c99f-fa22-4103-9022-0321d0b8e9aa</errorID>
      <errorWord>娱乐</errorWord>
      <group>L1_AI</group>
      <groupName>深度校对</groupName>
      <ability>L2_AI_Grammar</ability>
      <abilityName>语法纠错</abilityName>
      <candidateList>
        <item>娱乐场所</item>
      </candidateList>
      <explain/>
      <paraID>203E0DE6</paraID>
      <start>56</start>
      <end>58</end>
      <status>unmodified</status>
      <modifiedWord/>
      <trackRevisions>false</trackRevisions>
    </reviewItem>
    <reviewItem>
      <errorID>d40a0940-2875-4199-87bf-0ac2bcc8c0e1</errorID>
      <errorWord>医疗</errorWord>
      <group>L1_AI</group>
      <groupName>深度校对</groupName>
      <ability>L2_AI_Grammar</ability>
      <abilityName>语法纠错</abilityName>
      <candidateList>
        <item>医疗机构</item>
      </candidateList>
      <explain/>
      <paraID>203E0DE6</paraID>
      <start>63</start>
      <end>65</end>
      <status>unmodified</status>
      <modifiedWord/>
      <trackRevisions>false</trackRevisions>
    </reviewItem>
    <reviewItem>
      <errorID>5c3f2c08-a3e3-49f2-a49a-3628d486b49a</errorID>
      <errorWord>%以上</errorWord>
      <group>L1_AI</group>
      <groupName>深度校对</groupName>
      <ability>L2_AI_Grammar</ability>
      <abilityName>语法纠错</abilityName>
      <candidateList>
        <item>%</item>
      </candidateList>
      <explain/>
      <paraID>2F6725B7</paraID>
      <start>153</start>
      <end>156</end>
      <status>unmodified</status>
      <modifiedWord/>
      <trackRevisions>false</trackRevisions>
    </reviewItem>
    <reviewItem>
      <errorID>2c75f28e-5c0c-40cd-854c-420c10e7e8c5</errorID>
      <errorWord>泄露</errorWord>
      <group>L1_Word</group>
      <groupName>字词问题</groupName>
      <ability>L2_Typo</ability>
      <abilityName>字词错误</abilityName>
      <candidateList>
        <item>泄漏</item>
      </candidateList>
      <explain>存在发音相同字词的误用。</explain>
      <paraID>4FA65681</paraID>
      <start>170</start>
      <end>172</end>
      <status>modified</status>
      <modifiedWord>泄漏</modifiedWord>
      <trackRevisions>false</trackRevisions>
    </reviewItem>
    <reviewItem>
      <errorID>646b81c6-d2e6-4520-a928-48fb621d62dc</errorID>
      <errorWord>市委市政府</errorWord>
      <group>L1_Word</group>
      <groupName>字词问题</groupName>
      <ability>L2_Typo</ability>
      <abilityName>字词错误</abilityName>
      <candidateList>
        <item>市委、市政府</item>
      </candidateList>
      <explain/>
      <paraID> DDCC86B</paraID>
      <start>79</start>
      <end>84</end>
      <status>unmodified</status>
      <modifiedWord/>
      <trackRevisions>false</trackRevisions>
    </reviewItem>
    <reviewItem>
      <errorID>f3552582-f2b2-4d2d-8dc1-50e5c1e7eafa</errorID>
      <errorWord>防灾避险救灾能力</errorWord>
      <group>L1_Political</group>
      <groupName>政治性问题</groupName>
      <ability>L2_Keyword</ability>
      <abilityName>固定表述</abilityName>
      <candidateList>
        <item>防灾减灾救灾能力</item>
      </candidateList>
      <explain>词汇“防灾减灾救灾能力”在特定场景下为固定表述形式，请确认此处的“防灾避险救灾能力”是否存在不当。</explain>
      <paraID> DDCC86B</paraID>
      <start>219</start>
      <end>227</end>
      <status>modified</status>
      <modifiedWord>防灾减灾救灾能力</modifiedWord>
      <trackRevisions>false</trackRevisions>
    </reviewItem>
    <reviewItem>
      <errorID>7b1dd108-36ff-4873-a169-bd01627dbc02</errorID>
      <errorWord>防灾避险救灾能力</errorWord>
      <group>L1_Political</group>
      <groupName>政治性问题</groupName>
      <ability>L2_Keyword</ability>
      <abilityName>固定表述</abilityName>
      <candidateList>
        <item>防灾减灾救灾能力</item>
      </candidateList>
      <explain>词汇“防灾减灾救灾能力”在特定场景下为固定表述形式，请确认此处的“防灾避险救灾能力”是否存在不当。</explain>
      <paraID>1E21E843</paraID>
      <start>213</start>
      <end>221</end>
      <status>modified</status>
      <modifiedWord>防灾减灾救灾能力</modifiedWord>
      <trackRevisions>false</trackRevisions>
    </reviewItem>
    <reviewItem>
      <errorID>3430c3be-65ba-4a37-852e-cbf5a139d582</errorID>
      <errorWord>党中央国务院</errorWord>
      <group>L1_Political</group>
      <groupName>政治性问题</groupName>
      <ability>L2_Keyword</ability>
      <abilityName>固定表述</abilityName>
      <candidateList>
        <item>党中央、国务院</item>
      </candidateList>
      <explain>注意检查当前固定表述标点是否使用规范。</explain>
      <paraID> 1E94B4B</paraID>
      <start>0</start>
      <end>6</end>
      <status>unmodified</status>
      <modifiedWord/>
      <trackRevisions>false</trackRevisions>
    </reviewItem>
    <reviewItem>
      <errorID>33d0cfac-0af8-409b-91c6-daa5d1565cbc</errorID>
      <errorWord>市委市政府</errorWord>
      <group>L1_Word</group>
      <groupName>字词问题</groupName>
      <ability>L2_Typo</ability>
      <abilityName>字词错误</abilityName>
      <candidateList>
        <item>市委、市政府</item>
      </candidateList>
      <explain/>
      <paraID> 1E94B4B</paraID>
      <start>7</start>
      <end>12</end>
      <status>unmodified</status>
      <modifiedWord/>
      <trackRevisions>false</trackRevisions>
    </reviewItem>
    <reviewItem>
      <errorID>6d38f08d-1cdd-45d6-bb07-3537e137256a</errorID>
      <errorWord>＜</errorWord>
      <group>L1_Format</group>
      <groupName>格式问题</groupName>
      <ability>L2_HalfPunc</ability>
      <abilityName>全半角检查</abilityName>
      <candidateList>
        <item>&lt;</item>
      </candidateList>
      <explain>文本全半角错误。</explain>
      <paraID>608B0777</paraID>
      <start>0</start>
      <end>1</end>
      <status>unmodified</status>
      <modifiedWord/>
      <trackRevisions>false</trackRevisions>
    </reviewItem>
    <reviewItem>
      <errorID>16b75843-e882-4960-96ef-f059b7315b17</errorID>
      <errorWord>＜</errorWord>
      <group>L1_Format</group>
      <groupName>格式问题</groupName>
      <ability>L2_HalfPunc</ability>
      <abilityName>全半角检查</abilityName>
      <candidateList>
        <item>&lt;</item>
      </candidateList>
      <explain>文本全半角错误。</explain>
      <paraID>14B46238</paraID>
      <start>0</start>
      <end>1</end>
      <status>unmodified</status>
      <modifiedWord/>
      <trackRevisions>false</trackRevisions>
    </reviewItem>
    <reviewItem>
      <errorID>2d97677f-7850-42d8-a06d-1d5797dda86a</errorID>
      <errorWord>中科院</errorWord>
      <group>L1_Knowledge</group>
      <groupName>知识性问题</groupName>
      <ability>L2_Knowledge</ability>
      <abilityName>其他知识</abilityName>
      <candidateList>
        <item>中国科学院</item>
      </candidateList>
      <explain/>
      <paraID>777D9331</paraID>
      <start>44</start>
      <end>49</end>
      <status>modified</status>
      <modifiedWord>中国科学院</modifiedWord>
      <trackRevisions>false</trackRevisions>
    </reviewItem>
    <reviewItem>
      <errorID>3fe04845-a321-4847-94ce-68398ce3a995</errorID>
      <errorWord>镇乡</errorWord>
      <group>L1_Word</group>
      <groupName>字词问题</groupName>
      <ability>L2_Typo</ability>
      <abilityName>字词错误</abilityName>
      <candidateList>
        <item>乡镇</item>
      </candidateList>
      <explain/>
      <paraID>521CD3A8</paraID>
      <start>67</start>
      <end>69</end>
      <status>unmodified</status>
      <modifiedWord/>
      <trackRevisions>false</trackRevisions>
    </reviewItem>
    <reviewItem>
      <errorID>1fed56b8-ef11-4a36-ac57-318553a1fa0e</errorID>
      <errorWord>-</errorWord>
      <group>L1_Format</group>
      <groupName>格式问题</groupName>
      <ability>L2_HalfPunc</ability>
      <abilityName>全半角检查</abilityName>
      <candidateList>
        <item>－</item>
      </candidateList>
      <explain>文本全半角错误。</explain>
      <paraID>7D491E0F</paraID>
      <start>104</start>
      <end>105</end>
      <status>modified</status>
      <modifiedWord>－</modifiedWord>
      <trackRevisions>false</trackRevisions>
    </reviewItem>
    <reviewItem>
      <errorID>b0a31471-19d3-4807-a6bd-0e9dd5f84434</errorID>
      <errorWord>-</errorWord>
      <group>L1_Format</group>
      <groupName>格式问题</groupName>
      <ability>L2_HalfPunc</ability>
      <abilityName>全半角检查</abilityName>
      <candidateList>
        <item>－</item>
      </candidateList>
      <explain>文本全半角错误。</explain>
      <paraID>7D491E0F</paraID>
      <start>107</start>
      <end>108</end>
      <status>modified</status>
      <modifiedWord>－</modifiedWord>
      <trackRevisions>false</trackRevisions>
    </reviewItem>
    <reviewItem>
      <errorID>dacdf3b2-f73d-4469-9945-f9a82108ae51</errorID>
      <errorWord>一岗双责</errorWord>
      <group>L1_Political</group>
      <groupName>政治性问题</groupName>
      <ability>L2_Keyword</ability>
      <abilityName>固定表述</abilityName>
      <candidateList>
        <item>‘一岗双责’</item>
      </candidateList>
      <explain>注意检查当前固定表述标点是否使用规范。</explain>
      <paraID>4DC0D827</paraID>
      <start>23</start>
      <end>27</end>
      <status>unmodified</status>
      <modifiedWord/>
      <trackRevisions>false</trackRevisions>
    </reviewItem>
    <reviewItem>
      <errorID>e5874df8-efd7-4df9-aacf-dbed92f95b0b</errorID>
      <errorWord>大</errorWord>
      <group>L1_Word</group>
      <groupName>字词问题</groupName>
      <ability>L2_Typo</ability>
      <abilityName>字词错误</abilityName>
      <candidateList>
        <item>大对</item>
      </candidateList>
      <explain/>
      <paraID>5D3D8B59</paraID>
      <start>46</start>
      <end>47</end>
      <status>unmodified</status>
      <modifiedWord/>
      <trackRevisions>false</trackRevisions>
    </reviewItem>
    <reviewItem>
      <errorID>21f235d9-9e11-4ce5-8c12-e5b83db5f4db</errorID>
      <errorWord>使用</errorWord>
      <group>L1_Word</group>
      <groupName>字词问题</groupName>
      <ability>L2_Typo</ability>
      <abilityName>字词错误</abilityName>
      <candidateList>
        <item>实验</item>
      </candidateList>
      <explain/>
      <paraID>1F25643B</paraID>
      <start>229</start>
      <end>231</end>
      <status>unmodified</status>
      <modifiedWord/>
      <trackRevisions>false</trackRevisions>
    </reviewItem>
    <reviewItem>
      <errorID>09ff88c3-6475-44c9-9974-f1f931813993</errorID>
      <errorWord>一岗双责</errorWord>
      <group>L1_Political</group>
      <groupName>政治性问题</groupName>
      <ability>L2_Keyword</ability>
      <abilityName>固定表述</abilityName>
      <candidateList>
        <item>‘一岗双责’</item>
      </candidateList>
      <explain>注意检查当前固定表述标点是否使用规范。</explain>
      <paraID> 13B2F96</paraID>
      <start>47</start>
      <end>51</end>
      <status>unmodified</status>
      <modifiedWord/>
      <trackRevisions>false</trackRevisions>
    </reviewItem>
    <reviewItem>
      <errorID>caafedb0-8ea0-4ab3-9712-def44ab2a4e5</errorID>
      <errorWord>-</errorWord>
      <group>L1_Format</group>
      <groupName>格式问题</groupName>
      <ability>L2_HalfPunc</ability>
      <abilityName>全半角检查</abilityName>
      <candidateList>
        <item>－</item>
      </candidateList>
      <explain>文本全半角错误。</explain>
      <paraID> 1A070F1</paraID>
      <start>53</start>
      <end>54</end>
      <status>modified</status>
      <modifiedWord>－</modifiedWord>
      <trackRevisions>false</trackRevisions>
    </reviewItem>
    <reviewItem>
      <errorID>ecde80f1-f028-42d1-b5ea-1e263992610d</errorID>
      <errorWord>中科院</errorWord>
      <group>L1_Knowledge</group>
      <groupName>知识性问题</groupName>
      <ability>L2_Knowledge</ability>
      <abilityName>其他知识</abilityName>
      <candidateList>
        <item>中国科学院</item>
      </candidateList>
      <explain/>
      <paraID>5CD3338C</paraID>
      <start>285</start>
      <end>288</end>
      <status>unmodified</status>
      <modifiedWord/>
      <trackRevisions>false</trackRevisions>
    </reviewItem>
    <reviewItem>
      <errorID>a9795ff1-7ae2-437f-a5ce-3460b0e1eafe</errorID>
      <errorWord>中科院</errorWord>
      <group>L1_Knowledge</group>
      <groupName>知识性问题</groupName>
      <ability>L2_Knowledge</ability>
      <abilityName>其他知识</abilityName>
      <candidateList>
        <item>中国科学院</item>
      </candidateList>
      <explain/>
      <paraID>5CD3338C</paraID>
      <start>305</start>
      <end>308</end>
      <status>unmodified</status>
      <modifiedWord/>
      <trackRevisions>false</trackRevisions>
    </reviewItem>
    <reviewItem>
      <errorID>caf2680a-cc98-4a2d-a168-a0c10af33dfe</errorID>
      <errorWord>人</errorWord>
      <group>L1_Word</group>
      <groupName>字词问题</groupName>
      <ability>L2_Typo</ability>
      <abilityName>字词错误</abilityName>
      <candidateList>
        <item>个</item>
      </candidateList>
      <explain/>
      <paraID>40B5E84E</paraID>
      <start>503</start>
      <end>504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30e887-2fd9-45f3-9a44-496ee653a84c}">
  <ds:schemaRefs/>
</ds:datastoreItem>
</file>

<file path=docProps/app.xml><?xml version="1.0" encoding="utf-8"?>
<Properties xmlns="http://schemas.openxmlformats.org/officeDocument/2006/extended-properties" xmlns:vt="http://schemas.openxmlformats.org/officeDocument/2006/docPropsVTypes">
  <Template>Normal.dotm</Template>
  <Pages>71</Pages>
  <Words>20005</Words>
  <Characters>20380</Characters>
  <Lines>0</Lines>
  <Paragraphs>0</Paragraphs>
  <TotalTime>0</TotalTime>
  <ScaleCrop>false</ScaleCrop>
  <LinksUpToDate>false</LinksUpToDate>
  <CharactersWithSpaces>20683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2023-11-15T04:19:00Z</dcterms:created>
  <dc:creator>admin</dc:creator>
  <cp:lastModifiedBy>小敏妮子</cp:lastModifiedBy>
  <dcterms:modified xsi:type="dcterms:W3CDTF">2026-04-29T07:40:50Z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40D273CDDC834798BD626AC25CCEDE02_13</vt:lpwstr>
  </property>
  <property fmtid="{D5CDD505-2E9C-101B-9397-08002B2CF9AE}" pid="4" name="KSOTemplateDocerSaveRecord">
    <vt:lpwstr>eyJoZGlkIjoiNDEwOGNlNWZhZjU2Y2Y5Zjk4Y2IwYmYwYTQ0ODBmMzgiLCJ1c2VySWQiOiI3MjQzMjM5ODcifQ==</vt:lpwstr>
  </property>
</Properties>
</file>