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999"/>
        </w:tabs>
        <w:rPr>
          <w:rFonts w:hint="eastAsia" w:ascii="Times New Roman" w:hAnsi="Times New Roman" w:eastAsia="方正小标宋简体" w:cs="Times New Roman"/>
          <w:color w:val="auto"/>
          <w:kern w:val="2"/>
          <w:sz w:val="44"/>
          <w:szCs w:val="44"/>
          <w:lang w:val="en-US" w:eastAsia="zh-CN" w:bidi="ar-SA"/>
        </w:rPr>
      </w:pPr>
      <w:r>
        <w:rPr>
          <w:rFonts w:hint="eastAsia" w:ascii="Times New Roman" w:hAnsi="Times New Roman" w:eastAsia="方正小标宋简体" w:cs="Times New Roman"/>
          <w:color w:val="auto"/>
          <w:kern w:val="2"/>
          <w:sz w:val="44"/>
          <w:szCs w:val="44"/>
          <w:lang w:val="en-US" w:eastAsia="zh-CN" w:bidi="ar-SA"/>
        </w:rPr>
        <w:tab/>
      </w:r>
    </w:p>
    <w:p>
      <w:pPr>
        <w:tabs>
          <w:tab w:val="left" w:pos="2999"/>
        </w:tabs>
        <w:rPr>
          <w:rFonts w:hint="eastAsia" w:ascii="Times New Roman" w:hAnsi="Times New Roman" w:eastAsia="方正小标宋简体" w:cs="Times New Roman"/>
          <w:color w:val="auto"/>
          <w:kern w:val="2"/>
          <w:sz w:val="44"/>
          <w:szCs w:val="44"/>
          <w:lang w:val="en-US" w:eastAsia="zh-CN" w:bidi="ar-SA"/>
        </w:rPr>
      </w:pPr>
    </w:p>
    <w:p>
      <w:pPr>
        <w:pStyle w:val="9"/>
        <w:rPr>
          <w:rFonts w:hint="eastAsia" w:ascii="Times New Roman" w:hAnsi="Times New Roman" w:eastAsia="方正小标宋简体" w:cs="Times New Roman"/>
          <w:color w:val="auto"/>
          <w:kern w:val="2"/>
          <w:sz w:val="44"/>
          <w:szCs w:val="44"/>
          <w:lang w:val="en-US" w:eastAsia="zh-CN" w:bidi="ar-SA"/>
        </w:rPr>
      </w:pPr>
    </w:p>
    <w:p>
      <w:pPr>
        <w:rPr>
          <w:rFonts w:hint="eastAsia"/>
          <w:color w:val="auto"/>
          <w:sz w:val="36"/>
          <w:szCs w:val="36"/>
          <w:lang w:val="en-US" w:eastAsia="zh-CN"/>
        </w:rPr>
      </w:pPr>
    </w:p>
    <w:p>
      <w:pPr>
        <w:rPr>
          <w:rFonts w:hint="eastAsia" w:ascii="Times New Roman" w:hAnsi="Times New Roman" w:eastAsia="方正小标宋简体" w:cs="Times New Roman"/>
          <w:color w:val="auto"/>
          <w:kern w:val="2"/>
          <w:sz w:val="44"/>
          <w:szCs w:val="44"/>
          <w:lang w:val="en-US" w:eastAsia="zh-CN" w:bidi="ar-SA"/>
        </w:rPr>
      </w:pP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简体" w:cs="Times New Roman"/>
          <w:color w:val="auto"/>
          <w:kern w:val="2"/>
          <w:sz w:val="52"/>
          <w:szCs w:val="52"/>
          <w:lang w:val="en-US" w:eastAsia="zh-CN" w:bidi="ar-SA"/>
        </w:rPr>
      </w:pPr>
      <w:bookmarkStart w:id="430" w:name="_GoBack"/>
      <w:r>
        <w:rPr>
          <w:rFonts w:hint="eastAsia" w:eastAsia="方正小标宋简体" w:cs="Times New Roman"/>
          <w:color w:val="auto"/>
          <w:kern w:val="2"/>
          <w:sz w:val="52"/>
          <w:szCs w:val="52"/>
          <w:lang w:val="en-US" w:eastAsia="zh-CN" w:bidi="ar-SA"/>
        </w:rPr>
        <w:t>北京市石景山区</w:t>
      </w:r>
      <w:r>
        <w:rPr>
          <w:rFonts w:hint="eastAsia" w:ascii="Times New Roman" w:hAnsi="Times New Roman" w:eastAsia="方正小标宋简体" w:cs="Times New Roman"/>
          <w:color w:val="auto"/>
          <w:kern w:val="2"/>
          <w:sz w:val="52"/>
          <w:szCs w:val="52"/>
          <w:lang w:val="en-US" w:eastAsia="zh-CN" w:bidi="ar-SA"/>
        </w:rPr>
        <w:t>“十五五”时期</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简体" w:cs="Times New Roman"/>
          <w:color w:val="auto"/>
          <w:kern w:val="2"/>
          <w:sz w:val="52"/>
          <w:szCs w:val="52"/>
          <w:lang w:val="en-US" w:eastAsia="zh-CN" w:bidi="ar-SA"/>
        </w:rPr>
      </w:pPr>
      <w:r>
        <w:rPr>
          <w:rFonts w:hint="eastAsia" w:ascii="Times New Roman" w:hAnsi="Times New Roman" w:eastAsia="方正小标宋简体" w:cs="Times New Roman"/>
          <w:color w:val="auto"/>
          <w:kern w:val="2"/>
          <w:sz w:val="52"/>
          <w:szCs w:val="52"/>
          <w:lang w:val="en-US" w:eastAsia="zh-CN" w:bidi="ar-SA"/>
        </w:rPr>
        <w:t>“</w:t>
      </w:r>
      <w:r>
        <w:rPr>
          <w:rFonts w:hint="eastAsia" w:eastAsia="方正小标宋简体" w:cs="Times New Roman"/>
          <w:color w:val="auto"/>
          <w:kern w:val="2"/>
          <w:sz w:val="52"/>
          <w:szCs w:val="52"/>
          <w:lang w:val="en-US" w:eastAsia="zh-CN" w:bidi="ar-SA"/>
        </w:rPr>
        <w:t>数智</w:t>
      </w:r>
      <w:r>
        <w:rPr>
          <w:rFonts w:hint="eastAsia" w:ascii="Times New Roman" w:hAnsi="Times New Roman" w:eastAsia="方正小标宋简体" w:cs="Times New Roman"/>
          <w:color w:val="auto"/>
          <w:kern w:val="2"/>
          <w:sz w:val="52"/>
          <w:szCs w:val="52"/>
          <w:lang w:val="en-US" w:eastAsia="zh-CN" w:bidi="ar-SA"/>
        </w:rPr>
        <w:t>石景山</w:t>
      </w:r>
      <w:r>
        <w:rPr>
          <w:rFonts w:hint="eastAsia" w:eastAsia="方正小标宋简体" w:cs="Times New Roman"/>
          <w:color w:val="auto"/>
          <w:kern w:val="2"/>
          <w:sz w:val="52"/>
          <w:szCs w:val="52"/>
          <w:lang w:val="en-US" w:eastAsia="zh-CN" w:bidi="ar-SA"/>
        </w:rPr>
        <w:t>”</w:t>
      </w:r>
      <w:r>
        <w:rPr>
          <w:rFonts w:hint="eastAsia" w:ascii="Times New Roman" w:hAnsi="Times New Roman" w:eastAsia="方正小标宋简体" w:cs="Times New Roman"/>
          <w:color w:val="auto"/>
          <w:kern w:val="2"/>
          <w:sz w:val="52"/>
          <w:szCs w:val="52"/>
          <w:lang w:val="en-US" w:eastAsia="zh-CN" w:bidi="ar-SA"/>
        </w:rPr>
        <w:t>发展规划</w:t>
      </w:r>
    </w:p>
    <w:p>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center"/>
        <w:textAlignment w:val="auto"/>
        <w:rPr>
          <w:rFonts w:hint="eastAsia" w:ascii="Times New Roman" w:hAnsi="Times New Roman" w:eastAsia="方正小标宋简体" w:cs="Times New Roman"/>
          <w:color w:val="auto"/>
          <w:kern w:val="2"/>
          <w:sz w:val="52"/>
          <w:szCs w:val="52"/>
          <w:lang w:val="en-US" w:eastAsia="zh-CN" w:bidi="ar-SA"/>
        </w:rPr>
      </w:pPr>
      <w:r>
        <w:rPr>
          <w:rFonts w:ascii="Times New Roman" w:hAnsi="Times New Roman" w:eastAsia="方正小标宋简体" w:cs="Times New Roman"/>
          <w:color w:val="auto"/>
          <w:kern w:val="2"/>
          <w:sz w:val="52"/>
          <w:szCs w:val="52"/>
          <w:lang w:val="en-US" w:eastAsia="zh-CN" w:bidi="ar-SA"/>
        </w:rPr>
        <w:t>（征求意见稿）</w:t>
      </w:r>
    </w:p>
    <w:bookmarkEnd w:id="430"/>
    <w:p>
      <w:pPr>
        <w:jc w:val="center"/>
        <w:rPr>
          <w:rFonts w:hint="eastAsia" w:ascii="黑体" w:eastAsia="黑体"/>
          <w:color w:val="auto"/>
          <w:sz w:val="40"/>
          <w:szCs w:val="40"/>
        </w:rPr>
      </w:pPr>
    </w:p>
    <w:p>
      <w:pPr>
        <w:jc w:val="center"/>
        <w:rPr>
          <w:rFonts w:hint="eastAsia" w:ascii="黑体" w:eastAsia="黑体"/>
          <w:color w:val="auto"/>
          <w:sz w:val="40"/>
          <w:szCs w:val="40"/>
          <w:lang w:val="en-US" w:eastAsia="zh-CN"/>
        </w:rPr>
      </w:pPr>
    </w:p>
    <w:p>
      <w:pPr>
        <w:jc w:val="center"/>
        <w:rPr>
          <w:rFonts w:hint="eastAsia" w:ascii="黑体" w:eastAsia="黑体"/>
          <w:color w:val="auto"/>
          <w:sz w:val="40"/>
          <w:szCs w:val="40"/>
          <w:lang w:val="en-US" w:eastAsia="zh-CN"/>
        </w:rPr>
      </w:pPr>
    </w:p>
    <w:p>
      <w:pPr>
        <w:jc w:val="center"/>
        <w:rPr>
          <w:rFonts w:hint="eastAsia" w:ascii="黑体" w:eastAsia="黑体"/>
          <w:color w:val="auto"/>
          <w:sz w:val="40"/>
          <w:szCs w:val="40"/>
          <w:lang w:val="en-US" w:eastAsia="zh-CN"/>
        </w:rPr>
      </w:pPr>
    </w:p>
    <w:p>
      <w:pPr>
        <w:jc w:val="center"/>
        <w:rPr>
          <w:rFonts w:hint="eastAsia" w:ascii="黑体" w:eastAsia="黑体"/>
          <w:color w:val="auto"/>
          <w:sz w:val="40"/>
          <w:szCs w:val="40"/>
          <w:lang w:val="en-US" w:eastAsia="zh-CN"/>
        </w:rPr>
      </w:pPr>
    </w:p>
    <w:p>
      <w:pPr>
        <w:jc w:val="center"/>
        <w:rPr>
          <w:rFonts w:hint="eastAsia" w:ascii="黑体" w:eastAsia="黑体"/>
          <w:color w:val="auto"/>
          <w:sz w:val="40"/>
          <w:szCs w:val="40"/>
          <w:lang w:val="en-US" w:eastAsia="zh-CN"/>
        </w:rPr>
      </w:pPr>
    </w:p>
    <w:p>
      <w:pPr>
        <w:jc w:val="center"/>
        <w:rPr>
          <w:rFonts w:hint="eastAsia" w:ascii="黑体" w:eastAsia="黑体"/>
          <w:color w:val="auto"/>
          <w:sz w:val="40"/>
          <w:szCs w:val="40"/>
          <w:lang w:val="en-US" w:eastAsia="zh-CN"/>
        </w:rPr>
      </w:pPr>
    </w:p>
    <w:p>
      <w:pPr>
        <w:jc w:val="center"/>
        <w:rPr>
          <w:rFonts w:hint="eastAsia" w:ascii="黑体" w:eastAsia="黑体"/>
          <w:color w:val="auto"/>
          <w:sz w:val="40"/>
          <w:szCs w:val="40"/>
          <w:lang w:val="en-US" w:eastAsia="zh-CN"/>
        </w:rPr>
      </w:pPr>
      <w:r>
        <w:rPr>
          <w:rFonts w:hint="eastAsia" w:ascii="黑体" w:eastAsia="黑体"/>
          <w:color w:val="auto"/>
          <w:sz w:val="40"/>
          <w:szCs w:val="40"/>
          <w:lang w:val="en-US" w:eastAsia="zh-CN"/>
        </w:rPr>
        <w:t>北京市石景山区政务服务和数据管理局</w:t>
      </w:r>
    </w:p>
    <w:p>
      <w:pPr>
        <w:pStyle w:val="16"/>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9"/>
        <w:rPr>
          <w:rFonts w:hint="eastAsia" w:ascii="黑体" w:eastAsia="黑体"/>
          <w:color w:val="auto"/>
          <w:sz w:val="40"/>
          <w:szCs w:val="40"/>
        </w:rPr>
        <w:sectPr>
          <w:footerReference r:id="rId5" w:type="first"/>
          <w:footerReference r:id="rId3" w:type="default"/>
          <w:footerReference r:id="rId4" w:type="even"/>
          <w:pgSz w:w="11906" w:h="16839"/>
          <w:pgMar w:top="2097" w:right="1474" w:bottom="1984" w:left="1587" w:header="851" w:footer="992" w:gutter="0"/>
          <w:cols w:space="0" w:num="1"/>
          <w:docGrid w:type="lines" w:linePitch="327" w:charSpace="0"/>
        </w:sectPr>
      </w:pPr>
      <w:r>
        <w:rPr>
          <w:rFonts w:hint="eastAsia" w:ascii="黑体" w:eastAsia="黑体"/>
          <w:color w:val="auto"/>
          <w:sz w:val="40"/>
          <w:szCs w:val="40"/>
          <w:lang w:val="en-US" w:eastAsia="zh-CN"/>
        </w:rPr>
        <w:t>2026</w:t>
      </w:r>
      <w:r>
        <w:rPr>
          <w:rFonts w:hint="eastAsia" w:ascii="黑体" w:eastAsia="黑体"/>
          <w:color w:val="auto"/>
          <w:sz w:val="40"/>
          <w:szCs w:val="40"/>
        </w:rPr>
        <w:t>年</w:t>
      </w:r>
      <w:r>
        <w:rPr>
          <w:rFonts w:hint="eastAsia" w:ascii="黑体" w:eastAsia="黑体"/>
          <w:color w:val="auto"/>
          <w:sz w:val="40"/>
          <w:szCs w:val="40"/>
          <w:lang w:val="en-US" w:eastAsia="zh-CN"/>
        </w:rPr>
        <w:t>4</w:t>
      </w:r>
      <w:r>
        <w:rPr>
          <w:rFonts w:hint="eastAsia" w:ascii="黑体" w:eastAsia="黑体"/>
          <w:color w:val="auto"/>
          <w:sz w:val="40"/>
          <w:szCs w:val="40"/>
        </w:rPr>
        <w:t>月</w:t>
      </w:r>
      <w:bookmarkStart w:id="0" w:name="_Toc1893"/>
      <w:bookmarkStart w:id="1" w:name="_Toc426"/>
      <w:bookmarkStart w:id="2" w:name="_Toc19857"/>
      <w:bookmarkStart w:id="3" w:name="_Toc645"/>
      <w:bookmarkStart w:id="4" w:name="_Toc11258"/>
      <w:bookmarkStart w:id="5" w:name="_Toc14772"/>
      <w:bookmarkStart w:id="6" w:name="_Toc19606"/>
    </w:p>
    <w:p>
      <w:pPr>
        <w:pStyle w:val="16"/>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outlineLvl w:val="0"/>
        <w:rPr>
          <w:rFonts w:hint="eastAsia" w:ascii="黑体" w:hAnsi="黑体" w:eastAsia="黑体" w:cs="黑体"/>
          <w:b/>
          <w:color w:val="auto"/>
          <w:sz w:val="32"/>
          <w:szCs w:val="32"/>
          <w:lang w:val="zh-CN" w:eastAsia="zh-CN" w:bidi="ar-SA"/>
        </w:rPr>
      </w:pPr>
      <w:bookmarkStart w:id="7" w:name="_Toc29678"/>
      <w:bookmarkStart w:id="8" w:name="_Toc23507"/>
      <w:bookmarkStart w:id="9" w:name="_Toc62413970"/>
      <w:bookmarkStart w:id="10" w:name="_Toc29993"/>
      <w:bookmarkStart w:id="11" w:name="_Toc31289"/>
      <w:bookmarkStart w:id="12" w:name="_Toc9705"/>
      <w:bookmarkStart w:id="13" w:name="_Toc5399"/>
      <w:r>
        <w:rPr>
          <w:rFonts w:hint="eastAsia" w:ascii="黑体" w:hAnsi="黑体" w:eastAsia="黑体" w:cs="黑体"/>
          <w:b/>
          <w:color w:val="auto"/>
          <w:sz w:val="32"/>
          <w:szCs w:val="32"/>
          <w:lang w:val="zh-CN" w:eastAsia="zh-CN" w:bidi="ar-SA"/>
        </w:rPr>
        <w:t>目</w:t>
      </w:r>
      <w:r>
        <w:rPr>
          <w:rFonts w:hint="eastAsia" w:ascii="黑体" w:hAnsi="黑体" w:eastAsia="黑体" w:cs="黑体"/>
          <w:b/>
          <w:color w:val="auto"/>
          <w:sz w:val="32"/>
          <w:szCs w:val="32"/>
          <w:lang w:val="en-US" w:eastAsia="zh-CN" w:bidi="ar-SA"/>
        </w:rPr>
        <w:t xml:space="preserve">  </w:t>
      </w:r>
      <w:r>
        <w:rPr>
          <w:rFonts w:hint="eastAsia" w:ascii="黑体" w:hAnsi="黑体" w:eastAsia="黑体" w:cs="黑体"/>
          <w:b/>
          <w:color w:val="auto"/>
          <w:sz w:val="32"/>
          <w:szCs w:val="32"/>
          <w:lang w:val="zh-CN" w:eastAsia="zh-CN" w:bidi="ar-SA"/>
        </w:rPr>
        <w:t>录</w:t>
      </w:r>
      <w:bookmarkEnd w:id="0"/>
      <w:bookmarkEnd w:id="1"/>
      <w:bookmarkEnd w:id="2"/>
      <w:bookmarkEnd w:id="3"/>
      <w:bookmarkEnd w:id="4"/>
      <w:bookmarkEnd w:id="5"/>
      <w:bookmarkEnd w:id="6"/>
      <w:bookmarkEnd w:id="7"/>
      <w:bookmarkEnd w:id="8"/>
      <w:bookmarkEnd w:id="9"/>
      <w:bookmarkEnd w:id="10"/>
      <w:bookmarkEnd w:id="11"/>
      <w:bookmarkEnd w:id="12"/>
      <w:bookmarkEnd w:id="13"/>
    </w:p>
    <w:p>
      <w:pPr>
        <w:pStyle w:val="15"/>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color w:val="auto"/>
          <w:sz w:val="28"/>
          <w:szCs w:val="28"/>
          <w:lang w:bidi="ar-SA"/>
        </w:rPr>
        <w:instrText xml:space="preserve">TOC \o "1-2" \h \u </w:instrText>
      </w:r>
      <w:r>
        <w:rPr>
          <w:rFonts w:hint="eastAsia" w:ascii="仿宋_GB2312" w:hAnsi="仿宋_GB2312" w:eastAsia="仿宋_GB2312" w:cs="仿宋_GB2312"/>
          <w:color w:val="auto"/>
          <w:sz w:val="28"/>
          <w:szCs w:val="28"/>
          <w:lang w:bidi="ar-SA"/>
        </w:rPr>
        <w:fldChar w:fldCharType="separate"/>
      </w: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_Toc24759 </w:instrText>
      </w:r>
      <w:r>
        <w:rPr>
          <w:rFonts w:hint="eastAsia" w:ascii="仿宋_GB2312" w:hAnsi="仿宋_GB2312" w:eastAsia="仿宋_GB2312" w:cs="仿宋_GB2312"/>
          <w:sz w:val="28"/>
          <w:szCs w:val="28"/>
          <w:lang w:bidi="ar-SA"/>
        </w:rPr>
        <w:fldChar w:fldCharType="separate"/>
      </w:r>
      <w:r>
        <w:rPr>
          <w:rFonts w:hint="eastAsia" w:ascii="黑体" w:hAnsi="黑体" w:eastAsia="黑体" w:cs="黑体"/>
          <w:bCs w:val="0"/>
          <w:kern w:val="0"/>
          <w:sz w:val="28"/>
          <w:szCs w:val="28"/>
          <w:lang w:val="en-US" w:eastAsia="zh-CN" w:bidi="zh-CN"/>
        </w:rPr>
        <w:t>一、现状与形势</w:t>
      </w:r>
      <w:r>
        <w:rPr>
          <w:sz w:val="28"/>
          <w:szCs w:val="28"/>
        </w:rPr>
        <w:tab/>
      </w:r>
      <w:r>
        <w:rPr>
          <w:sz w:val="28"/>
          <w:szCs w:val="28"/>
        </w:rPr>
        <w:fldChar w:fldCharType="begin"/>
      </w:r>
      <w:r>
        <w:rPr>
          <w:sz w:val="28"/>
          <w:szCs w:val="28"/>
        </w:rPr>
        <w:instrText xml:space="preserve"> PAGEREF _Toc24759 \h </w:instrText>
      </w:r>
      <w:r>
        <w:rPr>
          <w:sz w:val="28"/>
          <w:szCs w:val="28"/>
        </w:rPr>
        <w:fldChar w:fldCharType="separate"/>
      </w:r>
      <w:r>
        <w:rPr>
          <w:sz w:val="28"/>
          <w:szCs w:val="28"/>
        </w:rPr>
        <w:t>1</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_Toc31819 </w:instrText>
      </w:r>
      <w:r>
        <w:rPr>
          <w:rFonts w:hint="eastAsia" w:ascii="仿宋_GB2312" w:hAnsi="仿宋_GB2312" w:eastAsia="仿宋_GB2312" w:cs="仿宋_GB2312"/>
          <w:sz w:val="28"/>
          <w:szCs w:val="28"/>
          <w:lang w:bidi="ar-SA"/>
        </w:rPr>
        <w:fldChar w:fldCharType="separate"/>
      </w:r>
      <w:r>
        <w:rPr>
          <w:rFonts w:hint="eastAsia" w:ascii="楷体_GB2312" w:hAnsi="Times New Roman" w:eastAsia="楷体_GB2312" w:cs="楷体_GB2312"/>
          <w:kern w:val="0"/>
          <w:sz w:val="28"/>
          <w:szCs w:val="28"/>
          <w:lang w:val="en-US" w:eastAsia="zh-CN" w:bidi="ar-SA"/>
        </w:rPr>
        <w:t>（一）发展</w:t>
      </w:r>
      <w:r>
        <w:rPr>
          <w:rFonts w:hint="eastAsia" w:ascii="楷体_GB2312" w:eastAsia="楷体_GB2312" w:cs="楷体_GB2312"/>
          <w:kern w:val="0"/>
          <w:sz w:val="28"/>
          <w:szCs w:val="28"/>
          <w:lang w:val="en-US" w:eastAsia="zh-CN" w:bidi="ar-SA"/>
        </w:rPr>
        <w:t>成就</w:t>
      </w:r>
      <w:r>
        <w:rPr>
          <w:sz w:val="28"/>
          <w:szCs w:val="28"/>
        </w:rPr>
        <w:tab/>
      </w:r>
      <w:r>
        <w:rPr>
          <w:sz w:val="28"/>
          <w:szCs w:val="28"/>
        </w:rPr>
        <w:fldChar w:fldCharType="begin"/>
      </w:r>
      <w:r>
        <w:rPr>
          <w:sz w:val="28"/>
          <w:szCs w:val="28"/>
        </w:rPr>
        <w:instrText xml:space="preserve"> PAGEREF _Toc31819 \h </w:instrText>
      </w:r>
      <w:r>
        <w:rPr>
          <w:sz w:val="28"/>
          <w:szCs w:val="28"/>
        </w:rPr>
        <w:fldChar w:fldCharType="separate"/>
      </w:r>
      <w:r>
        <w:rPr>
          <w:sz w:val="28"/>
          <w:szCs w:val="28"/>
        </w:rPr>
        <w:t>1</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_Toc12379 </w:instrText>
      </w:r>
      <w:r>
        <w:rPr>
          <w:rFonts w:hint="eastAsia" w:ascii="仿宋_GB2312" w:hAnsi="仿宋_GB2312" w:eastAsia="仿宋_GB2312" w:cs="仿宋_GB2312"/>
          <w:sz w:val="28"/>
          <w:szCs w:val="28"/>
          <w:lang w:bidi="ar-SA"/>
        </w:rPr>
        <w:fldChar w:fldCharType="separate"/>
      </w:r>
      <w:r>
        <w:rPr>
          <w:rFonts w:hint="eastAsia" w:ascii="楷体_GB2312" w:hAnsi="Times New Roman" w:eastAsia="楷体_GB2312" w:cs="楷体_GB2312"/>
          <w:kern w:val="0"/>
          <w:sz w:val="28"/>
          <w:szCs w:val="28"/>
          <w:lang w:val="en-US" w:eastAsia="zh-CN" w:bidi="ar-SA"/>
        </w:rPr>
        <w:t>（二）</w:t>
      </w:r>
      <w:r>
        <w:rPr>
          <w:rFonts w:hint="eastAsia" w:ascii="楷体_GB2312" w:eastAsia="楷体_GB2312" w:cs="楷体_GB2312"/>
          <w:kern w:val="0"/>
          <w:sz w:val="28"/>
          <w:szCs w:val="28"/>
          <w:lang w:val="en-US" w:eastAsia="zh-CN" w:bidi="ar-SA"/>
        </w:rPr>
        <w:t>主要问题</w:t>
      </w:r>
      <w:r>
        <w:rPr>
          <w:sz w:val="28"/>
          <w:szCs w:val="28"/>
        </w:rPr>
        <w:tab/>
      </w:r>
      <w:r>
        <w:rPr>
          <w:sz w:val="28"/>
          <w:szCs w:val="28"/>
        </w:rPr>
        <w:fldChar w:fldCharType="begin"/>
      </w:r>
      <w:r>
        <w:rPr>
          <w:sz w:val="28"/>
          <w:szCs w:val="28"/>
        </w:rPr>
        <w:instrText xml:space="preserve"> PAGEREF _Toc12379 \h </w:instrText>
      </w:r>
      <w:r>
        <w:rPr>
          <w:sz w:val="28"/>
          <w:szCs w:val="28"/>
        </w:rPr>
        <w:fldChar w:fldCharType="separate"/>
      </w:r>
      <w:r>
        <w:rPr>
          <w:sz w:val="28"/>
          <w:szCs w:val="28"/>
        </w:rPr>
        <w:t>4</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_Toc25593 </w:instrText>
      </w:r>
      <w:r>
        <w:rPr>
          <w:rFonts w:hint="eastAsia" w:ascii="仿宋_GB2312" w:hAnsi="仿宋_GB2312" w:eastAsia="仿宋_GB2312" w:cs="仿宋_GB2312"/>
          <w:sz w:val="28"/>
          <w:szCs w:val="28"/>
          <w:lang w:bidi="ar-SA"/>
        </w:rPr>
        <w:fldChar w:fldCharType="separate"/>
      </w:r>
      <w:r>
        <w:rPr>
          <w:rFonts w:hint="eastAsia" w:ascii="Times New Roman" w:hAnsi="Times New Roman" w:eastAsia="楷体" w:cs="Times New Roman"/>
          <w:sz w:val="28"/>
          <w:szCs w:val="28"/>
          <w:lang w:val="en-US" w:eastAsia="zh-CN" w:bidi="ar-SA"/>
        </w:rPr>
        <w:t>（三）发展形势</w:t>
      </w:r>
      <w:r>
        <w:rPr>
          <w:sz w:val="28"/>
          <w:szCs w:val="28"/>
        </w:rPr>
        <w:tab/>
      </w:r>
      <w:r>
        <w:rPr>
          <w:sz w:val="28"/>
          <w:szCs w:val="28"/>
        </w:rPr>
        <w:fldChar w:fldCharType="begin"/>
      </w:r>
      <w:r>
        <w:rPr>
          <w:sz w:val="28"/>
          <w:szCs w:val="28"/>
        </w:rPr>
        <w:instrText xml:space="preserve"> PAGEREF _Toc25593 \h </w:instrText>
      </w:r>
      <w:r>
        <w:rPr>
          <w:sz w:val="28"/>
          <w:szCs w:val="28"/>
        </w:rPr>
        <w:fldChar w:fldCharType="separate"/>
      </w:r>
      <w:r>
        <w:rPr>
          <w:sz w:val="28"/>
          <w:szCs w:val="28"/>
        </w:rPr>
        <w:t>5</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5"/>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_Toc27940 </w:instrText>
      </w:r>
      <w:r>
        <w:rPr>
          <w:rFonts w:hint="eastAsia" w:ascii="仿宋_GB2312" w:hAnsi="仿宋_GB2312" w:eastAsia="仿宋_GB2312" w:cs="仿宋_GB2312"/>
          <w:sz w:val="28"/>
          <w:szCs w:val="28"/>
          <w:lang w:bidi="ar-SA"/>
        </w:rPr>
        <w:fldChar w:fldCharType="separate"/>
      </w:r>
      <w:r>
        <w:rPr>
          <w:rFonts w:hint="eastAsia" w:ascii="黑体" w:hAnsi="黑体" w:eastAsia="黑体" w:cs="黑体"/>
          <w:bCs w:val="0"/>
          <w:kern w:val="0"/>
          <w:sz w:val="28"/>
          <w:szCs w:val="28"/>
          <w:lang w:val="en-US" w:eastAsia="zh-CN" w:bidi="zh-CN"/>
        </w:rPr>
        <w:t>二、总体要求</w:t>
      </w:r>
      <w:r>
        <w:rPr>
          <w:sz w:val="28"/>
          <w:szCs w:val="28"/>
        </w:rPr>
        <w:tab/>
      </w:r>
      <w:r>
        <w:rPr>
          <w:sz w:val="28"/>
          <w:szCs w:val="28"/>
        </w:rPr>
        <w:fldChar w:fldCharType="begin"/>
      </w:r>
      <w:r>
        <w:rPr>
          <w:sz w:val="28"/>
          <w:szCs w:val="28"/>
        </w:rPr>
        <w:instrText xml:space="preserve"> PAGEREF _Toc27940 \h </w:instrText>
      </w:r>
      <w:r>
        <w:rPr>
          <w:sz w:val="28"/>
          <w:szCs w:val="28"/>
        </w:rPr>
        <w:fldChar w:fldCharType="separate"/>
      </w:r>
      <w:r>
        <w:rPr>
          <w:sz w:val="28"/>
          <w:szCs w:val="28"/>
        </w:rPr>
        <w:t>6</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_Toc27457 </w:instrText>
      </w:r>
      <w:r>
        <w:rPr>
          <w:rFonts w:hint="eastAsia" w:ascii="仿宋_GB2312" w:hAnsi="仿宋_GB2312" w:eastAsia="仿宋_GB2312" w:cs="仿宋_GB2312"/>
          <w:sz w:val="28"/>
          <w:szCs w:val="28"/>
          <w:lang w:bidi="ar-SA"/>
        </w:rPr>
        <w:fldChar w:fldCharType="separate"/>
      </w:r>
      <w:r>
        <w:rPr>
          <w:rFonts w:hint="eastAsia" w:ascii="楷体_GB2312" w:hAnsi="Times New Roman" w:eastAsia="楷体_GB2312" w:cs="楷体_GB2312"/>
          <w:kern w:val="0"/>
          <w:sz w:val="28"/>
          <w:szCs w:val="28"/>
          <w:lang w:val="en-US" w:eastAsia="zh-CN" w:bidi="ar-SA"/>
        </w:rPr>
        <w:t>（一）</w:t>
      </w:r>
      <w:r>
        <w:rPr>
          <w:rFonts w:hint="eastAsia" w:ascii="楷体_GB2312" w:eastAsia="楷体_GB2312" w:cs="楷体_GB2312"/>
          <w:kern w:val="0"/>
          <w:sz w:val="28"/>
          <w:szCs w:val="28"/>
          <w:lang w:val="en-US" w:eastAsia="zh-CN" w:bidi="ar-SA"/>
        </w:rPr>
        <w:t>指导思想</w:t>
      </w:r>
      <w:r>
        <w:rPr>
          <w:sz w:val="28"/>
          <w:szCs w:val="28"/>
        </w:rPr>
        <w:tab/>
      </w:r>
      <w:r>
        <w:rPr>
          <w:sz w:val="28"/>
          <w:szCs w:val="28"/>
        </w:rPr>
        <w:fldChar w:fldCharType="begin"/>
      </w:r>
      <w:r>
        <w:rPr>
          <w:sz w:val="28"/>
          <w:szCs w:val="28"/>
        </w:rPr>
        <w:instrText xml:space="preserve"> PAGEREF _Toc27457 \h </w:instrText>
      </w:r>
      <w:r>
        <w:rPr>
          <w:sz w:val="28"/>
          <w:szCs w:val="28"/>
        </w:rPr>
        <w:fldChar w:fldCharType="separate"/>
      </w:r>
      <w:r>
        <w:rPr>
          <w:sz w:val="28"/>
          <w:szCs w:val="28"/>
        </w:rPr>
        <w:t>6</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_Toc21246 </w:instrText>
      </w:r>
      <w:r>
        <w:rPr>
          <w:rFonts w:hint="eastAsia" w:ascii="仿宋_GB2312" w:hAnsi="仿宋_GB2312" w:eastAsia="仿宋_GB2312" w:cs="仿宋_GB2312"/>
          <w:sz w:val="28"/>
          <w:szCs w:val="28"/>
          <w:lang w:bidi="ar-SA"/>
        </w:rPr>
        <w:fldChar w:fldCharType="separate"/>
      </w:r>
      <w:r>
        <w:rPr>
          <w:rFonts w:hint="eastAsia" w:ascii="楷体_GB2312" w:hAnsi="Times New Roman" w:eastAsia="楷体_GB2312" w:cs="楷体_GB2312"/>
          <w:kern w:val="0"/>
          <w:sz w:val="28"/>
          <w:szCs w:val="28"/>
          <w:lang w:val="en-US" w:eastAsia="zh-CN" w:bidi="ar-SA"/>
        </w:rPr>
        <w:t>（二）主要原则</w:t>
      </w:r>
      <w:r>
        <w:rPr>
          <w:sz w:val="28"/>
          <w:szCs w:val="28"/>
        </w:rPr>
        <w:tab/>
      </w:r>
      <w:r>
        <w:rPr>
          <w:sz w:val="28"/>
          <w:szCs w:val="28"/>
        </w:rPr>
        <w:fldChar w:fldCharType="begin"/>
      </w:r>
      <w:r>
        <w:rPr>
          <w:sz w:val="28"/>
          <w:szCs w:val="28"/>
        </w:rPr>
        <w:instrText xml:space="preserve"> PAGEREF _Toc21246 \h </w:instrText>
      </w:r>
      <w:r>
        <w:rPr>
          <w:sz w:val="28"/>
          <w:szCs w:val="28"/>
        </w:rPr>
        <w:fldChar w:fldCharType="separate"/>
      </w:r>
      <w:r>
        <w:rPr>
          <w:sz w:val="28"/>
          <w:szCs w:val="28"/>
        </w:rPr>
        <w:t>6</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_Toc10428 </w:instrText>
      </w:r>
      <w:r>
        <w:rPr>
          <w:rFonts w:hint="eastAsia" w:ascii="仿宋_GB2312" w:hAnsi="仿宋_GB2312" w:eastAsia="仿宋_GB2312" w:cs="仿宋_GB2312"/>
          <w:sz w:val="28"/>
          <w:szCs w:val="28"/>
          <w:lang w:bidi="ar-SA"/>
        </w:rPr>
        <w:fldChar w:fldCharType="separate"/>
      </w:r>
      <w:r>
        <w:rPr>
          <w:rFonts w:hint="eastAsia" w:ascii="楷体_GB2312" w:hAnsi="Times New Roman" w:eastAsia="楷体_GB2312" w:cs="楷体_GB2312"/>
          <w:kern w:val="0"/>
          <w:sz w:val="28"/>
          <w:szCs w:val="28"/>
          <w:lang w:val="en-US" w:eastAsia="zh-CN" w:bidi="ar-SA"/>
        </w:rPr>
        <w:t>（三）发展目标</w:t>
      </w:r>
      <w:r>
        <w:rPr>
          <w:sz w:val="28"/>
          <w:szCs w:val="28"/>
        </w:rPr>
        <w:tab/>
      </w:r>
      <w:r>
        <w:rPr>
          <w:sz w:val="28"/>
          <w:szCs w:val="28"/>
        </w:rPr>
        <w:fldChar w:fldCharType="begin"/>
      </w:r>
      <w:r>
        <w:rPr>
          <w:sz w:val="28"/>
          <w:szCs w:val="28"/>
        </w:rPr>
        <w:instrText xml:space="preserve"> PAGEREF _Toc10428 \h </w:instrText>
      </w:r>
      <w:r>
        <w:rPr>
          <w:sz w:val="28"/>
          <w:szCs w:val="28"/>
        </w:rPr>
        <w:fldChar w:fldCharType="separate"/>
      </w:r>
      <w:r>
        <w:rPr>
          <w:sz w:val="28"/>
          <w:szCs w:val="28"/>
        </w:rPr>
        <w:t>7</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5"/>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_Toc9998 </w:instrText>
      </w:r>
      <w:r>
        <w:rPr>
          <w:rFonts w:hint="eastAsia" w:ascii="仿宋_GB2312" w:hAnsi="仿宋_GB2312" w:eastAsia="仿宋_GB2312" w:cs="仿宋_GB2312"/>
          <w:sz w:val="28"/>
          <w:szCs w:val="28"/>
          <w:lang w:bidi="ar-SA"/>
        </w:rPr>
        <w:fldChar w:fldCharType="separate"/>
      </w:r>
      <w:r>
        <w:rPr>
          <w:rFonts w:hint="eastAsia" w:ascii="黑体" w:hAnsi="黑体" w:eastAsia="黑体" w:cs="黑体"/>
          <w:bCs w:val="0"/>
          <w:sz w:val="28"/>
          <w:szCs w:val="28"/>
          <w:lang w:val="en-US" w:eastAsia="zh-CN" w:bidi="ar-SA"/>
        </w:rPr>
        <w:t>三、 总体架构</w:t>
      </w:r>
      <w:r>
        <w:rPr>
          <w:sz w:val="28"/>
          <w:szCs w:val="28"/>
        </w:rPr>
        <w:tab/>
      </w:r>
      <w:r>
        <w:rPr>
          <w:sz w:val="28"/>
          <w:szCs w:val="28"/>
        </w:rPr>
        <w:fldChar w:fldCharType="begin"/>
      </w:r>
      <w:r>
        <w:rPr>
          <w:sz w:val="28"/>
          <w:szCs w:val="28"/>
        </w:rPr>
        <w:instrText xml:space="preserve"> PAGEREF _Toc9998 \h </w:instrText>
      </w:r>
      <w:r>
        <w:rPr>
          <w:sz w:val="28"/>
          <w:szCs w:val="28"/>
        </w:rPr>
        <w:fldChar w:fldCharType="separate"/>
      </w:r>
      <w:r>
        <w:rPr>
          <w:sz w:val="28"/>
          <w:szCs w:val="28"/>
        </w:rPr>
        <w:t>8</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5"/>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_Toc31269 </w:instrText>
      </w:r>
      <w:r>
        <w:rPr>
          <w:rFonts w:hint="eastAsia" w:ascii="仿宋_GB2312" w:hAnsi="仿宋_GB2312" w:eastAsia="仿宋_GB2312" w:cs="仿宋_GB2312"/>
          <w:sz w:val="28"/>
          <w:szCs w:val="28"/>
          <w:lang w:bidi="ar-SA"/>
        </w:rPr>
        <w:fldChar w:fldCharType="separate"/>
      </w:r>
      <w:r>
        <w:rPr>
          <w:rFonts w:hint="eastAsia" w:ascii="黑体" w:hAnsi="黑体" w:eastAsia="黑体" w:cs="黑体"/>
          <w:bCs w:val="0"/>
          <w:kern w:val="0"/>
          <w:sz w:val="28"/>
          <w:szCs w:val="28"/>
          <w:lang w:val="en-US" w:eastAsia="zh-CN" w:bidi="zh-CN"/>
        </w:rPr>
        <w:t>四、 增强城市数智设施能级</w:t>
      </w:r>
      <w:r>
        <w:rPr>
          <w:sz w:val="28"/>
          <w:szCs w:val="28"/>
        </w:rPr>
        <w:tab/>
      </w:r>
      <w:r>
        <w:rPr>
          <w:sz w:val="28"/>
          <w:szCs w:val="28"/>
        </w:rPr>
        <w:fldChar w:fldCharType="begin"/>
      </w:r>
      <w:r>
        <w:rPr>
          <w:sz w:val="28"/>
          <w:szCs w:val="28"/>
        </w:rPr>
        <w:instrText xml:space="preserve"> PAGEREF _Toc31269 \h </w:instrText>
      </w:r>
      <w:r>
        <w:rPr>
          <w:sz w:val="28"/>
          <w:szCs w:val="28"/>
        </w:rPr>
        <w:fldChar w:fldCharType="separate"/>
      </w:r>
      <w:r>
        <w:rPr>
          <w:sz w:val="28"/>
          <w:szCs w:val="28"/>
        </w:rPr>
        <w:t>9</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_Toc28840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（一）夯实算网基础设施</w:t>
      </w:r>
      <w:r>
        <w:rPr>
          <w:sz w:val="28"/>
          <w:szCs w:val="28"/>
        </w:rPr>
        <w:tab/>
      </w:r>
      <w:r>
        <w:rPr>
          <w:sz w:val="28"/>
          <w:szCs w:val="28"/>
        </w:rPr>
        <w:fldChar w:fldCharType="begin"/>
      </w:r>
      <w:r>
        <w:rPr>
          <w:sz w:val="28"/>
          <w:szCs w:val="28"/>
        </w:rPr>
        <w:instrText xml:space="preserve"> PAGEREF _Toc28840 \h </w:instrText>
      </w:r>
      <w:r>
        <w:rPr>
          <w:sz w:val="28"/>
          <w:szCs w:val="28"/>
        </w:rPr>
        <w:fldChar w:fldCharType="separate"/>
      </w:r>
      <w:r>
        <w:rPr>
          <w:sz w:val="28"/>
          <w:szCs w:val="28"/>
        </w:rPr>
        <w:t>9</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_Toc28668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（二）建设数智基础设施</w:t>
      </w:r>
      <w:r>
        <w:rPr>
          <w:sz w:val="28"/>
          <w:szCs w:val="28"/>
        </w:rPr>
        <w:tab/>
      </w:r>
      <w:r>
        <w:rPr>
          <w:sz w:val="28"/>
          <w:szCs w:val="28"/>
        </w:rPr>
        <w:fldChar w:fldCharType="begin"/>
      </w:r>
      <w:r>
        <w:rPr>
          <w:sz w:val="28"/>
          <w:szCs w:val="28"/>
        </w:rPr>
        <w:instrText xml:space="preserve"> PAGEREF _Toc28668 \h </w:instrText>
      </w:r>
      <w:r>
        <w:rPr>
          <w:sz w:val="28"/>
          <w:szCs w:val="28"/>
        </w:rPr>
        <w:fldChar w:fldCharType="separate"/>
      </w:r>
      <w:r>
        <w:rPr>
          <w:sz w:val="28"/>
          <w:szCs w:val="28"/>
        </w:rPr>
        <w:t>10</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5"/>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_Toc29404 </w:instrText>
      </w:r>
      <w:r>
        <w:rPr>
          <w:rFonts w:hint="eastAsia" w:ascii="仿宋_GB2312" w:hAnsi="仿宋_GB2312" w:eastAsia="仿宋_GB2312" w:cs="仿宋_GB2312"/>
          <w:sz w:val="28"/>
          <w:szCs w:val="28"/>
          <w:lang w:bidi="ar-SA"/>
        </w:rPr>
        <w:fldChar w:fldCharType="separate"/>
      </w:r>
      <w:r>
        <w:rPr>
          <w:rFonts w:hint="eastAsia" w:ascii="黑体" w:hAnsi="黑体" w:eastAsia="黑体" w:cs="黑体"/>
          <w:bCs w:val="0"/>
          <w:sz w:val="28"/>
          <w:szCs w:val="28"/>
          <w:lang w:val="en-US" w:eastAsia="zh-CN" w:bidi="ar-SA"/>
        </w:rPr>
        <w:t>五、 构建数据要素赋能体系</w:t>
      </w:r>
      <w:r>
        <w:rPr>
          <w:sz w:val="28"/>
          <w:szCs w:val="28"/>
        </w:rPr>
        <w:tab/>
      </w:r>
      <w:r>
        <w:rPr>
          <w:sz w:val="28"/>
          <w:szCs w:val="28"/>
        </w:rPr>
        <w:fldChar w:fldCharType="begin"/>
      </w:r>
      <w:r>
        <w:rPr>
          <w:sz w:val="28"/>
          <w:szCs w:val="28"/>
        </w:rPr>
        <w:instrText xml:space="preserve"> PAGEREF _Toc29404 \h </w:instrText>
      </w:r>
      <w:r>
        <w:rPr>
          <w:sz w:val="28"/>
          <w:szCs w:val="28"/>
        </w:rPr>
        <w:fldChar w:fldCharType="separate"/>
      </w:r>
      <w:r>
        <w:rPr>
          <w:sz w:val="28"/>
          <w:szCs w:val="28"/>
        </w:rPr>
        <w:t>11</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_Toc11092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（一） 提升数据供给能力</w:t>
      </w:r>
      <w:r>
        <w:rPr>
          <w:sz w:val="28"/>
          <w:szCs w:val="28"/>
        </w:rPr>
        <w:tab/>
      </w:r>
      <w:r>
        <w:rPr>
          <w:sz w:val="28"/>
          <w:szCs w:val="28"/>
        </w:rPr>
        <w:fldChar w:fldCharType="begin"/>
      </w:r>
      <w:r>
        <w:rPr>
          <w:sz w:val="28"/>
          <w:szCs w:val="28"/>
        </w:rPr>
        <w:instrText xml:space="preserve"> PAGEREF _Toc11092 \h </w:instrText>
      </w:r>
      <w:r>
        <w:rPr>
          <w:sz w:val="28"/>
          <w:szCs w:val="28"/>
        </w:rPr>
        <w:fldChar w:fldCharType="separate"/>
      </w:r>
      <w:r>
        <w:rPr>
          <w:sz w:val="28"/>
          <w:szCs w:val="28"/>
        </w:rPr>
        <w:t>11</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_Toc13202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（二） 促进数据流通利用</w:t>
      </w:r>
      <w:r>
        <w:rPr>
          <w:sz w:val="28"/>
          <w:szCs w:val="28"/>
        </w:rPr>
        <w:tab/>
      </w:r>
      <w:r>
        <w:rPr>
          <w:sz w:val="28"/>
          <w:szCs w:val="28"/>
        </w:rPr>
        <w:fldChar w:fldCharType="begin"/>
      </w:r>
      <w:r>
        <w:rPr>
          <w:sz w:val="28"/>
          <w:szCs w:val="28"/>
        </w:rPr>
        <w:instrText xml:space="preserve"> PAGEREF _Toc13202 \h </w:instrText>
      </w:r>
      <w:r>
        <w:rPr>
          <w:sz w:val="28"/>
          <w:szCs w:val="28"/>
        </w:rPr>
        <w:fldChar w:fldCharType="separate"/>
      </w:r>
      <w:r>
        <w:rPr>
          <w:sz w:val="28"/>
          <w:szCs w:val="28"/>
        </w:rPr>
        <w:t>12</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_Toc26389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（三） 优化数据产业布局</w:t>
      </w:r>
      <w:r>
        <w:rPr>
          <w:sz w:val="28"/>
          <w:szCs w:val="28"/>
        </w:rPr>
        <w:tab/>
      </w:r>
      <w:r>
        <w:rPr>
          <w:sz w:val="28"/>
          <w:szCs w:val="28"/>
        </w:rPr>
        <w:fldChar w:fldCharType="begin"/>
      </w:r>
      <w:r>
        <w:rPr>
          <w:sz w:val="28"/>
          <w:szCs w:val="28"/>
        </w:rPr>
        <w:instrText xml:space="preserve"> PAGEREF _Toc26389 \h </w:instrText>
      </w:r>
      <w:r>
        <w:rPr>
          <w:sz w:val="28"/>
          <w:szCs w:val="28"/>
        </w:rPr>
        <w:fldChar w:fldCharType="separate"/>
      </w:r>
      <w:r>
        <w:rPr>
          <w:sz w:val="28"/>
          <w:szCs w:val="28"/>
        </w:rPr>
        <w:t>13</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5"/>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_Toc1095 </w:instrText>
      </w:r>
      <w:r>
        <w:rPr>
          <w:rFonts w:hint="eastAsia" w:ascii="仿宋_GB2312" w:hAnsi="仿宋_GB2312" w:eastAsia="仿宋_GB2312" w:cs="仿宋_GB2312"/>
          <w:sz w:val="28"/>
          <w:szCs w:val="28"/>
          <w:lang w:bidi="ar-SA"/>
        </w:rPr>
        <w:fldChar w:fldCharType="separate"/>
      </w:r>
      <w:r>
        <w:rPr>
          <w:rFonts w:hint="eastAsia" w:ascii="黑体" w:hAnsi="黑体" w:eastAsia="黑体" w:cs="黑体"/>
          <w:bCs w:val="0"/>
          <w:kern w:val="0"/>
          <w:sz w:val="28"/>
          <w:szCs w:val="28"/>
          <w:lang w:val="en-US" w:eastAsia="zh-CN" w:bidi="zh-CN"/>
        </w:rPr>
        <w:t>六、 推进城市数智化建设</w:t>
      </w:r>
      <w:r>
        <w:rPr>
          <w:sz w:val="28"/>
          <w:szCs w:val="28"/>
        </w:rPr>
        <w:tab/>
      </w:r>
      <w:r>
        <w:rPr>
          <w:sz w:val="28"/>
          <w:szCs w:val="28"/>
        </w:rPr>
        <w:fldChar w:fldCharType="begin"/>
      </w:r>
      <w:r>
        <w:rPr>
          <w:sz w:val="28"/>
          <w:szCs w:val="28"/>
        </w:rPr>
        <w:instrText xml:space="preserve"> PAGEREF _Toc1095 \h </w:instrText>
      </w:r>
      <w:r>
        <w:rPr>
          <w:sz w:val="28"/>
          <w:szCs w:val="28"/>
        </w:rPr>
        <w:fldChar w:fldCharType="separate"/>
      </w:r>
      <w:r>
        <w:rPr>
          <w:sz w:val="28"/>
          <w:szCs w:val="28"/>
        </w:rPr>
        <w:t>13</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_Toc28720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（一） 完善数智治理体系建设</w:t>
      </w:r>
      <w:r>
        <w:rPr>
          <w:sz w:val="28"/>
          <w:szCs w:val="28"/>
        </w:rPr>
        <w:tab/>
      </w:r>
      <w:r>
        <w:rPr>
          <w:sz w:val="28"/>
          <w:szCs w:val="28"/>
        </w:rPr>
        <w:fldChar w:fldCharType="begin"/>
      </w:r>
      <w:r>
        <w:rPr>
          <w:sz w:val="28"/>
          <w:szCs w:val="28"/>
        </w:rPr>
        <w:instrText xml:space="preserve"> PAGEREF _Toc28720 \h </w:instrText>
      </w:r>
      <w:r>
        <w:rPr>
          <w:sz w:val="28"/>
          <w:szCs w:val="28"/>
        </w:rPr>
        <w:fldChar w:fldCharType="separate"/>
      </w:r>
      <w:r>
        <w:rPr>
          <w:sz w:val="28"/>
          <w:szCs w:val="28"/>
        </w:rPr>
        <w:t>14</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_Toc25063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（二） 开启“整体智治”的党建统领新篇章</w:t>
      </w:r>
      <w:r>
        <w:rPr>
          <w:sz w:val="28"/>
          <w:szCs w:val="28"/>
        </w:rPr>
        <w:tab/>
      </w:r>
      <w:r>
        <w:rPr>
          <w:sz w:val="28"/>
          <w:szCs w:val="28"/>
        </w:rPr>
        <w:fldChar w:fldCharType="begin"/>
      </w:r>
      <w:r>
        <w:rPr>
          <w:sz w:val="28"/>
          <w:szCs w:val="28"/>
        </w:rPr>
        <w:instrText xml:space="preserve"> PAGEREF _Toc25063 \h </w:instrText>
      </w:r>
      <w:r>
        <w:rPr>
          <w:sz w:val="28"/>
          <w:szCs w:val="28"/>
        </w:rPr>
        <w:fldChar w:fldCharType="separate"/>
      </w:r>
      <w:r>
        <w:rPr>
          <w:sz w:val="28"/>
          <w:szCs w:val="28"/>
        </w:rPr>
        <w:t>14</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_Toc11420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（三） 构筑“实数融合”的经济发展新优势</w:t>
      </w:r>
      <w:r>
        <w:rPr>
          <w:sz w:val="28"/>
          <w:szCs w:val="28"/>
        </w:rPr>
        <w:tab/>
      </w:r>
      <w:r>
        <w:rPr>
          <w:sz w:val="28"/>
          <w:szCs w:val="28"/>
        </w:rPr>
        <w:fldChar w:fldCharType="begin"/>
      </w:r>
      <w:r>
        <w:rPr>
          <w:sz w:val="28"/>
          <w:szCs w:val="28"/>
        </w:rPr>
        <w:instrText xml:space="preserve"> PAGEREF _Toc11420 \h </w:instrText>
      </w:r>
      <w:r>
        <w:rPr>
          <w:sz w:val="28"/>
          <w:szCs w:val="28"/>
        </w:rPr>
        <w:fldChar w:fldCharType="separate"/>
      </w:r>
      <w:r>
        <w:rPr>
          <w:sz w:val="28"/>
          <w:szCs w:val="28"/>
        </w:rPr>
        <w:t>15</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_Toc27745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（四） 打造“一网统管”的城市治理新格局</w:t>
      </w:r>
      <w:r>
        <w:rPr>
          <w:sz w:val="28"/>
          <w:szCs w:val="28"/>
        </w:rPr>
        <w:tab/>
      </w:r>
      <w:r>
        <w:rPr>
          <w:sz w:val="28"/>
          <w:szCs w:val="28"/>
        </w:rPr>
        <w:fldChar w:fldCharType="begin"/>
      </w:r>
      <w:r>
        <w:rPr>
          <w:sz w:val="28"/>
          <w:szCs w:val="28"/>
        </w:rPr>
        <w:instrText xml:space="preserve"> PAGEREF _Toc27745 \h </w:instrText>
      </w:r>
      <w:r>
        <w:rPr>
          <w:sz w:val="28"/>
          <w:szCs w:val="28"/>
        </w:rPr>
        <w:fldChar w:fldCharType="separate"/>
      </w:r>
      <w:r>
        <w:rPr>
          <w:sz w:val="28"/>
          <w:szCs w:val="28"/>
        </w:rPr>
        <w:t>16</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_Toc3862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（五） 提升“普惠便捷”的公共服务新品质</w:t>
      </w:r>
      <w:r>
        <w:rPr>
          <w:sz w:val="28"/>
          <w:szCs w:val="28"/>
        </w:rPr>
        <w:tab/>
      </w:r>
      <w:r>
        <w:rPr>
          <w:sz w:val="28"/>
          <w:szCs w:val="28"/>
        </w:rPr>
        <w:fldChar w:fldCharType="begin"/>
      </w:r>
      <w:r>
        <w:rPr>
          <w:sz w:val="28"/>
          <w:szCs w:val="28"/>
        </w:rPr>
        <w:instrText xml:space="preserve"> PAGEREF _Toc3862 \h </w:instrText>
      </w:r>
      <w:r>
        <w:rPr>
          <w:sz w:val="28"/>
          <w:szCs w:val="28"/>
        </w:rPr>
        <w:fldChar w:fldCharType="separate"/>
      </w:r>
      <w:r>
        <w:rPr>
          <w:sz w:val="28"/>
          <w:szCs w:val="28"/>
        </w:rPr>
        <w:t>17</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_Toc31712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（六） 建设“双化协同”的生态环境新高地</w:t>
      </w:r>
      <w:r>
        <w:rPr>
          <w:sz w:val="28"/>
          <w:szCs w:val="28"/>
        </w:rPr>
        <w:tab/>
      </w:r>
      <w:r>
        <w:rPr>
          <w:sz w:val="28"/>
          <w:szCs w:val="28"/>
        </w:rPr>
        <w:fldChar w:fldCharType="begin"/>
      </w:r>
      <w:r>
        <w:rPr>
          <w:sz w:val="28"/>
          <w:szCs w:val="28"/>
        </w:rPr>
        <w:instrText xml:space="preserve"> PAGEREF _Toc31712 \h </w:instrText>
      </w:r>
      <w:r>
        <w:rPr>
          <w:sz w:val="28"/>
          <w:szCs w:val="28"/>
        </w:rPr>
        <w:fldChar w:fldCharType="separate"/>
      </w:r>
      <w:r>
        <w:rPr>
          <w:sz w:val="28"/>
          <w:szCs w:val="28"/>
        </w:rPr>
        <w:t>20</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_Toc1523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（七） 提升“一网协同”的数字机关新体验</w:t>
      </w:r>
      <w:r>
        <w:rPr>
          <w:sz w:val="28"/>
          <w:szCs w:val="28"/>
        </w:rPr>
        <w:tab/>
      </w:r>
      <w:r>
        <w:rPr>
          <w:sz w:val="28"/>
          <w:szCs w:val="28"/>
        </w:rPr>
        <w:fldChar w:fldCharType="begin"/>
      </w:r>
      <w:r>
        <w:rPr>
          <w:sz w:val="28"/>
          <w:szCs w:val="28"/>
        </w:rPr>
        <w:instrText xml:space="preserve"> PAGEREF _Toc1523 \h </w:instrText>
      </w:r>
      <w:r>
        <w:rPr>
          <w:sz w:val="28"/>
          <w:szCs w:val="28"/>
        </w:rPr>
        <w:fldChar w:fldCharType="separate"/>
      </w:r>
      <w:r>
        <w:rPr>
          <w:sz w:val="28"/>
          <w:szCs w:val="28"/>
        </w:rPr>
        <w:t>21</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_Toc18645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（八） 增强“人工智能+”的创新发展新动能</w:t>
      </w:r>
      <w:r>
        <w:rPr>
          <w:sz w:val="28"/>
          <w:szCs w:val="28"/>
        </w:rPr>
        <w:tab/>
      </w:r>
      <w:r>
        <w:rPr>
          <w:sz w:val="28"/>
          <w:szCs w:val="28"/>
        </w:rPr>
        <w:fldChar w:fldCharType="begin"/>
      </w:r>
      <w:r>
        <w:rPr>
          <w:sz w:val="28"/>
          <w:szCs w:val="28"/>
        </w:rPr>
        <w:instrText xml:space="preserve"> PAGEREF _Toc18645 \h </w:instrText>
      </w:r>
      <w:r>
        <w:rPr>
          <w:sz w:val="28"/>
          <w:szCs w:val="28"/>
        </w:rPr>
        <w:fldChar w:fldCharType="separate"/>
      </w:r>
      <w:r>
        <w:rPr>
          <w:sz w:val="28"/>
          <w:szCs w:val="28"/>
        </w:rPr>
        <w:t>22</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5"/>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_Toc9616 </w:instrText>
      </w:r>
      <w:r>
        <w:rPr>
          <w:rFonts w:hint="eastAsia" w:ascii="仿宋_GB2312" w:hAnsi="仿宋_GB2312" w:eastAsia="仿宋_GB2312" w:cs="仿宋_GB2312"/>
          <w:sz w:val="28"/>
          <w:szCs w:val="28"/>
          <w:lang w:bidi="ar-SA"/>
        </w:rPr>
        <w:fldChar w:fldCharType="separate"/>
      </w:r>
      <w:r>
        <w:rPr>
          <w:rFonts w:hint="eastAsia" w:ascii="黑体" w:hAnsi="黑体" w:eastAsia="黑体" w:cs="黑体"/>
          <w:bCs w:val="0"/>
          <w:kern w:val="0"/>
          <w:sz w:val="28"/>
          <w:szCs w:val="28"/>
          <w:lang w:val="en-US" w:eastAsia="zh-CN" w:bidi="zh-CN"/>
        </w:rPr>
        <w:t>七、 保障措施</w:t>
      </w:r>
      <w:r>
        <w:rPr>
          <w:sz w:val="28"/>
          <w:szCs w:val="28"/>
        </w:rPr>
        <w:tab/>
      </w:r>
      <w:r>
        <w:rPr>
          <w:sz w:val="28"/>
          <w:szCs w:val="28"/>
        </w:rPr>
        <w:fldChar w:fldCharType="begin"/>
      </w:r>
      <w:r>
        <w:rPr>
          <w:sz w:val="28"/>
          <w:szCs w:val="28"/>
        </w:rPr>
        <w:instrText xml:space="preserve"> PAGEREF _Toc9616 \h </w:instrText>
      </w:r>
      <w:r>
        <w:rPr>
          <w:sz w:val="28"/>
          <w:szCs w:val="28"/>
        </w:rPr>
        <w:fldChar w:fldCharType="separate"/>
      </w:r>
      <w:r>
        <w:rPr>
          <w:sz w:val="28"/>
          <w:szCs w:val="28"/>
        </w:rPr>
        <w:t>23</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_Toc1325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（一） 完善组织机制</w:t>
      </w:r>
      <w:r>
        <w:rPr>
          <w:sz w:val="28"/>
          <w:szCs w:val="28"/>
        </w:rPr>
        <w:tab/>
      </w:r>
      <w:r>
        <w:rPr>
          <w:sz w:val="28"/>
          <w:szCs w:val="28"/>
        </w:rPr>
        <w:fldChar w:fldCharType="begin"/>
      </w:r>
      <w:r>
        <w:rPr>
          <w:sz w:val="28"/>
          <w:szCs w:val="28"/>
        </w:rPr>
        <w:instrText xml:space="preserve"> PAGEREF _Toc1325 \h </w:instrText>
      </w:r>
      <w:r>
        <w:rPr>
          <w:sz w:val="28"/>
          <w:szCs w:val="28"/>
        </w:rPr>
        <w:fldChar w:fldCharType="separate"/>
      </w:r>
      <w:r>
        <w:rPr>
          <w:sz w:val="28"/>
          <w:szCs w:val="28"/>
        </w:rPr>
        <w:t>23</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_Toc4890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（二） 筑牢安全保障</w:t>
      </w:r>
      <w:r>
        <w:rPr>
          <w:sz w:val="28"/>
          <w:szCs w:val="28"/>
        </w:rPr>
        <w:tab/>
      </w:r>
      <w:r>
        <w:rPr>
          <w:sz w:val="28"/>
          <w:szCs w:val="28"/>
        </w:rPr>
        <w:fldChar w:fldCharType="begin"/>
      </w:r>
      <w:r>
        <w:rPr>
          <w:sz w:val="28"/>
          <w:szCs w:val="28"/>
        </w:rPr>
        <w:instrText xml:space="preserve"> PAGEREF _Toc4890 \h </w:instrText>
      </w:r>
      <w:r>
        <w:rPr>
          <w:sz w:val="28"/>
          <w:szCs w:val="28"/>
        </w:rPr>
        <w:fldChar w:fldCharType="separate"/>
      </w:r>
      <w:r>
        <w:rPr>
          <w:sz w:val="28"/>
          <w:szCs w:val="28"/>
        </w:rPr>
        <w:t>23</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_Toc30832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（三） 健全标准规范</w:t>
      </w:r>
      <w:r>
        <w:rPr>
          <w:sz w:val="28"/>
          <w:szCs w:val="28"/>
        </w:rPr>
        <w:tab/>
      </w:r>
      <w:r>
        <w:rPr>
          <w:sz w:val="28"/>
          <w:szCs w:val="28"/>
        </w:rPr>
        <w:fldChar w:fldCharType="begin"/>
      </w:r>
      <w:r>
        <w:rPr>
          <w:sz w:val="28"/>
          <w:szCs w:val="28"/>
        </w:rPr>
        <w:instrText xml:space="preserve"> PAGEREF _Toc30832 \h </w:instrText>
      </w:r>
      <w:r>
        <w:rPr>
          <w:sz w:val="28"/>
          <w:szCs w:val="28"/>
        </w:rPr>
        <w:fldChar w:fldCharType="separate"/>
      </w:r>
      <w:r>
        <w:rPr>
          <w:sz w:val="28"/>
          <w:szCs w:val="28"/>
        </w:rPr>
        <w:t>24</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_Toc6859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（四） 构建创新生态</w:t>
      </w:r>
      <w:r>
        <w:rPr>
          <w:sz w:val="28"/>
          <w:szCs w:val="28"/>
        </w:rPr>
        <w:tab/>
      </w:r>
      <w:r>
        <w:rPr>
          <w:sz w:val="28"/>
          <w:szCs w:val="28"/>
        </w:rPr>
        <w:fldChar w:fldCharType="begin"/>
      </w:r>
      <w:r>
        <w:rPr>
          <w:sz w:val="28"/>
          <w:szCs w:val="28"/>
        </w:rPr>
        <w:instrText xml:space="preserve"> PAGEREF _Toc6859 \h </w:instrText>
      </w:r>
      <w:r>
        <w:rPr>
          <w:sz w:val="28"/>
          <w:szCs w:val="28"/>
        </w:rPr>
        <w:fldChar w:fldCharType="separate"/>
      </w:r>
      <w:r>
        <w:rPr>
          <w:sz w:val="28"/>
          <w:szCs w:val="28"/>
        </w:rPr>
        <w:t>24</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pStyle w:val="16"/>
        <w:tabs>
          <w:tab w:val="right" w:leader="dot" w:pos="8844"/>
        </w:tabs>
        <w:rPr>
          <w:sz w:val="28"/>
          <w:szCs w:val="28"/>
        </w:rPr>
      </w:pPr>
      <w:r>
        <w:rPr>
          <w:rFonts w:hint="eastAsia" w:ascii="仿宋_GB2312" w:hAnsi="仿宋_GB2312" w:eastAsia="仿宋_GB2312" w:cs="仿宋_GB2312"/>
          <w:color w:val="auto"/>
          <w:sz w:val="28"/>
          <w:szCs w:val="28"/>
          <w:lang w:bidi="ar-SA"/>
        </w:rPr>
        <w:fldChar w:fldCharType="begin"/>
      </w:r>
      <w:r>
        <w:rPr>
          <w:rFonts w:hint="eastAsia" w:ascii="仿宋_GB2312" w:hAnsi="仿宋_GB2312" w:eastAsia="仿宋_GB2312" w:cs="仿宋_GB2312"/>
          <w:sz w:val="28"/>
          <w:szCs w:val="28"/>
          <w:lang w:bidi="ar-SA"/>
        </w:rPr>
        <w:instrText xml:space="preserve"> HYPERLINK \l _Toc32152 </w:instrText>
      </w:r>
      <w:r>
        <w:rPr>
          <w:rFonts w:hint="eastAsia" w:ascii="仿宋_GB2312" w:hAnsi="仿宋_GB2312" w:eastAsia="仿宋_GB2312" w:cs="仿宋_GB2312"/>
          <w:sz w:val="28"/>
          <w:szCs w:val="28"/>
          <w:lang w:bidi="ar-SA"/>
        </w:rPr>
        <w:fldChar w:fldCharType="separate"/>
      </w:r>
      <w:r>
        <w:rPr>
          <w:rFonts w:hint="eastAsia" w:ascii="楷体_GB2312" w:hAnsi="楷体" w:eastAsia="楷体_GB2312" w:cs="宋体"/>
          <w:bCs w:val="0"/>
          <w:spacing w:val="2"/>
          <w:w w:val="99"/>
          <w:kern w:val="0"/>
          <w:sz w:val="28"/>
          <w:szCs w:val="28"/>
          <w:lang w:val="en-US" w:eastAsia="zh-CN" w:bidi="zh-CN"/>
        </w:rPr>
        <w:t>（五） 培育数智素养</w:t>
      </w:r>
      <w:r>
        <w:rPr>
          <w:sz w:val="28"/>
          <w:szCs w:val="28"/>
        </w:rPr>
        <w:tab/>
      </w:r>
      <w:r>
        <w:rPr>
          <w:sz w:val="28"/>
          <w:szCs w:val="28"/>
        </w:rPr>
        <w:fldChar w:fldCharType="begin"/>
      </w:r>
      <w:r>
        <w:rPr>
          <w:sz w:val="28"/>
          <w:szCs w:val="28"/>
        </w:rPr>
        <w:instrText xml:space="preserve"> PAGEREF _Toc32152 \h </w:instrText>
      </w:r>
      <w:r>
        <w:rPr>
          <w:sz w:val="28"/>
          <w:szCs w:val="28"/>
        </w:rPr>
        <w:fldChar w:fldCharType="separate"/>
      </w:r>
      <w:r>
        <w:rPr>
          <w:sz w:val="28"/>
          <w:szCs w:val="28"/>
        </w:rPr>
        <w:t>24</w:t>
      </w:r>
      <w:r>
        <w:rPr>
          <w:sz w:val="28"/>
          <w:szCs w:val="28"/>
        </w:rPr>
        <w:fldChar w:fldCharType="end"/>
      </w:r>
      <w:r>
        <w:rPr>
          <w:rFonts w:hint="eastAsia" w:ascii="仿宋_GB2312" w:hAnsi="仿宋_GB2312" w:eastAsia="仿宋_GB2312" w:cs="仿宋_GB2312"/>
          <w:color w:val="auto"/>
          <w:sz w:val="28"/>
          <w:szCs w:val="28"/>
          <w:lang w:bidi="ar-SA"/>
        </w:rPr>
        <w:fldChar w:fldCharType="end"/>
      </w:r>
    </w:p>
    <w:p>
      <w:pPr>
        <w:spacing w:beforeAutospacing="0" w:afterAutospacing="0" w:line="560" w:lineRule="exact"/>
        <w:ind w:firstLine="560" w:firstLineChars="200"/>
        <w:rPr>
          <w:rFonts w:hint="eastAsia" w:ascii="仿宋_GB2312" w:hAnsi="仿宋_GB2312" w:eastAsia="仿宋_GB2312" w:cs="仿宋_GB2312"/>
          <w:color w:val="auto"/>
          <w:sz w:val="28"/>
          <w:szCs w:val="24"/>
          <w:lang w:bidi="ar-SA"/>
        </w:rPr>
        <w:sectPr>
          <w:pgSz w:w="11905" w:h="16838"/>
          <w:pgMar w:top="2098" w:right="1474" w:bottom="1984" w:left="1587" w:header="850" w:footer="992" w:gutter="0"/>
          <w:pgNumType w:fmt="numberInDash" w:start="1"/>
          <w:cols w:space="0" w:num="1"/>
          <w:rtlGutter w:val="1"/>
          <w:docGrid w:type="lines" w:linePitch="327" w:charSpace="0"/>
        </w:sectPr>
      </w:pPr>
      <w:r>
        <w:rPr>
          <w:rFonts w:hint="eastAsia" w:ascii="仿宋_GB2312" w:hAnsi="仿宋_GB2312" w:eastAsia="仿宋_GB2312" w:cs="仿宋_GB2312"/>
          <w:color w:val="auto"/>
          <w:sz w:val="28"/>
          <w:szCs w:val="28"/>
          <w:lang w:bidi="ar-SA"/>
        </w:rPr>
        <w:fldChar w:fldCharType="end"/>
      </w:r>
    </w:p>
    <w:p>
      <w:pPr>
        <w:spacing w:beforeAutospacing="0" w:afterAutospacing="0" w:line="560" w:lineRule="exact"/>
        <w:ind w:firstLine="640" w:firstLineChars="200"/>
        <w:rPr>
          <w:rFonts w:hint="eastAsia" w:ascii="仿宋_GB2312" w:hAnsi="仿宋_GB2312" w:eastAsia="仿宋_GB2312" w:cs="仿宋_GB2312"/>
          <w:color w:val="auto"/>
          <w:spacing w:val="0"/>
          <w:sz w:val="32"/>
          <w:szCs w:val="32"/>
          <w:lang w:bidi="ar-SA"/>
        </w:rPr>
      </w:pPr>
      <w:r>
        <w:rPr>
          <w:rFonts w:hint="eastAsia" w:ascii="仿宋_GB2312" w:hAnsi="仿宋_GB2312" w:eastAsia="仿宋_GB2312" w:cs="仿宋_GB2312"/>
          <w:color w:val="auto"/>
          <w:sz w:val="32"/>
          <w:szCs w:val="32"/>
          <w:lang w:val="en-US" w:eastAsia="zh-CN" w:bidi="ar-SA"/>
        </w:rPr>
        <w:t>深入贯彻落实建设网络强国、数字中国等战略部署，紧抓新一轮科技革命和产业变革重大机遇，高水平建设好首都城市西大门，以数据赋能石景山区经济社会高质量发展，加快推进城市全域数字化转型，根据《中共中央国务院关于构建数据基础制度更好发挥数据要素作用的意见》《关于深化智慧城市发展推进城市全域数字化转型的指导意见》《“十五五”时期“数智北京”发展规划</w:t>
      </w:r>
      <w:r>
        <w:rPr>
          <w:rFonts w:ascii="仿宋_GB2312" w:hAnsi="仿宋_GB2312" w:eastAsia="仿宋_GB2312" w:cs="仿宋_GB2312"/>
          <w:color w:val="auto"/>
          <w:sz w:val="32"/>
          <w:szCs w:val="32"/>
          <w:lang w:val="en-US" w:eastAsia="zh-CN" w:bidi="ar-SA"/>
        </w:rPr>
        <w:t>（征求意见稿）</w:t>
      </w:r>
      <w:r>
        <w:rPr>
          <w:rFonts w:hint="eastAsia" w:ascii="仿宋_GB2312" w:hAnsi="仿宋_GB2312" w:eastAsia="仿宋_GB2312" w:cs="仿宋_GB2312"/>
          <w:color w:val="auto"/>
          <w:sz w:val="32"/>
          <w:szCs w:val="32"/>
          <w:lang w:val="en-US" w:eastAsia="zh-CN" w:bidi="ar-SA"/>
        </w:rPr>
        <w:t>》</w:t>
      </w:r>
      <w:r>
        <w:rPr>
          <w:rFonts w:ascii="仿宋_GB2312" w:hAnsi="仿宋_GB2312" w:eastAsia="仿宋_GB2312" w:cs="仿宋_GB2312"/>
          <w:color w:val="auto"/>
          <w:sz w:val="32"/>
          <w:szCs w:val="32"/>
          <w:lang w:val="en-US" w:eastAsia="zh-CN" w:bidi="ar-SA"/>
        </w:rPr>
        <w:t>《北京市石景山区国民经济和社会发展第十五个五年规划纲要</w:t>
      </w:r>
      <w:r>
        <w:rPr>
          <w:rFonts w:hint="eastAsia" w:ascii="仿宋_GB2312" w:hAnsi="仿宋_GB2312" w:eastAsia="仿宋_GB2312" w:cs="仿宋_GB2312"/>
          <w:color w:val="auto"/>
          <w:sz w:val="32"/>
          <w:szCs w:val="32"/>
          <w:lang w:val="en-US" w:eastAsia="zh-CN" w:bidi="ar-SA"/>
        </w:rPr>
        <w:t>（审议稿）</w:t>
      </w:r>
      <w:r>
        <w:rPr>
          <w:rFonts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sz w:val="32"/>
          <w:szCs w:val="32"/>
          <w:lang w:val="en-US" w:eastAsia="zh-CN" w:bidi="ar-SA"/>
        </w:rPr>
        <w:t>等，结合石景山区实际情况，制定本规划。</w:t>
      </w:r>
    </w:p>
    <w:p>
      <w:pPr>
        <w:pStyle w:val="4"/>
        <w:keepNext w:val="0"/>
        <w:keepLines w:val="0"/>
        <w:pageBreakBefore w:val="0"/>
        <w:widowControl w:val="0"/>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val="0"/>
          <w:color w:val="auto"/>
          <w:kern w:val="0"/>
          <w:sz w:val="32"/>
          <w:szCs w:val="32"/>
          <w:lang w:val="en-US" w:eastAsia="zh-CN" w:bidi="zh-CN"/>
        </w:rPr>
      </w:pPr>
      <w:bookmarkStart w:id="14" w:name="_Toc2550"/>
      <w:bookmarkStart w:id="15" w:name="_Toc7242"/>
      <w:bookmarkStart w:id="16" w:name="_Toc24759"/>
      <w:bookmarkStart w:id="17" w:name="_Toc17297"/>
      <w:bookmarkStart w:id="18" w:name="_Toc12927"/>
      <w:bookmarkStart w:id="19" w:name="_Toc29390"/>
      <w:bookmarkStart w:id="20" w:name="_Toc62413971"/>
      <w:bookmarkStart w:id="21" w:name="_Toc10454"/>
      <w:bookmarkStart w:id="22" w:name="_Toc3231"/>
      <w:bookmarkStart w:id="23" w:name="_Toc19017"/>
      <w:r>
        <w:rPr>
          <w:rFonts w:hint="eastAsia" w:ascii="黑体" w:hAnsi="黑体" w:eastAsia="黑体" w:cs="黑体"/>
          <w:b w:val="0"/>
          <w:bCs w:val="0"/>
          <w:color w:val="auto"/>
          <w:kern w:val="0"/>
          <w:sz w:val="32"/>
          <w:szCs w:val="32"/>
          <w:lang w:val="en-US" w:eastAsia="zh-CN" w:bidi="zh-CN"/>
        </w:rPr>
        <w:t>一、现状与形势</w:t>
      </w:r>
      <w:bookmarkEnd w:id="14"/>
      <w:bookmarkEnd w:id="15"/>
      <w:bookmarkEnd w:id="16"/>
      <w:bookmarkEnd w:id="17"/>
      <w:bookmarkEnd w:id="18"/>
      <w:bookmarkEnd w:id="19"/>
      <w:bookmarkEnd w:id="20"/>
      <w:bookmarkEnd w:id="21"/>
      <w:bookmarkEnd w:id="22"/>
      <w:bookmarkEnd w:id="23"/>
    </w:p>
    <w:p>
      <w:pPr>
        <w:keepNext w:val="0"/>
        <w:keepLines w:val="0"/>
        <w:pageBreakBefore w:val="0"/>
        <w:widowControl/>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color w:val="auto"/>
          <w:sz w:val="32"/>
          <w:szCs w:val="32"/>
          <w:lang w:eastAsia="zh-CN" w:bidi="ar-SA"/>
        </w:rPr>
      </w:pPr>
      <w:r>
        <w:rPr>
          <w:rFonts w:hint="eastAsia" w:ascii="仿宋_GB2312" w:hAnsi="仿宋_GB2312" w:eastAsia="仿宋_GB2312" w:cs="仿宋_GB2312"/>
          <w:color w:val="auto"/>
          <w:sz w:val="32"/>
          <w:szCs w:val="32"/>
          <w:lang w:val="en-US" w:eastAsia="zh-CN" w:bidi="ar-SA"/>
        </w:rPr>
        <w:t>“十四五”以来，石景山区深入贯彻党的二十大和二十届二中、三中、四中全会精神，全面落实习近平总书记对北京重要讲话精神，积极应对大数据发展形势，充分发挥石景山区既有优势，加快推进智慧城市建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ascii="楷体_GB2312" w:hAnsi="Times New Roman" w:eastAsia="楷体_GB2312" w:cs="楷体_GB2312"/>
          <w:color w:val="auto"/>
          <w:kern w:val="0"/>
          <w:sz w:val="32"/>
          <w:szCs w:val="32"/>
          <w:lang w:val="en-US" w:eastAsia="zh-CN" w:bidi="ar-SA"/>
        </w:rPr>
      </w:pPr>
      <w:bookmarkStart w:id="24" w:name="_Toc13091"/>
      <w:bookmarkStart w:id="25" w:name="_Toc24910"/>
      <w:bookmarkStart w:id="26" w:name="_Toc19790"/>
      <w:bookmarkStart w:id="27" w:name="_Toc9684"/>
      <w:bookmarkStart w:id="28" w:name="_Toc31819"/>
      <w:bookmarkStart w:id="29" w:name="_Toc13088"/>
      <w:bookmarkStart w:id="30" w:name="_Toc21699"/>
      <w:bookmarkStart w:id="31" w:name="_Toc32564"/>
      <w:bookmarkStart w:id="32" w:name="_Toc62413972"/>
      <w:bookmarkStart w:id="33" w:name="_Toc14396"/>
      <w:r>
        <w:rPr>
          <w:rFonts w:hint="eastAsia" w:ascii="楷体_GB2312" w:hAnsi="Times New Roman" w:eastAsia="楷体_GB2312" w:cs="楷体_GB2312"/>
          <w:color w:val="auto"/>
          <w:kern w:val="0"/>
          <w:sz w:val="32"/>
          <w:szCs w:val="32"/>
          <w:lang w:val="en-US" w:eastAsia="zh-CN" w:bidi="ar-SA"/>
        </w:rPr>
        <w:t>（一）发展</w:t>
      </w:r>
      <w:bookmarkEnd w:id="24"/>
      <w:bookmarkEnd w:id="25"/>
      <w:bookmarkEnd w:id="26"/>
      <w:bookmarkEnd w:id="27"/>
      <w:r>
        <w:rPr>
          <w:rFonts w:hint="eastAsia" w:ascii="楷体_GB2312" w:eastAsia="楷体_GB2312" w:cs="楷体_GB2312"/>
          <w:color w:val="auto"/>
          <w:kern w:val="0"/>
          <w:sz w:val="32"/>
          <w:szCs w:val="32"/>
          <w:lang w:val="en-US" w:eastAsia="zh-CN" w:bidi="ar-SA"/>
        </w:rPr>
        <w:t>成就</w:t>
      </w:r>
      <w:bookmarkEnd w:id="28"/>
      <w:bookmarkEnd w:id="29"/>
      <w:bookmarkEnd w:id="30"/>
      <w:bookmarkEnd w:id="31"/>
      <w:bookmarkEnd w:id="32"/>
      <w:bookmarkEnd w:id="33"/>
    </w:p>
    <w:p>
      <w:pPr>
        <w:keepNext w:val="0"/>
        <w:keepLines w:val="0"/>
        <w:pageBreakBefore w:val="0"/>
        <w:widowControl w:val="0"/>
        <w:kinsoku/>
        <w:wordWrap/>
        <w:overflowPunct/>
        <w:topLinePunct w:val="0"/>
        <w:autoSpaceDE/>
        <w:autoSpaceDN/>
        <w:bidi w:val="0"/>
        <w:adjustRightInd/>
        <w:snapToGrid/>
        <w:spacing w:line="560" w:lineRule="exact"/>
        <w:ind w:left="635" w:firstLine="0"/>
        <w:textAlignment w:val="auto"/>
        <w:outlineLvl w:val="2"/>
        <w:rPr>
          <w:rFonts w:hint="eastAsia" w:ascii="仿宋_GB2312" w:hAnsi="仿宋_GB2312" w:eastAsia="仿宋_GB2312" w:cs="仿宋_GB2312"/>
          <w:b/>
          <w:bCs/>
          <w:color w:val="auto"/>
          <w:sz w:val="32"/>
          <w:szCs w:val="32"/>
          <w:lang w:val="en-US" w:eastAsia="zh-CN" w:bidi="ar-SA"/>
        </w:rPr>
      </w:pPr>
      <w:bookmarkStart w:id="34" w:name="_Toc14969"/>
      <w:bookmarkStart w:id="35" w:name="_Toc15856"/>
      <w:r>
        <w:rPr>
          <w:rFonts w:hint="eastAsia" w:ascii="仿宋_GB2312" w:hAnsi="仿宋_GB2312" w:eastAsia="仿宋_GB2312" w:cs="仿宋_GB2312"/>
          <w:b/>
          <w:bCs/>
          <w:color w:val="auto"/>
          <w:sz w:val="32"/>
          <w:szCs w:val="32"/>
          <w:lang w:val="en-US" w:eastAsia="zh-CN" w:bidi="ar-SA"/>
        </w:rPr>
        <w:t>1.“统分结合”</w:t>
      </w:r>
      <w:r>
        <w:rPr>
          <w:rFonts w:ascii="仿宋_GB2312" w:hAnsi="仿宋_GB2312" w:eastAsia="仿宋_GB2312" w:cs="仿宋_GB2312"/>
          <w:b/>
          <w:bCs/>
          <w:color w:val="auto"/>
          <w:sz w:val="32"/>
          <w:szCs w:val="32"/>
          <w:lang w:val="en-US" w:eastAsia="zh-CN" w:bidi="ar-SA"/>
        </w:rPr>
        <w:t>持续</w:t>
      </w:r>
      <w:r>
        <w:rPr>
          <w:rFonts w:hint="eastAsia" w:ascii="仿宋_GB2312" w:hAnsi="仿宋_GB2312" w:eastAsia="仿宋_GB2312" w:cs="仿宋_GB2312"/>
          <w:b/>
          <w:bCs/>
          <w:color w:val="auto"/>
          <w:sz w:val="32"/>
          <w:szCs w:val="32"/>
          <w:lang w:val="en-US" w:eastAsia="zh-CN" w:bidi="ar-SA"/>
        </w:rPr>
        <w:t>加大统筹管理力度</w:t>
      </w:r>
      <w:bookmarkEnd w:id="34"/>
      <w:bookmarkEnd w:id="35"/>
    </w:p>
    <w:p>
      <w:pPr>
        <w:pStyle w:val="10"/>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在区大数据工作推进小组统筹下推进全区智慧城市建设，试点首席数据官制度，不断完善数据工作组织架构。落实北京市智慧城市控规要求，出台《石景山区“十四五”时期智慧城市建设要求（试行）》。修订政府投资信息化项目评审管理办法，建立健全信息化项目全生命周期管理</w:t>
      </w:r>
      <w:r>
        <w:rPr>
          <w:rFonts w:ascii="仿宋_GB2312" w:hAnsi="仿宋_GB2312" w:eastAsia="仿宋_GB2312" w:cs="仿宋_GB2312"/>
          <w:color w:val="auto"/>
          <w:sz w:val="32"/>
          <w:szCs w:val="32"/>
          <w:lang w:val="en-US" w:eastAsia="zh-CN" w:bidi="ar-SA"/>
        </w:rPr>
        <w:t>制度</w:t>
      </w:r>
      <w:r>
        <w:rPr>
          <w:rFonts w:hint="eastAsia" w:ascii="仿宋_GB2312" w:hAnsi="仿宋_GB2312" w:eastAsia="仿宋_GB2312" w:cs="仿宋_GB2312"/>
          <w:color w:val="auto"/>
          <w:sz w:val="32"/>
          <w:szCs w:val="32"/>
          <w:lang w:val="en-US" w:eastAsia="zh-CN" w:bidi="ar-SA"/>
        </w:rPr>
        <w:t>。</w:t>
      </w:r>
    </w:p>
    <w:p>
      <w:pPr>
        <w:keepNext w:val="0"/>
        <w:keepLines w:val="0"/>
        <w:pageBreakBefore w:val="0"/>
        <w:widowControl w:val="0"/>
        <w:tabs>
          <w:tab w:val="left" w:pos="7006"/>
        </w:tabs>
        <w:kinsoku/>
        <w:wordWrap/>
        <w:overflowPunct/>
        <w:topLinePunct w:val="0"/>
        <w:autoSpaceDE/>
        <w:autoSpaceDN/>
        <w:bidi w:val="0"/>
        <w:adjustRightInd/>
        <w:snapToGrid/>
        <w:spacing w:line="560" w:lineRule="exact"/>
        <w:ind w:left="635" w:firstLine="0"/>
        <w:textAlignment w:val="auto"/>
        <w:outlineLvl w:val="2"/>
        <w:rPr>
          <w:rFonts w:hint="eastAsia" w:ascii="Times New Roman" w:hAnsi="Times New Roman" w:eastAsia="仿宋_GB2312"/>
          <w:b/>
          <w:bCs/>
          <w:color w:val="auto"/>
          <w:sz w:val="32"/>
          <w:szCs w:val="32"/>
          <w:lang w:eastAsia="zh-CN"/>
        </w:rPr>
      </w:pPr>
      <w:bookmarkStart w:id="36" w:name="_Toc15503"/>
      <w:bookmarkStart w:id="37" w:name="_Toc29008"/>
      <w:bookmarkStart w:id="38" w:name="_Toc1445"/>
      <w:r>
        <w:rPr>
          <w:rFonts w:hint="eastAsia" w:ascii="仿宋_GB2312" w:hAnsi="仿宋_GB2312" w:eastAsia="仿宋_GB2312" w:cs="仿宋_GB2312"/>
          <w:b/>
          <w:bCs/>
          <w:color w:val="auto"/>
          <w:sz w:val="32"/>
          <w:szCs w:val="32"/>
          <w:lang w:val="en-US" w:eastAsia="zh-CN" w:bidi="ar-SA"/>
        </w:rPr>
        <w:t>2.</w:t>
      </w:r>
      <w:r>
        <w:rPr>
          <w:rFonts w:hint="eastAsia" w:ascii="Times New Roman" w:hAnsi="Times New Roman" w:eastAsia="仿宋_GB2312"/>
          <w:b/>
          <w:bCs/>
          <w:color w:val="auto"/>
          <w:sz w:val="32"/>
          <w:szCs w:val="32"/>
        </w:rPr>
        <w:t>“统筹集约”</w:t>
      </w:r>
      <w:r>
        <w:rPr>
          <w:rFonts w:ascii="Times New Roman" w:hAnsi="Times New Roman" w:eastAsia="仿宋_GB2312"/>
          <w:b/>
          <w:bCs/>
          <w:color w:val="auto"/>
          <w:sz w:val="32"/>
          <w:szCs w:val="32"/>
        </w:rPr>
        <w:t>稳步夯实</w:t>
      </w:r>
      <w:r>
        <w:rPr>
          <w:rFonts w:hint="eastAsia" w:ascii="Times New Roman" w:hAnsi="Times New Roman" w:eastAsia="仿宋_GB2312"/>
          <w:b/>
          <w:bCs/>
          <w:color w:val="auto"/>
          <w:sz w:val="32"/>
          <w:szCs w:val="32"/>
        </w:rPr>
        <w:t>数字基础设施</w:t>
      </w:r>
      <w:r>
        <w:rPr>
          <w:rFonts w:hint="eastAsia" w:eastAsia="仿宋_GB2312"/>
          <w:b/>
          <w:bCs/>
          <w:color w:val="auto"/>
          <w:sz w:val="32"/>
          <w:szCs w:val="32"/>
          <w:lang w:eastAsia="zh-CN"/>
        </w:rPr>
        <w:tab/>
      </w:r>
    </w:p>
    <w:p>
      <w:pPr>
        <w:pStyle w:val="10"/>
        <w:keepNext w:val="0"/>
        <w:keepLines w:val="0"/>
        <w:pageBreakBefore w:val="0"/>
        <w:widowControl w:val="0"/>
        <w:kinsoku/>
        <w:wordWrap/>
        <w:overflowPunct/>
        <w:topLinePunct w:val="0"/>
        <w:autoSpaceDE/>
        <w:autoSpaceDN/>
        <w:adjustRightInd/>
        <w:snapToGrid/>
        <w:spacing w:line="560" w:lineRule="exact"/>
        <w:ind w:firstLine="640" w:firstLineChars="200"/>
        <w:jc w:val="both"/>
        <w:rPr>
          <w:rFonts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累计建设5G基站692座，实现全区5G网络全覆盖，建设</w:t>
      </w:r>
      <w:r>
        <w:rPr>
          <w:rFonts w:hint="eastAsia" w:ascii="仿宋_GB2312" w:eastAsia="仿宋_GB2312" w:cs="仿宋_GB2312"/>
          <w:color w:val="auto"/>
          <w:sz w:val="32"/>
          <w:szCs w:val="32"/>
          <w:lang w:val="en-US" w:eastAsia="zh-CN"/>
        </w:rPr>
        <w:t>首钢园5G智能车联网，提升冬奥出行体验</w:t>
      </w:r>
      <w:r>
        <w:rPr>
          <w:rFonts w:hint="eastAsia" w:ascii="仿宋_GB2312" w:hAnsi="仿宋_GB2312" w:eastAsia="仿宋_GB2312" w:cs="仿宋_GB2312"/>
          <w:color w:val="auto"/>
          <w:sz w:val="32"/>
          <w:szCs w:val="32"/>
          <w:lang w:val="en-US" w:eastAsia="zh-CN" w:bidi="ar-SA"/>
        </w:rPr>
        <w:t>。全区居民住宅具备千兆接入能力、商务楼宇具备万兆接入能力。电子政务外网实现区、街道、社区三级光网覆盖，核心网络达到万兆互联。</w:t>
      </w:r>
      <w:r>
        <w:rPr>
          <w:rFonts w:ascii="仿宋_GB2312" w:hAnsi="仿宋_GB2312" w:eastAsia="仿宋_GB2312" w:cs="仿宋_GB2312"/>
          <w:color w:val="auto"/>
          <w:sz w:val="32"/>
          <w:szCs w:val="32"/>
          <w:lang w:val="en-US" w:eastAsia="zh-CN" w:bidi="ar-SA"/>
        </w:rPr>
        <w:t>城市</w:t>
      </w:r>
      <w:r>
        <w:rPr>
          <w:rFonts w:hint="eastAsia" w:ascii="仿宋_GB2312" w:hAnsi="仿宋_GB2312" w:eastAsia="仿宋_GB2312" w:cs="仿宋_GB2312"/>
          <w:color w:val="auto"/>
          <w:sz w:val="32"/>
          <w:szCs w:val="32"/>
          <w:lang w:val="en-US" w:eastAsia="zh-CN" w:bidi="ar-SA"/>
        </w:rPr>
        <w:t>感知能力不断增强</w:t>
      </w:r>
      <w:r>
        <w:rPr>
          <w:rFonts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sz w:val="32"/>
          <w:szCs w:val="32"/>
          <w:lang w:val="en-US" w:eastAsia="zh-CN" w:bidi="ar-SA"/>
        </w:rPr>
        <w:t>建成区级政务云平台及国家级</w:t>
      </w:r>
      <w:r>
        <w:rPr>
          <w:rFonts w:hint="eastAsia" w:ascii="仿宋_GB2312" w:hAnsi="Times New Roman" w:eastAsia="仿宋_GB2312" w:cs="仿宋_GB2312"/>
          <w:color w:val="auto"/>
          <w:sz w:val="32"/>
          <w:szCs w:val="32"/>
        </w:rPr>
        <w:t>法治可信数据空间</w:t>
      </w:r>
      <w:r>
        <w:rPr>
          <w:rFonts w:ascii="仿宋_GB2312" w:hAnsi="Times New Roman" w:eastAsia="仿宋_GB2312" w:cs="仿宋_GB2312"/>
          <w:color w:val="auto"/>
          <w:sz w:val="32"/>
          <w:szCs w:val="32"/>
        </w:rPr>
        <w:t>。共性支撑能力</w:t>
      </w:r>
      <w:r>
        <w:rPr>
          <w:rFonts w:hint="eastAsia" w:ascii="仿宋_GB2312" w:eastAsia="仿宋_GB2312" w:cs="仿宋_GB2312"/>
          <w:color w:val="auto"/>
          <w:sz w:val="32"/>
          <w:szCs w:val="32"/>
          <w:lang w:val="en-US" w:eastAsia="zh-CN"/>
        </w:rPr>
        <w:t>不断提升</w:t>
      </w:r>
      <w:r>
        <w:rPr>
          <w:rFonts w:ascii="仿宋_GB2312" w:hAnsi="Times New Roman" w:eastAsia="仿宋_GB2312" w:cs="仿宋_GB2312"/>
          <w:color w:val="auto"/>
          <w:sz w:val="32"/>
          <w:szCs w:val="32"/>
        </w:rPr>
        <w:t>，</w:t>
      </w:r>
      <w:r>
        <w:rPr>
          <w:rFonts w:hint="eastAsia" w:ascii="仿宋_GB2312" w:hAnsi="仿宋_GB2312" w:eastAsia="仿宋_GB2312" w:cs="仿宋_GB2312"/>
          <w:color w:val="auto"/>
          <w:kern w:val="2"/>
          <w:sz w:val="32"/>
          <w:szCs w:val="32"/>
          <w:lang w:val="en-US" w:eastAsia="zh-CN" w:bidi="ar-SA"/>
        </w:rPr>
        <w:t>建</w:t>
      </w:r>
      <w:r>
        <w:rPr>
          <w:rFonts w:ascii="仿宋_GB2312" w:hAnsi="仿宋_GB2312" w:eastAsia="仿宋_GB2312" w:cs="仿宋_GB2312"/>
          <w:color w:val="auto"/>
          <w:kern w:val="2"/>
          <w:sz w:val="32"/>
          <w:szCs w:val="32"/>
          <w:lang w:val="en-US" w:eastAsia="zh-CN" w:bidi="ar-SA"/>
        </w:rPr>
        <w:t>成</w:t>
      </w:r>
      <w:r>
        <w:rPr>
          <w:rFonts w:hint="eastAsia" w:ascii="仿宋_GB2312" w:hAnsi="仿宋_GB2312" w:eastAsia="仿宋_GB2312" w:cs="仿宋_GB2312"/>
          <w:color w:val="auto"/>
          <w:kern w:val="2"/>
          <w:sz w:val="32"/>
          <w:szCs w:val="32"/>
          <w:lang w:val="en-US" w:eastAsia="zh-CN" w:bidi="ar-SA"/>
        </w:rPr>
        <w:t>区级数字孪生平台，</w:t>
      </w:r>
      <w:r>
        <w:rPr>
          <w:rFonts w:ascii="仿宋_GB2312" w:eastAsia="仿宋_GB2312" w:cs="仿宋_GB2312"/>
          <w:color w:val="auto"/>
          <w:sz w:val="32"/>
          <w:szCs w:val="32"/>
          <w:lang w:val="en-US" w:eastAsia="zh-CN"/>
        </w:rPr>
        <w:t>升级</w:t>
      </w:r>
      <w:r>
        <w:rPr>
          <w:rFonts w:hint="eastAsia" w:ascii="仿宋_GB2312" w:hAnsi="仿宋_GB2312" w:eastAsia="仿宋_GB2312" w:cs="仿宋_GB2312"/>
          <w:color w:val="auto"/>
          <w:spacing w:val="-6"/>
          <w:kern w:val="2"/>
          <w:sz w:val="32"/>
          <w:szCs w:val="32"/>
          <w:lang w:val="en-US" w:eastAsia="zh-CN"/>
        </w:rPr>
        <w:t>区级视频分析平台</w:t>
      </w:r>
      <w:r>
        <w:rPr>
          <w:rFonts w:hint="eastAsia" w:ascii="仿宋_GB2312" w:hAnsi="仿宋_GB2312" w:eastAsia="仿宋_GB2312" w:cs="仿宋_GB2312"/>
          <w:color w:val="auto"/>
          <w:kern w:val="2"/>
          <w:sz w:val="32"/>
          <w:szCs w:val="32"/>
          <w:lang w:val="en-US" w:eastAsia="zh-CN" w:bidi="ar-SA"/>
        </w:rPr>
        <w:t>和大数据平台，打造集数据汇聚、整合、治理、服务等于一体的数字资源管理和服务平台。</w:t>
      </w:r>
    </w:p>
    <w:p>
      <w:pPr>
        <w:keepNext w:val="0"/>
        <w:keepLines w:val="0"/>
        <w:pageBreakBefore w:val="0"/>
        <w:widowControl w:val="0"/>
        <w:kinsoku/>
        <w:wordWrap/>
        <w:overflowPunct/>
        <w:topLinePunct w:val="0"/>
        <w:autoSpaceDE/>
        <w:autoSpaceDN/>
        <w:bidi w:val="0"/>
        <w:adjustRightInd/>
        <w:snapToGrid/>
        <w:spacing w:line="560" w:lineRule="exact"/>
        <w:ind w:left="635" w:firstLine="0"/>
        <w:textAlignment w:val="auto"/>
        <w:outlineLvl w:val="2"/>
        <w:rPr>
          <w:rFonts w:hint="eastAsia" w:ascii="Times New Roman" w:hAnsi="Times New Roman" w:eastAsia="仿宋_GB2312" w:cs="Times New Roman"/>
          <w:b/>
          <w:bCs/>
          <w:color w:val="auto"/>
          <w:sz w:val="32"/>
          <w:szCs w:val="32"/>
          <w:lang w:val="en-US" w:eastAsia="zh-CN" w:bidi="ar-SA"/>
        </w:rPr>
      </w:pPr>
      <w:r>
        <w:rPr>
          <w:rFonts w:ascii="仿宋_GB2312" w:hAnsi="仿宋_GB2312" w:eastAsia="仿宋_GB2312" w:cs="仿宋_GB2312"/>
          <w:b/>
          <w:bCs/>
          <w:color w:val="auto"/>
          <w:sz w:val="32"/>
          <w:szCs w:val="32"/>
          <w:lang w:val="en-US" w:eastAsia="zh-CN" w:bidi="ar-SA"/>
        </w:rPr>
        <w:t>3</w:t>
      </w:r>
      <w:r>
        <w:rPr>
          <w:rFonts w:hint="eastAsia" w:ascii="仿宋_GB2312" w:hAnsi="仿宋_GB2312" w:eastAsia="仿宋_GB2312" w:cs="仿宋_GB2312"/>
          <w:b/>
          <w:bCs/>
          <w:color w:val="auto"/>
          <w:sz w:val="32"/>
          <w:szCs w:val="32"/>
          <w:lang w:val="en-US" w:eastAsia="zh-CN" w:bidi="ar-SA"/>
        </w:rPr>
        <w:t>.</w:t>
      </w:r>
      <w:r>
        <w:rPr>
          <w:rFonts w:hint="eastAsia" w:ascii="Times New Roman" w:hAnsi="Times New Roman" w:eastAsia="仿宋_GB2312" w:cs="Times New Roman"/>
          <w:b/>
          <w:bCs/>
          <w:color w:val="auto"/>
          <w:sz w:val="32"/>
          <w:szCs w:val="32"/>
          <w:lang w:val="en-US" w:eastAsia="zh-CN" w:bidi="ar-SA"/>
        </w:rPr>
        <w:t>“汇聚融通”</w:t>
      </w:r>
      <w:r>
        <w:rPr>
          <w:rFonts w:ascii="Times New Roman" w:hAnsi="Times New Roman" w:eastAsia="仿宋_GB2312" w:cs="Times New Roman"/>
          <w:b/>
          <w:bCs/>
          <w:color w:val="auto"/>
          <w:sz w:val="32"/>
          <w:szCs w:val="32"/>
          <w:lang w:val="en-US" w:eastAsia="zh-CN" w:bidi="ar-SA"/>
        </w:rPr>
        <w:t>着力完善</w:t>
      </w:r>
      <w:r>
        <w:rPr>
          <w:rFonts w:hint="eastAsia" w:ascii="Times New Roman" w:hAnsi="Times New Roman" w:eastAsia="仿宋_GB2312" w:cs="Times New Roman"/>
          <w:b/>
          <w:bCs/>
          <w:color w:val="auto"/>
          <w:sz w:val="32"/>
          <w:szCs w:val="32"/>
          <w:lang w:val="en-US" w:eastAsia="zh-CN" w:bidi="ar-SA"/>
        </w:rPr>
        <w:t>数据资源体系</w:t>
      </w:r>
      <w:bookmarkEnd w:id="36"/>
      <w:bookmarkEnd w:id="37"/>
    </w:p>
    <w:p>
      <w:pPr>
        <w:pStyle w:val="10"/>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在全市率先开展区级数据资源调查，</w:t>
      </w:r>
      <w:r>
        <w:rPr>
          <w:rFonts w:ascii="仿宋_GB2312" w:hAnsi="仿宋_GB2312" w:eastAsia="仿宋_GB2312" w:cs="仿宋_GB2312"/>
          <w:color w:val="auto"/>
          <w:sz w:val="32"/>
          <w:szCs w:val="32"/>
          <w:lang w:val="en-US" w:eastAsia="zh-CN" w:bidi="ar-SA"/>
        </w:rPr>
        <w:t>摸清全区数据家底</w:t>
      </w:r>
      <w:r>
        <w:rPr>
          <w:rFonts w:hint="eastAsia" w:ascii="仿宋_GB2312" w:hAnsi="仿宋_GB2312" w:eastAsia="仿宋_GB2312" w:cs="仿宋_GB2312"/>
          <w:color w:val="auto"/>
          <w:sz w:val="32"/>
          <w:szCs w:val="32"/>
          <w:lang w:val="en-US" w:eastAsia="zh-CN" w:bidi="ar-SA"/>
        </w:rPr>
        <w:t>。建成司法、平台经济、民航交通</w:t>
      </w:r>
      <w:r>
        <w:rPr>
          <w:rFonts w:hint="eastAsia" w:ascii="仿宋_GB2312" w:eastAsia="仿宋_GB2312" w:cs="仿宋_GB2312"/>
          <w:color w:val="auto"/>
          <w:kern w:val="2"/>
          <w:sz w:val="32"/>
          <w:szCs w:val="32"/>
          <w:lang w:val="en-US"/>
        </w:rPr>
        <w:t>3个</w:t>
      </w:r>
      <w:r>
        <w:rPr>
          <w:rFonts w:hint="eastAsia" w:ascii="仿宋_GB2312" w:eastAsia="仿宋_GB2312" w:cs="仿宋_GB2312"/>
          <w:color w:val="auto"/>
          <w:kern w:val="2"/>
          <w:sz w:val="32"/>
          <w:szCs w:val="32"/>
          <w:lang w:val="en-US" w:eastAsia="zh-CN"/>
        </w:rPr>
        <w:t>国家级高质量</w:t>
      </w:r>
      <w:r>
        <w:rPr>
          <w:rFonts w:hint="eastAsia" w:ascii="仿宋_GB2312" w:eastAsia="仿宋_GB2312" w:cs="仿宋_GB2312"/>
          <w:color w:val="auto"/>
          <w:kern w:val="2"/>
          <w:sz w:val="32"/>
          <w:szCs w:val="32"/>
          <w:lang w:val="en-US"/>
        </w:rPr>
        <w:t>数据集</w:t>
      </w:r>
      <w:r>
        <w:rPr>
          <w:rFonts w:hint="eastAsia" w:ascii="仿宋_GB2312" w:eastAsia="仿宋_GB2312" w:cs="仿宋_GB2312"/>
          <w:color w:val="auto"/>
          <w:kern w:val="2"/>
          <w:sz w:val="32"/>
          <w:szCs w:val="32"/>
          <w:lang w:val="en-US" w:eastAsia="zh-CN"/>
        </w:rPr>
        <w:t>，</w:t>
      </w:r>
      <w:r>
        <w:rPr>
          <w:rFonts w:hint="eastAsia" w:ascii="仿宋_GB2312" w:hAnsi="仿宋_GB2312" w:eastAsia="仿宋_GB2312"/>
          <w:color w:val="auto"/>
          <w:sz w:val="32"/>
          <w:szCs w:val="32"/>
          <w:lang w:val="en-US" w:eastAsia="zh-CN" w:bidi="ar-SA"/>
        </w:rPr>
        <w:t>“文博行业高质量数据集建设和应用项目”入选国家先行先试项目名单</w:t>
      </w:r>
      <w:r>
        <w:rPr>
          <w:rFonts w:hint="eastAsia" w:ascii="仿宋_GB2312" w:hAnsi="仿宋_GB2312" w:eastAsia="仿宋_GB2312" w:cs="仿宋_GB2312"/>
          <w:color w:val="auto"/>
          <w:sz w:val="32"/>
          <w:szCs w:val="32"/>
          <w:lang w:val="en-US" w:eastAsia="zh-CN" w:bidi="ar-SA"/>
        </w:rPr>
        <w:t>。区大数据平台发布5000余条政务数据资源目录，累计汇聚数据13亿条，连续四年增长超过15%。不断夯实人口、法人、时空、视图、信用和宏观经济六大基础库。共享数据9亿条，提供数据服务500万次</w:t>
      </w:r>
      <w:r>
        <w:rPr>
          <w:rFonts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sz w:val="32"/>
          <w:szCs w:val="32"/>
          <w:lang w:val="en-US" w:eastAsia="zh-CN" w:bidi="ar-SA"/>
        </w:rPr>
        <w:t>累计面向社会开放数据3100万条</w:t>
      </w:r>
      <w:r>
        <w:rPr>
          <w:rFonts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sz w:val="32"/>
          <w:szCs w:val="32"/>
          <w:lang w:val="en-US" w:eastAsia="zh-CN" w:bidi="ar-SA"/>
        </w:rPr>
        <w:t>推动人口、房屋、事件等20余类数据反哺基层。</w:t>
      </w:r>
    </w:p>
    <w:p>
      <w:pPr>
        <w:keepNext w:val="0"/>
        <w:keepLines w:val="0"/>
        <w:pageBreakBefore w:val="0"/>
        <w:widowControl w:val="0"/>
        <w:kinsoku/>
        <w:wordWrap/>
        <w:overflowPunct/>
        <w:topLinePunct w:val="0"/>
        <w:autoSpaceDE/>
        <w:autoSpaceDN/>
        <w:bidi w:val="0"/>
        <w:adjustRightInd/>
        <w:snapToGrid/>
        <w:spacing w:line="560" w:lineRule="exact"/>
        <w:ind w:left="635" w:firstLine="0"/>
        <w:textAlignment w:val="auto"/>
        <w:outlineLvl w:val="2"/>
        <w:rPr>
          <w:rFonts w:ascii="Times New Roman" w:hAnsi="Times New Roman" w:eastAsia="仿宋_GB2312" w:cs="Times New Roman"/>
          <w:b/>
          <w:bCs/>
          <w:color w:val="auto"/>
          <w:sz w:val="32"/>
          <w:szCs w:val="32"/>
          <w:lang w:val="en-US" w:eastAsia="zh-CN" w:bidi="ar-SA"/>
        </w:rPr>
      </w:pPr>
      <w:bookmarkStart w:id="39" w:name="_Toc23044"/>
      <w:bookmarkStart w:id="40" w:name="_Toc21966"/>
      <w:r>
        <w:rPr>
          <w:rFonts w:ascii="仿宋_GB2312" w:hAnsi="仿宋_GB2312" w:eastAsia="仿宋_GB2312" w:cs="仿宋_GB2312"/>
          <w:b/>
          <w:bCs/>
          <w:color w:val="auto"/>
          <w:sz w:val="32"/>
          <w:szCs w:val="32"/>
          <w:lang w:val="en-US" w:eastAsia="zh-CN" w:bidi="ar-SA"/>
        </w:rPr>
        <w:t>4</w:t>
      </w:r>
      <w:r>
        <w:rPr>
          <w:rFonts w:hint="eastAsia" w:ascii="仿宋_GB2312" w:hAnsi="仿宋_GB2312" w:eastAsia="仿宋_GB2312" w:cs="仿宋_GB2312"/>
          <w:b/>
          <w:bCs/>
          <w:color w:val="auto"/>
          <w:sz w:val="32"/>
          <w:szCs w:val="32"/>
          <w:lang w:val="en-US" w:eastAsia="zh-CN" w:bidi="ar-SA"/>
        </w:rPr>
        <w:t>.</w:t>
      </w:r>
      <w:r>
        <w:rPr>
          <w:rFonts w:hint="eastAsia" w:ascii="Times New Roman" w:hAnsi="Times New Roman" w:eastAsia="仿宋_GB2312" w:cs="Times New Roman"/>
          <w:b/>
          <w:bCs/>
          <w:color w:val="auto"/>
          <w:sz w:val="32"/>
          <w:szCs w:val="32"/>
          <w:lang w:val="en-US" w:eastAsia="zh-CN" w:bidi="ar-SA"/>
        </w:rPr>
        <w:t>“</w:t>
      </w:r>
      <w:r>
        <w:rPr>
          <w:rFonts w:hint="eastAsia" w:eastAsia="仿宋_GB2312" w:cs="Times New Roman"/>
          <w:b/>
          <w:bCs/>
          <w:color w:val="auto"/>
          <w:sz w:val="32"/>
          <w:szCs w:val="32"/>
          <w:lang w:val="en-US" w:eastAsia="zh-CN" w:bidi="ar-SA"/>
        </w:rPr>
        <w:t>应用</w:t>
      </w:r>
      <w:r>
        <w:rPr>
          <w:rFonts w:hint="eastAsia" w:ascii="Times New Roman" w:hAnsi="Times New Roman" w:eastAsia="仿宋_GB2312" w:cs="Times New Roman"/>
          <w:b/>
          <w:bCs/>
          <w:color w:val="auto"/>
          <w:sz w:val="32"/>
          <w:szCs w:val="32"/>
          <w:lang w:val="en-US" w:eastAsia="zh-CN" w:bidi="ar-SA"/>
        </w:rPr>
        <w:t>为先”</w:t>
      </w:r>
      <w:r>
        <w:rPr>
          <w:rFonts w:ascii="Times New Roman" w:hAnsi="Times New Roman" w:eastAsia="仿宋_GB2312" w:cs="Times New Roman"/>
          <w:b/>
          <w:bCs/>
          <w:color w:val="auto"/>
          <w:sz w:val="32"/>
          <w:szCs w:val="32"/>
          <w:lang w:val="en-US" w:eastAsia="zh-CN" w:bidi="ar-SA"/>
        </w:rPr>
        <w:t>全面提升数字化</w:t>
      </w:r>
      <w:bookmarkEnd w:id="39"/>
      <w:bookmarkEnd w:id="40"/>
      <w:r>
        <w:rPr>
          <w:rFonts w:eastAsia="仿宋_GB2312" w:cs="Times New Roman"/>
          <w:b/>
          <w:bCs/>
          <w:color w:val="auto"/>
          <w:sz w:val="32"/>
          <w:szCs w:val="32"/>
          <w:lang w:val="en-US" w:eastAsia="zh-CN" w:bidi="ar-SA"/>
        </w:rPr>
        <w:t>应用水平</w:t>
      </w:r>
    </w:p>
    <w:p>
      <w:pPr>
        <w:pStyle w:val="10"/>
        <w:keepNext w:val="0"/>
        <w:keepLines w:val="0"/>
        <w:pageBreakBefore w:val="0"/>
        <w:widowControl w:val="0"/>
        <w:kinsoku/>
        <w:wordWrap/>
        <w:overflowPunct/>
        <w:topLinePunct w:val="0"/>
        <w:autoSpaceDE/>
        <w:autoSpaceDN/>
        <w:adjustRightInd/>
        <w:snapToGrid/>
        <w:spacing w:line="560" w:lineRule="exact"/>
        <w:ind w:firstLine="640" w:firstLineChars="200"/>
        <w:jc w:val="both"/>
        <w:rPr>
          <w:rFonts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持续</w:t>
      </w:r>
      <w:r>
        <w:rPr>
          <w:rFonts w:ascii="仿宋_GB2312" w:hAnsi="仿宋_GB2312" w:eastAsia="仿宋_GB2312" w:cs="仿宋_GB2312"/>
          <w:color w:val="auto"/>
          <w:sz w:val="32"/>
          <w:szCs w:val="32"/>
          <w:lang w:val="en-US" w:eastAsia="zh-CN" w:bidi="ar-SA"/>
        </w:rPr>
        <w:t>优化营商环境</w:t>
      </w:r>
      <w:r>
        <w:rPr>
          <w:rFonts w:hint="eastAsia"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b w:val="0"/>
          <w:bCs w:val="0"/>
          <w:color w:val="auto"/>
          <w:sz w:val="32"/>
          <w:szCs w:val="32"/>
          <w:lang w:val="en-US" w:eastAsia="zh-CN" w:bidi="ar-SA"/>
        </w:rPr>
        <w:t>落地实施100项“高效办成一件事”场景，上线运营京通石景山旗舰店，实现企业群众办事“一码通办”，</w:t>
      </w:r>
      <w:r>
        <w:rPr>
          <w:rFonts w:hint="eastAsia" w:ascii="仿宋_GB2312" w:eastAsia="仿宋_GB2312" w:cs="仿宋_GB2312"/>
          <w:b w:val="0"/>
          <w:bCs w:val="0"/>
          <w:color w:val="auto"/>
          <w:kern w:val="2"/>
          <w:sz w:val="32"/>
          <w:szCs w:val="32"/>
          <w:lang w:val="en-US" w:eastAsia="zh-CN"/>
        </w:rPr>
        <w:t>迭代升级</w:t>
      </w:r>
      <w:r>
        <w:rPr>
          <w:rFonts w:hint="eastAsia" w:ascii="仿宋_GB2312" w:hAnsi="仿宋_GB2312" w:eastAsia="仿宋_GB2312" w:cs="仿宋_GB2312"/>
          <w:color w:val="auto"/>
          <w:sz w:val="32"/>
          <w:szCs w:val="32"/>
          <w:lang w:val="en-US" w:eastAsia="zh-CN" w:bidi="ar-SA"/>
        </w:rPr>
        <w:t>“AI石景山掌上通”平台功能，持续完善线上招商引资服务体系，</w:t>
      </w:r>
      <w:r>
        <w:rPr>
          <w:rFonts w:hint="eastAsia" w:ascii="仿宋_GB2312" w:hAnsi="仿宋_GB2312" w:eastAsia="仿宋_GB2312" w:cs="仿宋_GB2312"/>
          <w:color w:val="auto"/>
          <w:sz w:val="32"/>
          <w:szCs w:val="32"/>
        </w:rPr>
        <w:t>拓宽服务渠道、提升服务效能</w:t>
      </w:r>
      <w:r>
        <w:rPr>
          <w:rFonts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sz w:val="32"/>
          <w:szCs w:val="32"/>
          <w:lang w:val="en-US" w:eastAsia="zh-CN" w:bidi="ar-SA"/>
        </w:rPr>
        <w:t>建设</w:t>
      </w:r>
      <w:r>
        <w:rPr>
          <w:rFonts w:ascii="仿宋_GB2312" w:hAnsi="仿宋_GB2312" w:eastAsia="仿宋_GB2312" w:cs="仿宋_GB2312"/>
          <w:color w:val="auto"/>
          <w:sz w:val="32"/>
          <w:szCs w:val="32"/>
          <w:lang w:val="en-US" w:eastAsia="zh-CN" w:bidi="ar-SA"/>
        </w:rPr>
        <w:t>数字机关，</w:t>
      </w:r>
      <w:r>
        <w:rPr>
          <w:rFonts w:hint="eastAsia" w:ascii="仿宋_GB2312" w:hAnsi="仿宋_GB2312" w:eastAsia="仿宋_GB2312" w:cs="仿宋_GB2312"/>
          <w:color w:val="auto"/>
          <w:sz w:val="32"/>
          <w:szCs w:val="32"/>
          <w:lang w:val="en-US" w:eastAsia="zh-CN" w:bidi="ar-SA"/>
        </w:rPr>
        <w:t>统筹打造全区协同办公一体化平台，覆盖公文流转、会议管理、内部办事等日常办公业务场景，实现全区党政机关单位办公事务一体化、线上化、规范化运行。推进</w:t>
      </w:r>
      <w:r>
        <w:rPr>
          <w:rFonts w:ascii="仿宋_GB2312" w:hAnsi="仿宋_GB2312" w:eastAsia="仿宋_GB2312" w:cs="仿宋_GB2312"/>
          <w:color w:val="auto"/>
          <w:sz w:val="32"/>
          <w:szCs w:val="32"/>
          <w:lang w:val="en-US" w:eastAsia="zh-CN" w:bidi="ar-SA"/>
        </w:rPr>
        <w:t>城市治理现代化</w:t>
      </w:r>
      <w:r>
        <w:rPr>
          <w:rFonts w:hint="eastAsia" w:ascii="仿宋_GB2312" w:hAnsi="仿宋_GB2312" w:eastAsia="仿宋_GB2312" w:cs="仿宋_GB2312"/>
          <w:color w:val="auto"/>
          <w:sz w:val="32"/>
          <w:szCs w:val="32"/>
          <w:lang w:val="en-US" w:eastAsia="zh-CN" w:bidi="ar-SA"/>
        </w:rPr>
        <w:t>建设</w:t>
      </w:r>
      <w:r>
        <w:rPr>
          <w:rFonts w:ascii="仿宋_GB2312" w:hAnsi="仿宋_GB2312" w:eastAsia="仿宋_GB2312" w:cs="仿宋_GB2312"/>
          <w:color w:val="auto"/>
          <w:sz w:val="32"/>
          <w:szCs w:val="32"/>
          <w:lang w:val="en-US" w:eastAsia="zh-CN" w:bidi="ar-SA"/>
        </w:rPr>
        <w:t>，</w:t>
      </w:r>
      <w:r>
        <w:rPr>
          <w:rFonts w:hint="eastAsia" w:ascii="仿宋_GB2312" w:eastAsia="仿宋_GB2312" w:cs="仿宋_GB2312"/>
          <w:b w:val="0"/>
          <w:bCs w:val="0"/>
          <w:color w:val="auto"/>
          <w:kern w:val="2"/>
          <w:sz w:val="32"/>
          <w:szCs w:val="32"/>
          <w:highlight w:val="none"/>
          <w:lang w:val="en-US" w:eastAsia="zh-CN"/>
        </w:rPr>
        <w:t>非现场检查量占比超70%。不断夯实</w:t>
      </w:r>
      <w:r>
        <w:rPr>
          <w:rFonts w:hint="eastAsia" w:ascii="仿宋_GB2312" w:hAnsi="仿宋_GB2312" w:eastAsia="仿宋_GB2312" w:cs="仿宋_GB2312"/>
          <w:color w:val="auto"/>
          <w:sz w:val="32"/>
          <w:szCs w:val="32"/>
          <w:highlight w:val="none"/>
          <w:lang w:val="en-US" w:eastAsia="zh-CN" w:bidi="ar-SA"/>
        </w:rPr>
        <w:t>安</w:t>
      </w:r>
      <w:r>
        <w:rPr>
          <w:rFonts w:hint="eastAsia" w:ascii="仿宋_GB2312" w:hAnsi="仿宋_GB2312" w:eastAsia="仿宋_GB2312" w:cs="仿宋_GB2312"/>
          <w:color w:val="auto"/>
          <w:sz w:val="32"/>
          <w:szCs w:val="32"/>
          <w:lang w:val="en-US" w:eastAsia="zh-CN" w:bidi="ar-SA"/>
        </w:rPr>
        <w:t>全防控根基，</w:t>
      </w:r>
      <w:r>
        <w:rPr>
          <w:rFonts w:hint="eastAsia" w:ascii="仿宋_GB2312" w:eastAsia="仿宋_GB2312" w:cs="仿宋_GB2312"/>
          <w:b w:val="0"/>
          <w:bCs w:val="0"/>
          <w:color w:val="auto"/>
          <w:kern w:val="2"/>
          <w:sz w:val="32"/>
          <w:szCs w:val="32"/>
          <w:lang w:val="en-US" w:eastAsia="zh-CN"/>
        </w:rPr>
        <w:t>全面提升</w:t>
      </w:r>
      <w:r>
        <w:rPr>
          <w:rFonts w:ascii="仿宋_GB2312" w:hAnsi="仿宋_GB2312" w:eastAsia="仿宋_GB2312" w:cs="仿宋_GB2312"/>
          <w:color w:val="auto"/>
          <w:sz w:val="32"/>
          <w:szCs w:val="32"/>
          <w:lang w:val="en-US" w:eastAsia="zh-CN" w:bidi="ar-SA"/>
        </w:rPr>
        <w:t>应急指挥</w:t>
      </w:r>
      <w:r>
        <w:rPr>
          <w:rFonts w:hint="eastAsia" w:ascii="仿宋_GB2312" w:hAnsi="仿宋_GB2312" w:eastAsia="仿宋_GB2312" w:cs="仿宋_GB2312"/>
          <w:color w:val="auto"/>
          <w:sz w:val="32"/>
          <w:szCs w:val="32"/>
          <w:lang w:val="en-US" w:eastAsia="zh-CN" w:bidi="ar-SA"/>
        </w:rPr>
        <w:t>处置综合能力。</w:t>
      </w:r>
      <w:r>
        <w:rPr>
          <w:rFonts w:ascii="仿宋_GB2312" w:hAnsi="仿宋_GB2312" w:eastAsia="仿宋_GB2312" w:cs="仿宋_GB2312"/>
          <w:color w:val="auto"/>
          <w:sz w:val="32"/>
          <w:szCs w:val="32"/>
          <w:lang w:val="en-US" w:eastAsia="zh-CN" w:bidi="ar-SA"/>
        </w:rPr>
        <w:t>深</w:t>
      </w:r>
      <w:r>
        <w:rPr>
          <w:rFonts w:hint="eastAsia" w:ascii="仿宋_GB2312" w:eastAsia="仿宋_GB2312" w:cs="仿宋_GB2312"/>
          <w:b w:val="0"/>
          <w:bCs w:val="0"/>
          <w:color w:val="auto"/>
          <w:kern w:val="2"/>
          <w:sz w:val="32"/>
          <w:szCs w:val="32"/>
          <w:lang w:val="en-US" w:eastAsia="zh-CN"/>
        </w:rPr>
        <w:t>度融合“热线+网格”，依托“智网实格”体系，创新上线“石网E通”，精准赋能基层精细化治理。</w:t>
      </w:r>
      <w:r>
        <w:rPr>
          <w:rFonts w:ascii="仿宋_GB2312" w:eastAsia="仿宋_GB2312" w:cs="仿宋_GB2312"/>
          <w:b w:val="0"/>
          <w:bCs w:val="0"/>
          <w:color w:val="auto"/>
          <w:kern w:val="2"/>
          <w:sz w:val="32"/>
          <w:szCs w:val="32"/>
          <w:lang w:val="en-US" w:eastAsia="zh-CN"/>
        </w:rPr>
        <w:t>打造</w:t>
      </w:r>
      <w:r>
        <w:rPr>
          <w:rFonts w:hint="eastAsia" w:ascii="仿宋_GB2312" w:eastAsia="仿宋_GB2312" w:cs="仿宋_GB2312"/>
          <w:b w:val="0"/>
          <w:bCs w:val="0"/>
          <w:color w:val="auto"/>
          <w:kern w:val="2"/>
          <w:sz w:val="32"/>
          <w:szCs w:val="32"/>
          <w:lang w:val="en-US" w:eastAsia="zh-CN"/>
        </w:rPr>
        <w:t>“云上综治”平台，完善信访“调解优先”工作模式。</w:t>
      </w:r>
      <w:r>
        <w:rPr>
          <w:rFonts w:hint="eastAsia" w:ascii="仿宋_GB2312" w:hAnsi="仿宋_GB2312" w:eastAsia="仿宋_GB2312" w:cs="仿宋_GB2312"/>
          <w:color w:val="auto"/>
          <w:sz w:val="32"/>
          <w:szCs w:val="32"/>
          <w:lang w:val="en-US" w:eastAsia="zh-CN" w:bidi="ar-SA"/>
        </w:rPr>
        <w:t>统筹推进智慧安防建设，</w:t>
      </w:r>
      <w:r>
        <w:rPr>
          <w:rFonts w:ascii="仿宋_GB2312" w:eastAsia="仿宋_GB2312" w:cs="仿宋_GB2312"/>
          <w:b w:val="0"/>
          <w:bCs w:val="0"/>
          <w:color w:val="auto"/>
          <w:kern w:val="2"/>
          <w:sz w:val="32"/>
          <w:szCs w:val="32"/>
          <w:lang w:val="en-US" w:eastAsia="zh-CN"/>
        </w:rPr>
        <w:t>实现</w:t>
      </w:r>
      <w:r>
        <w:rPr>
          <w:rFonts w:hint="eastAsia" w:ascii="仿宋_GB2312" w:hAnsi="仿宋_GB2312" w:eastAsia="仿宋_GB2312" w:cs="仿宋_GB2312"/>
          <w:color w:val="auto"/>
          <w:sz w:val="32"/>
          <w:szCs w:val="32"/>
          <w:lang w:val="en-US" w:eastAsia="zh-CN" w:bidi="ar-SA"/>
        </w:rPr>
        <w:t>重点区域、人员密集场所、城市道路视频监控全覆盖</w:t>
      </w:r>
      <w:r>
        <w:rPr>
          <w:rFonts w:ascii="仿宋_GB2312" w:hAnsi="仿宋_GB2312" w:eastAsia="仿宋_GB2312" w:cs="仿宋_GB2312"/>
          <w:color w:val="auto"/>
          <w:sz w:val="32"/>
          <w:szCs w:val="32"/>
          <w:lang w:val="en-US" w:eastAsia="zh-CN" w:bidi="ar-SA"/>
        </w:rPr>
        <w:t>，圆满</w:t>
      </w:r>
      <w:r>
        <w:rPr>
          <w:rFonts w:hint="eastAsia" w:ascii="仿宋_GB2312" w:hAnsi="仿宋_GB2312" w:eastAsia="仿宋_GB2312" w:cs="仿宋_GB2312"/>
          <w:color w:val="auto"/>
          <w:sz w:val="32"/>
          <w:szCs w:val="32"/>
          <w:lang w:val="en-US" w:eastAsia="zh-CN" w:bidi="ar-SA"/>
        </w:rPr>
        <w:t>完成冬奥等重大活动安保</w:t>
      </w:r>
      <w:r>
        <w:rPr>
          <w:rFonts w:ascii="仿宋_GB2312" w:hAnsi="仿宋_GB2312" w:eastAsia="仿宋_GB2312" w:cs="仿宋_GB2312"/>
          <w:color w:val="auto"/>
          <w:sz w:val="32"/>
          <w:szCs w:val="32"/>
          <w:lang w:val="en-US" w:eastAsia="zh-CN" w:bidi="ar-SA"/>
        </w:rPr>
        <w:t>任务。</w:t>
      </w:r>
      <w:r>
        <w:rPr>
          <w:rFonts w:hint="eastAsia" w:ascii="仿宋_GB2312" w:hAnsi="仿宋_GB2312" w:eastAsia="仿宋_GB2312" w:cs="仿宋_GB2312"/>
          <w:color w:val="auto"/>
          <w:sz w:val="32"/>
          <w:szCs w:val="32"/>
          <w:lang w:val="en-US" w:eastAsia="zh-CN" w:bidi="ar-SA"/>
        </w:rPr>
        <w:t>同步推进生态环境智慧监管，搭建智慧应用体系，覆盖生态环境多业务领域，汇聚多源生态数据，提升生态环境综合治理效能。初步构建城市大脑数智中心平台，</w:t>
      </w:r>
      <w:r>
        <w:rPr>
          <w:rFonts w:hint="eastAsia" w:ascii="仿宋_GB2312" w:hAnsi="仿宋_GB2312" w:eastAsia="仿宋_GB2312" w:cs="仿宋_GB2312"/>
          <w:color w:val="auto"/>
          <w:sz w:val="32"/>
          <w:szCs w:val="32"/>
        </w:rPr>
        <w:t>统筹整合各类数据资源，夯实城市治理数字化底座</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bidi="ar-SA"/>
        </w:rPr>
        <w:t>提升</w:t>
      </w:r>
      <w:r>
        <w:rPr>
          <w:rFonts w:ascii="仿宋_GB2312" w:hAnsi="仿宋_GB2312" w:eastAsia="仿宋_GB2312" w:cs="仿宋_GB2312"/>
          <w:color w:val="auto"/>
          <w:sz w:val="32"/>
          <w:szCs w:val="32"/>
          <w:lang w:val="en-US" w:eastAsia="zh-CN" w:bidi="ar-SA"/>
        </w:rPr>
        <w:t>公共服务</w:t>
      </w:r>
      <w:r>
        <w:rPr>
          <w:rFonts w:hint="eastAsia" w:ascii="仿宋_GB2312" w:hAnsi="仿宋_GB2312" w:eastAsia="仿宋_GB2312" w:cs="仿宋_GB2312"/>
          <w:color w:val="auto"/>
          <w:sz w:val="32"/>
          <w:szCs w:val="32"/>
          <w:lang w:val="en-US" w:eastAsia="zh-CN" w:bidi="ar-SA"/>
        </w:rPr>
        <w:t>质效</w:t>
      </w:r>
      <w:r>
        <w:rPr>
          <w:rFonts w:ascii="仿宋_GB2312" w:hAnsi="仿宋_GB2312" w:eastAsia="仿宋_GB2312" w:cs="仿宋_GB2312"/>
          <w:color w:val="auto"/>
          <w:sz w:val="32"/>
          <w:szCs w:val="32"/>
          <w:lang w:val="en-US" w:eastAsia="zh-CN" w:bidi="ar-SA"/>
        </w:rPr>
        <w:t>，创新</w:t>
      </w:r>
      <w:r>
        <w:rPr>
          <w:rFonts w:hint="eastAsia" w:ascii="仿宋_GB2312" w:hAnsi="仿宋_GB2312" w:eastAsia="仿宋_GB2312" w:cs="仿宋_GB2312"/>
          <w:color w:val="auto"/>
          <w:sz w:val="32"/>
          <w:szCs w:val="32"/>
          <w:lang w:val="en-US" w:eastAsia="zh-CN" w:bidi="ar-SA"/>
        </w:rPr>
        <w:t>“信用＋医疗”</w:t>
      </w:r>
      <w:r>
        <w:rPr>
          <w:rFonts w:ascii="仿宋_GB2312" w:hAnsi="仿宋_GB2312" w:eastAsia="仿宋_GB2312" w:cs="仿宋_GB2312"/>
          <w:color w:val="auto"/>
          <w:sz w:val="32"/>
          <w:szCs w:val="32"/>
          <w:lang w:val="en-US" w:eastAsia="zh-CN" w:bidi="ar-SA"/>
        </w:rPr>
        <w:t>，推行</w:t>
      </w:r>
      <w:r>
        <w:rPr>
          <w:rFonts w:hint="eastAsia" w:ascii="仿宋_GB2312" w:hAnsi="仿宋_GB2312" w:eastAsia="仿宋_GB2312" w:cs="仿宋_GB2312"/>
          <w:color w:val="auto"/>
          <w:sz w:val="32"/>
          <w:szCs w:val="32"/>
          <w:lang w:val="en-US" w:eastAsia="zh-CN" w:bidi="ar-SA"/>
        </w:rPr>
        <w:t>“先看病后付费”服务。</w:t>
      </w:r>
      <w:r>
        <w:rPr>
          <w:rFonts w:hint="eastAsia" w:ascii="仿宋_GB2312" w:hAnsi="仿宋_GB2312" w:eastAsia="仿宋_GB2312" w:cs="仿宋_GB2312"/>
          <w:color w:val="auto"/>
          <w:sz w:val="32"/>
          <w:szCs w:val="32"/>
        </w:rPr>
        <w:t>深化智慧教育建设</w:t>
      </w:r>
      <w:r>
        <w:rPr>
          <w:rFonts w:ascii="仿宋_GB2312" w:hAnsi="仿宋_GB2312" w:eastAsia="仿宋_GB2312" w:cs="仿宋_GB2312"/>
          <w:color w:val="auto"/>
          <w:sz w:val="32"/>
          <w:szCs w:val="32"/>
          <w:lang w:val="en-US" w:eastAsia="zh-CN" w:bidi="ar-SA"/>
        </w:rPr>
        <w:t>，推行</w:t>
      </w:r>
      <w:r>
        <w:rPr>
          <w:rFonts w:hint="eastAsia" w:ascii="仿宋_GB2312" w:hAnsi="仿宋_GB2312" w:eastAsia="仿宋_GB2312" w:cs="仿宋_GB2312"/>
          <w:color w:val="auto"/>
          <w:sz w:val="32"/>
          <w:szCs w:val="32"/>
          <w:lang w:val="en-US" w:eastAsia="zh-CN" w:bidi="ar-SA"/>
        </w:rPr>
        <w:t>双师课堂模式</w:t>
      </w:r>
      <w:r>
        <w:rPr>
          <w:rFonts w:ascii="仿宋_GB2312" w:hAnsi="仿宋_GB2312" w:eastAsia="仿宋_GB2312" w:cs="仿宋_GB2312"/>
          <w:color w:val="auto"/>
          <w:sz w:val="32"/>
          <w:szCs w:val="32"/>
          <w:lang w:val="en-US" w:eastAsia="zh-CN" w:bidi="ar-SA"/>
        </w:rPr>
        <w:t>，建成</w:t>
      </w:r>
      <w:r>
        <w:rPr>
          <w:rFonts w:hint="eastAsia" w:ascii="仿宋_GB2312" w:hAnsi="仿宋_GB2312" w:eastAsia="仿宋_GB2312" w:cs="仿宋_GB2312"/>
          <w:bCs/>
          <w:color w:val="auto"/>
          <w:sz w:val="32"/>
          <w:szCs w:val="32"/>
          <w:shd w:val="clear" w:color="auto" w:fill="auto"/>
        </w:rPr>
        <w:t>7所“北京市智慧校园示范校”</w:t>
      </w:r>
      <w:r>
        <w:rPr>
          <w:rFonts w:hint="eastAsia"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sz w:val="32"/>
          <w:szCs w:val="32"/>
        </w:rPr>
        <w:t>加快文旅数字转型，</w:t>
      </w:r>
      <w:r>
        <w:rPr>
          <w:rFonts w:hint="eastAsia" w:ascii="仿宋_GB2312" w:hAnsi="仿宋_GB2312" w:eastAsia="仿宋_GB2312"/>
          <w:color w:val="auto"/>
          <w:sz w:val="32"/>
          <w:szCs w:val="32"/>
          <w:shd w:val="clear" w:color="auto" w:fill="auto"/>
          <w:lang w:val="en-US" w:eastAsia="zh-CN"/>
        </w:rPr>
        <w:t>打造</w:t>
      </w:r>
      <w:r>
        <w:rPr>
          <w:rFonts w:hint="eastAsia" w:ascii="仿宋_GB2312" w:hAnsi="仿宋_GB2312" w:eastAsia="仿宋_GB2312"/>
          <w:color w:val="auto"/>
          <w:sz w:val="32"/>
          <w:szCs w:val="32"/>
          <w:shd w:val="clear" w:color="auto" w:fill="auto"/>
        </w:rPr>
        <w:t>法海寺壁画主题沉浸式数字艺术馆</w:t>
      </w:r>
      <w:r>
        <w:rPr>
          <w:rFonts w:hint="eastAsia" w:ascii="仿宋_GB2312" w:hAnsi="仿宋_GB2312" w:eastAsia="仿宋_GB2312"/>
          <w:color w:val="auto"/>
          <w:sz w:val="32"/>
          <w:szCs w:val="32"/>
          <w:shd w:val="clear" w:color="auto" w:fill="auto"/>
          <w:lang w:eastAsia="zh-CN"/>
        </w:rPr>
        <w:t>，</w:t>
      </w:r>
      <w:r>
        <w:rPr>
          <w:rFonts w:hint="eastAsia" w:ascii="仿宋_GB2312" w:hAnsi="仿宋_GB2312" w:eastAsia="仿宋_GB2312"/>
          <w:color w:val="auto"/>
          <w:sz w:val="32"/>
          <w:szCs w:val="32"/>
          <w:shd w:val="clear" w:color="auto" w:fill="auto"/>
          <w:lang w:val="en-US" w:eastAsia="zh-CN"/>
        </w:rPr>
        <w:t>落地</w:t>
      </w:r>
      <w:r>
        <w:rPr>
          <w:rFonts w:hint="eastAsia" w:ascii="仿宋_GB2312" w:hAnsi="仿宋_GB2312" w:eastAsia="仿宋_GB2312"/>
          <w:bCs/>
          <w:color w:val="auto"/>
          <w:sz w:val="32"/>
          <w:szCs w:val="32"/>
          <w:shd w:val="clear" w:color="auto" w:fill="auto"/>
        </w:rPr>
        <w:t>Soreal科幻乐园</w:t>
      </w:r>
      <w:r>
        <w:rPr>
          <w:rFonts w:hint="eastAsia" w:ascii="仿宋_GB2312" w:hAnsi="仿宋_GB2312" w:eastAsia="仿宋_GB2312"/>
          <w:bCs/>
          <w:color w:val="auto"/>
          <w:sz w:val="32"/>
          <w:szCs w:val="32"/>
          <w:shd w:val="clear" w:color="auto" w:fill="auto"/>
          <w:lang w:eastAsia="zh-CN"/>
        </w:rPr>
        <w:t>，</w:t>
      </w:r>
      <w:r>
        <w:rPr>
          <w:rFonts w:hint="eastAsia" w:ascii="仿宋_GB2312" w:hAnsi="仿宋_GB2312" w:eastAsia="仿宋_GB2312"/>
          <w:bCs/>
          <w:color w:val="auto"/>
          <w:sz w:val="32"/>
          <w:szCs w:val="32"/>
          <w:shd w:val="clear" w:color="auto" w:fill="auto"/>
          <w:lang w:val="en-US" w:eastAsia="zh-CN"/>
        </w:rPr>
        <w:t>成功</w:t>
      </w:r>
      <w:r>
        <w:rPr>
          <w:rFonts w:hint="eastAsia" w:ascii="仿宋_GB2312" w:hAnsi="仿宋_GB2312" w:eastAsia="仿宋_GB2312"/>
          <w:bCs/>
          <w:color w:val="auto"/>
          <w:sz w:val="32"/>
          <w:szCs w:val="32"/>
          <w:shd w:val="clear" w:color="auto" w:fill="auto"/>
        </w:rPr>
        <w:t>入选国家首批“5G+智慧旅游”应用试点</w:t>
      </w:r>
      <w:r>
        <w:rPr>
          <w:rFonts w:hint="eastAsia" w:ascii="仿宋_GB2312" w:hAnsi="仿宋_GB2312" w:eastAsia="仿宋_GB2312" w:cs="仿宋_GB2312"/>
          <w:color w:val="auto"/>
          <w:sz w:val="32"/>
          <w:szCs w:val="32"/>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635" w:firstLine="0"/>
        <w:textAlignment w:val="auto"/>
        <w:outlineLvl w:val="2"/>
        <w:rPr>
          <w:rFonts w:hint="eastAsia" w:ascii="Times New Roman" w:hAnsi="Times New Roman" w:eastAsia="仿宋_GB2312" w:cs="Times New Roman"/>
          <w:b/>
          <w:bCs/>
          <w:color w:val="auto"/>
          <w:sz w:val="32"/>
          <w:szCs w:val="32"/>
          <w:lang w:val="en-US" w:eastAsia="zh-CN" w:bidi="ar-SA"/>
        </w:rPr>
      </w:pPr>
      <w:bookmarkStart w:id="41" w:name="_Toc31311"/>
      <w:r>
        <w:rPr>
          <w:rFonts w:ascii="仿宋_GB2312" w:hAnsi="仿宋_GB2312" w:eastAsia="仿宋_GB2312" w:cs="仿宋_GB2312"/>
          <w:b/>
          <w:bCs/>
          <w:color w:val="auto"/>
          <w:sz w:val="32"/>
          <w:szCs w:val="32"/>
          <w:lang w:val="en-US" w:eastAsia="zh-CN" w:bidi="ar-SA"/>
        </w:rPr>
        <w:t>5</w:t>
      </w:r>
      <w:r>
        <w:rPr>
          <w:rFonts w:hint="eastAsia" w:ascii="仿宋_GB2312" w:hAnsi="仿宋_GB2312" w:eastAsia="仿宋_GB2312" w:cs="仿宋_GB2312"/>
          <w:b/>
          <w:bCs/>
          <w:color w:val="auto"/>
          <w:sz w:val="32"/>
          <w:szCs w:val="32"/>
          <w:lang w:val="en-US" w:eastAsia="zh-CN" w:bidi="ar-SA"/>
        </w:rPr>
        <w:t>.</w:t>
      </w:r>
      <w:r>
        <w:rPr>
          <w:rFonts w:hint="eastAsia" w:ascii="Times New Roman" w:hAnsi="Times New Roman" w:eastAsia="仿宋_GB2312" w:cs="Times New Roman"/>
          <w:b/>
          <w:bCs/>
          <w:color w:val="auto"/>
          <w:sz w:val="32"/>
          <w:szCs w:val="32"/>
          <w:lang w:val="en-US" w:eastAsia="zh-CN" w:bidi="ar-SA"/>
        </w:rPr>
        <w:t>“营造氛围”</w:t>
      </w:r>
      <w:r>
        <w:rPr>
          <w:rFonts w:ascii="Times New Roman" w:hAnsi="Times New Roman" w:eastAsia="仿宋_GB2312" w:cs="Times New Roman"/>
          <w:b/>
          <w:bCs/>
          <w:color w:val="auto"/>
          <w:sz w:val="32"/>
          <w:szCs w:val="32"/>
          <w:lang w:val="en-US" w:eastAsia="zh-CN" w:bidi="ar-SA"/>
        </w:rPr>
        <w:t>扎实建设数据发展生态</w:t>
      </w:r>
      <w:bookmarkEnd w:id="41"/>
    </w:p>
    <w:p>
      <w:pPr>
        <w:pStyle w:val="33"/>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ascii="仿宋_GB2312" w:hAnsi="仿宋_GB2312" w:eastAsia="仿宋_GB2312"/>
          <w:color w:val="auto"/>
          <w:sz w:val="32"/>
          <w:szCs w:val="32"/>
          <w:lang w:val="en-US" w:eastAsia="zh-CN"/>
        </w:rPr>
      </w:pPr>
      <w:r>
        <w:rPr>
          <w:rFonts w:hint="eastAsia" w:ascii="仿宋_GB2312" w:hAnsi="仿宋_GB2312" w:eastAsia="仿宋_GB2312" w:cs="仿宋_GB2312"/>
          <w:color w:val="auto"/>
          <w:sz w:val="32"/>
          <w:szCs w:val="32"/>
        </w:rPr>
        <w:t>数字经济发展态势良好，</w:t>
      </w:r>
      <w:r>
        <w:rPr>
          <w:rFonts w:hint="eastAsia" w:ascii="仿宋_GB2312" w:hAnsi="仿宋_GB2312" w:eastAsia="仿宋_GB2312" w:cs="仿宋_GB2312"/>
          <w:color w:val="auto"/>
          <w:kern w:val="0"/>
          <w:sz w:val="32"/>
          <w:szCs w:val="32"/>
          <w:highlight w:val="none"/>
          <w:shd w:val="clear" w:color="auto" w:fill="auto"/>
          <w:lang w:bidi="ar-SA"/>
        </w:rPr>
        <w:t>数字经济核心产业</w:t>
      </w:r>
      <w:r>
        <w:rPr>
          <w:rFonts w:hint="eastAsia" w:ascii="仿宋_GB2312" w:hAnsi="仿宋_GB2312" w:eastAsia="仿宋_GB2312" w:cs="仿宋_GB2312"/>
          <w:color w:val="auto"/>
          <w:kern w:val="0"/>
          <w:sz w:val="32"/>
          <w:szCs w:val="32"/>
          <w:highlight w:val="none"/>
          <w:shd w:val="clear" w:color="auto" w:fill="auto"/>
          <w:lang w:val="en-US" w:eastAsia="zh-CN" w:bidi="ar-SA"/>
        </w:rPr>
        <w:t>收入突破</w:t>
      </w:r>
      <w:r>
        <w:rPr>
          <w:rFonts w:hint="eastAsia" w:ascii="仿宋_GB2312" w:hAnsi="仿宋_GB2312" w:eastAsia="仿宋_GB2312" w:cs="仿宋_GB2312"/>
          <w:color w:val="auto"/>
          <w:kern w:val="0"/>
          <w:sz w:val="32"/>
          <w:szCs w:val="32"/>
          <w:highlight w:val="none"/>
          <w:shd w:val="clear" w:color="auto" w:fill="auto"/>
          <w:lang w:bidi="ar-SA"/>
        </w:rPr>
        <w:t>2</w:t>
      </w:r>
      <w:r>
        <w:rPr>
          <w:rFonts w:hint="eastAsia" w:ascii="仿宋_GB2312" w:hAnsi="仿宋_GB2312" w:eastAsia="仿宋_GB2312" w:cs="仿宋_GB2312"/>
          <w:color w:val="auto"/>
          <w:kern w:val="0"/>
          <w:sz w:val="32"/>
          <w:szCs w:val="32"/>
          <w:highlight w:val="none"/>
          <w:shd w:val="clear" w:color="auto" w:fill="auto"/>
          <w:lang w:val="en-US" w:eastAsia="zh-CN" w:bidi="ar-SA"/>
        </w:rPr>
        <w:t>000</w:t>
      </w:r>
      <w:r>
        <w:rPr>
          <w:rFonts w:hint="eastAsia" w:ascii="仿宋_GB2312" w:hAnsi="仿宋_GB2312" w:eastAsia="仿宋_GB2312" w:cs="仿宋_GB2312"/>
          <w:color w:val="auto"/>
          <w:kern w:val="0"/>
          <w:sz w:val="32"/>
          <w:szCs w:val="32"/>
          <w:highlight w:val="none"/>
          <w:shd w:val="clear" w:color="auto" w:fill="auto"/>
          <w:lang w:bidi="ar-SA"/>
        </w:rPr>
        <w:t>亿元。</w:t>
      </w:r>
      <w:r>
        <w:rPr>
          <w:rFonts w:hint="eastAsia" w:ascii="仿宋_GB2312" w:hAnsi="仿宋_GB2312" w:eastAsia="仿宋_GB2312" w:cs="仿宋_GB2312"/>
          <w:color w:val="auto"/>
          <w:kern w:val="0"/>
          <w:sz w:val="32"/>
          <w:szCs w:val="32"/>
          <w:shd w:val="clear" w:color="auto" w:fill="auto"/>
          <w:lang w:val="en-US" w:eastAsia="zh-CN" w:bidi="ar-SA"/>
        </w:rPr>
        <w:t>融入北京数据要素综合试验区整体布局，谋划落地北京未来数字空间创新试验区，高标准建设北京数据基础制度先行区（石景山片区）</w:t>
      </w:r>
      <w:r>
        <w:rPr>
          <w:rFonts w:ascii="仿宋_GB2312" w:hAnsi="仿宋_GB2312" w:eastAsia="仿宋_GB2312" w:cs="仿宋_GB2312"/>
          <w:color w:val="auto"/>
          <w:kern w:val="0"/>
          <w:sz w:val="32"/>
          <w:szCs w:val="32"/>
          <w:shd w:val="clear" w:color="auto" w:fill="auto"/>
          <w:lang w:val="en-US" w:eastAsia="zh-CN" w:bidi="ar-SA"/>
        </w:rPr>
        <w:t>，实施</w:t>
      </w:r>
      <w:r>
        <w:rPr>
          <w:rFonts w:hint="eastAsia" w:ascii="仿宋_GB2312" w:hAnsi="仿宋_GB2312" w:eastAsia="仿宋_GB2312" w:cs="仿宋_GB2312"/>
          <w:color w:val="auto"/>
          <w:kern w:val="0"/>
          <w:sz w:val="32"/>
          <w:szCs w:val="32"/>
          <w:shd w:val="clear" w:color="auto" w:fill="auto"/>
          <w:lang w:val="en-US" w:eastAsia="zh-CN" w:bidi="ar-SA"/>
        </w:rPr>
        <w:t>数据要素赋能高质量发展三年行动计划，出台</w:t>
      </w:r>
      <w:r>
        <w:rPr>
          <w:rFonts w:ascii="仿宋_GB2312" w:hAnsi="Times New Roman" w:eastAsia="仿宋_GB2312" w:cs="仿宋_GB2312"/>
          <w:color w:val="auto"/>
          <w:sz w:val="32"/>
          <w:szCs w:val="32"/>
        </w:rPr>
        <w:t>配套政策</w:t>
      </w:r>
      <w:r>
        <w:rPr>
          <w:rFonts w:hint="eastAsia" w:ascii="仿宋_GB2312" w:hAnsi="Times New Roman" w:eastAsia="仿宋_GB2312" w:cs="仿宋_GB2312"/>
          <w:color w:val="auto"/>
          <w:sz w:val="32"/>
          <w:szCs w:val="32"/>
        </w:rPr>
        <w:t>措施</w:t>
      </w:r>
      <w:r>
        <w:rPr>
          <w:rFonts w:hint="eastAsia" w:ascii="仿宋_GB2312" w:hAnsi="仿宋_GB2312" w:eastAsia="仿宋_GB2312" w:cs="仿宋_GB2312"/>
          <w:color w:val="auto"/>
          <w:kern w:val="0"/>
          <w:sz w:val="32"/>
          <w:szCs w:val="32"/>
          <w:shd w:val="clear" w:color="auto" w:fill="auto"/>
          <w:lang w:val="en-US" w:eastAsia="zh-CN" w:bidi="ar-SA"/>
        </w:rPr>
        <w:t>。</w:t>
      </w:r>
      <w:r>
        <w:rPr>
          <w:rFonts w:hint="eastAsia" w:ascii="仿宋_GB2312" w:hAnsi="仿宋_GB2312" w:eastAsia="仿宋_GB2312" w:cs="仿宋_GB2312"/>
          <w:color w:val="auto"/>
          <w:sz w:val="32"/>
          <w:szCs w:val="32"/>
          <w:vertAlign w:val="baseline"/>
          <w:lang w:val="en-US" w:eastAsia="zh-CN" w:bidi="ar-SA"/>
        </w:rPr>
        <w:t>有序</w:t>
      </w:r>
      <w:r>
        <w:rPr>
          <w:rFonts w:ascii="仿宋_GB2312" w:hAnsi="仿宋_GB2312" w:eastAsia="仿宋_GB2312" w:cs="仿宋_GB2312"/>
          <w:color w:val="auto"/>
          <w:sz w:val="32"/>
          <w:szCs w:val="32"/>
          <w:vertAlign w:val="baseline"/>
          <w:lang w:val="en-US" w:eastAsia="zh-CN" w:bidi="ar-SA"/>
        </w:rPr>
        <w:t>投运</w:t>
      </w:r>
      <w:r>
        <w:rPr>
          <w:rStyle w:val="25"/>
          <w:rFonts w:hint="eastAsia" w:ascii="仿宋_GB2312" w:eastAsia="仿宋_GB2312" w:cs="仿宋_GB2312"/>
          <w:color w:val="auto"/>
          <w:sz w:val="32"/>
          <w:szCs w:val="32"/>
          <w:u w:val="none"/>
          <w:lang w:bidi="ar-SA"/>
        </w:rPr>
        <w:t>“人形机器人</w:t>
      </w:r>
      <w:r>
        <w:rPr>
          <w:rFonts w:hint="eastAsia" w:ascii="仿宋_GB2312" w:eastAsia="仿宋_GB2312" w:cs="仿宋_GB2312"/>
          <w:color w:val="auto"/>
          <w:sz w:val="32"/>
          <w:szCs w:val="32"/>
          <w:lang w:bidi="ar-SA"/>
        </w:rPr>
        <w:t>数据训练中心</w:t>
      </w:r>
      <w:r>
        <w:rPr>
          <w:rStyle w:val="25"/>
          <w:rFonts w:hint="eastAsia" w:ascii="仿宋_GB2312" w:eastAsia="仿宋_GB2312" w:cs="仿宋_GB2312"/>
          <w:color w:val="auto"/>
          <w:sz w:val="32"/>
          <w:szCs w:val="32"/>
          <w:u w:val="none"/>
          <w:lang w:bidi="ar-SA"/>
        </w:rPr>
        <w:t>”</w:t>
      </w:r>
      <w:r>
        <w:rPr>
          <w:rStyle w:val="25"/>
          <w:rFonts w:ascii="仿宋_GB2312" w:eastAsia="仿宋_GB2312" w:cs="仿宋_GB2312"/>
          <w:color w:val="auto"/>
          <w:sz w:val="32"/>
          <w:szCs w:val="32"/>
          <w:u w:val="none"/>
          <w:lang w:bidi="ar-SA"/>
        </w:rPr>
        <w:t>一期、二期</w:t>
      </w:r>
      <w:r>
        <w:rPr>
          <w:rStyle w:val="25"/>
          <w:rFonts w:hint="eastAsia" w:ascii="仿宋_GB2312" w:eastAsia="仿宋_GB2312" w:cs="仿宋_GB2312"/>
          <w:color w:val="auto"/>
          <w:sz w:val="32"/>
          <w:szCs w:val="32"/>
          <w:u w:val="none"/>
          <w:lang w:val="en-US" w:eastAsia="zh-CN" w:bidi="ar-SA"/>
        </w:rPr>
        <w:t>项目</w:t>
      </w:r>
      <w:r>
        <w:rPr>
          <w:rFonts w:hint="eastAsia" w:ascii="仿宋_GB2312" w:eastAsia="仿宋_GB2312" w:cs="仿宋_GB2312"/>
          <w:color w:val="auto"/>
          <w:sz w:val="32"/>
          <w:szCs w:val="32"/>
          <w:lang w:eastAsia="zh-CN" w:bidi="ar-SA"/>
        </w:rPr>
        <w:t>，畅通</w:t>
      </w:r>
      <w:r>
        <w:rPr>
          <w:rFonts w:hint="eastAsia" w:ascii="仿宋_GB2312" w:eastAsia="仿宋_GB2312" w:cs="仿宋_GB2312"/>
          <w:color w:val="auto"/>
          <w:sz w:val="32"/>
          <w:szCs w:val="32"/>
          <w:lang w:val="en-US" w:eastAsia="zh-CN" w:bidi="ar-SA"/>
        </w:rPr>
        <w:t>具身</w:t>
      </w:r>
      <w:r>
        <w:rPr>
          <w:rFonts w:hint="eastAsia" w:ascii="仿宋_GB2312" w:eastAsia="仿宋_GB2312" w:cs="仿宋_GB2312"/>
          <w:color w:val="auto"/>
          <w:sz w:val="32"/>
          <w:szCs w:val="32"/>
          <w:lang w:eastAsia="zh-CN" w:bidi="ar-SA"/>
        </w:rPr>
        <w:t>机器人技术研发、数据训练到场景落地的全链条转化验证渠道。</w:t>
      </w:r>
      <w:r>
        <w:rPr>
          <w:rFonts w:hint="eastAsia" w:ascii="仿宋_GB2312" w:hAnsi="仿宋_GB2312" w:eastAsia="仿宋_GB2312" w:cs="仿宋_GB2312"/>
          <w:color w:val="auto"/>
          <w:sz w:val="32"/>
          <w:szCs w:val="32"/>
          <w:vertAlign w:val="baseline"/>
          <w:lang w:val="en-US" w:eastAsia="zh-CN" w:bidi="ar-SA"/>
        </w:rPr>
        <w:t>成功</w:t>
      </w:r>
      <w:r>
        <w:rPr>
          <w:rFonts w:hint="eastAsia" w:ascii="仿宋_GB2312" w:hAnsi="仿宋_GB2312" w:eastAsia="仿宋_GB2312" w:cs="仿宋_GB2312"/>
          <w:color w:val="auto"/>
          <w:sz w:val="32"/>
          <w:szCs w:val="32"/>
          <w:shd w:val="clear" w:color="auto" w:fill="auto"/>
          <w:lang w:eastAsia="zh-CN" w:bidi="ar-SA"/>
        </w:rPr>
        <w:t>承办“数据要素×”</w:t>
      </w:r>
      <w:r>
        <w:rPr>
          <w:rFonts w:hint="eastAsia" w:ascii="仿宋_GB2312" w:hAnsi="仿宋_GB2312" w:eastAsia="仿宋_GB2312" w:cs="仿宋_GB2312"/>
          <w:color w:val="auto"/>
          <w:sz w:val="32"/>
          <w:szCs w:val="32"/>
          <w:shd w:val="clear" w:color="auto" w:fill="auto"/>
          <w:lang w:val="en-US" w:eastAsia="zh-CN" w:bidi="ar-SA"/>
        </w:rPr>
        <w:t>全国大赛北京分赛应急赛道，</w:t>
      </w:r>
      <w:r>
        <w:rPr>
          <w:rFonts w:ascii="仿宋_GB2312" w:hAnsi="仿宋_GB2312" w:eastAsia="仿宋_GB2312" w:cs="仿宋_GB2312"/>
          <w:bCs/>
          <w:color w:val="auto"/>
          <w:sz w:val="32"/>
          <w:szCs w:val="32"/>
          <w:shd w:val="clear" w:color="auto" w:fill="auto"/>
        </w:rPr>
        <w:t>建立</w:t>
      </w:r>
      <w:r>
        <w:rPr>
          <w:rFonts w:ascii="仿宋_GB2312" w:hAnsi="仿宋_GB2312" w:eastAsia="仿宋_GB2312" w:cs="仿宋_GB2312"/>
          <w:color w:val="auto"/>
          <w:sz w:val="32"/>
          <w:szCs w:val="32"/>
          <w:shd w:val="clear" w:color="auto" w:fill="auto"/>
          <w:lang w:val="en-US" w:eastAsia="zh-CN" w:bidi="ar-SA"/>
        </w:rPr>
        <w:t>常态化</w:t>
      </w:r>
      <w:r>
        <w:rPr>
          <w:rFonts w:hint="eastAsia" w:ascii="仿宋_GB2312" w:hAnsi="仿宋_GB2312" w:eastAsia="仿宋_GB2312" w:cs="仿宋_GB2312"/>
          <w:color w:val="auto"/>
          <w:sz w:val="32"/>
          <w:szCs w:val="32"/>
          <w:shd w:val="clear" w:color="auto" w:fill="auto"/>
          <w:lang w:val="en-US" w:eastAsia="zh-CN" w:bidi="ar-SA"/>
        </w:rPr>
        <w:t>智慧城市创新应用场景需求</w:t>
      </w:r>
      <w:r>
        <w:rPr>
          <w:rFonts w:ascii="仿宋_GB2312" w:hAnsi="仿宋_GB2312" w:eastAsia="仿宋_GB2312" w:cs="仿宋_GB2312"/>
          <w:color w:val="auto"/>
          <w:sz w:val="32"/>
          <w:szCs w:val="32"/>
          <w:shd w:val="clear" w:color="auto" w:fill="auto"/>
          <w:lang w:val="en-US" w:eastAsia="zh-CN" w:bidi="ar-SA"/>
        </w:rPr>
        <w:t>开放机制，</w:t>
      </w:r>
      <w:r>
        <w:rPr>
          <w:rFonts w:ascii="仿宋_GB2312" w:hAnsi="仿宋_GB2312" w:eastAsia="仿宋_GB2312"/>
          <w:color w:val="auto"/>
          <w:sz w:val="32"/>
          <w:szCs w:val="32"/>
        </w:rPr>
        <w:t>开展首席数据官培训，</w:t>
      </w:r>
      <w:r>
        <w:rPr>
          <w:rFonts w:hint="eastAsia" w:ascii="仿宋_GB2312" w:hAnsi="仿宋_GB2312" w:eastAsia="仿宋_GB2312"/>
          <w:color w:val="auto"/>
          <w:sz w:val="32"/>
          <w:szCs w:val="32"/>
          <w:lang w:val="en-US" w:eastAsia="zh-CN"/>
        </w:rPr>
        <w:t>持续凝聚</w:t>
      </w:r>
      <w:r>
        <w:rPr>
          <w:rFonts w:ascii="仿宋_GB2312" w:hAnsi="仿宋_GB2312" w:eastAsia="仿宋_GB2312"/>
          <w:color w:val="auto"/>
          <w:sz w:val="32"/>
          <w:szCs w:val="32"/>
          <w:lang w:val="en-US" w:eastAsia="zh-CN"/>
        </w:rPr>
        <w:t>数字化转型</w:t>
      </w:r>
      <w:r>
        <w:rPr>
          <w:rFonts w:hint="eastAsia" w:ascii="仿宋_GB2312" w:hAnsi="仿宋_GB2312" w:eastAsia="仿宋_GB2312"/>
          <w:color w:val="auto"/>
          <w:sz w:val="32"/>
          <w:szCs w:val="32"/>
          <w:lang w:val="en-US" w:eastAsia="zh-CN"/>
        </w:rPr>
        <w:t>共识与工作合力，全面激发区域数字经济创新发展活力</w:t>
      </w:r>
      <w:r>
        <w:rPr>
          <w:rFonts w:ascii="仿宋_GB2312" w:hAnsi="仿宋_GB2312" w:eastAsia="仿宋_GB2312"/>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635" w:firstLine="0"/>
        <w:textAlignment w:val="auto"/>
        <w:outlineLvl w:val="2"/>
        <w:rPr>
          <w:rFonts w:hint="eastAsia" w:ascii="仿宋_GB2312" w:hAnsi="仿宋_GB2312" w:eastAsia="仿宋_GB2312" w:cs="仿宋_GB2312"/>
          <w:b/>
          <w:bCs/>
          <w:color w:val="auto"/>
          <w:sz w:val="32"/>
          <w:szCs w:val="32"/>
          <w:lang w:val="en-US" w:eastAsia="zh-CN" w:bidi="ar-SA"/>
        </w:rPr>
      </w:pPr>
      <w:r>
        <w:rPr>
          <w:rFonts w:ascii="仿宋_GB2312" w:hAnsi="仿宋_GB2312" w:eastAsia="仿宋_GB2312" w:cs="仿宋_GB2312"/>
          <w:b/>
          <w:bCs/>
          <w:color w:val="auto"/>
          <w:sz w:val="32"/>
          <w:szCs w:val="32"/>
          <w:lang w:val="en-US" w:eastAsia="zh-CN" w:bidi="ar-SA"/>
        </w:rPr>
        <w:t>6</w:t>
      </w:r>
      <w:r>
        <w:rPr>
          <w:rFonts w:hint="eastAsia" w:ascii="仿宋_GB2312" w:hAnsi="仿宋_GB2312" w:eastAsia="仿宋_GB2312" w:cs="仿宋_GB2312"/>
          <w:b/>
          <w:bCs/>
          <w:color w:val="auto"/>
          <w:sz w:val="32"/>
          <w:szCs w:val="32"/>
          <w:lang w:val="en-US" w:eastAsia="zh-CN" w:bidi="ar-SA"/>
        </w:rPr>
        <w:t>.“三融五跨”</w:t>
      </w:r>
      <w:r>
        <w:rPr>
          <w:rFonts w:ascii="仿宋_GB2312" w:hAnsi="仿宋_GB2312" w:eastAsia="仿宋_GB2312" w:cs="仿宋_GB2312"/>
          <w:b/>
          <w:bCs/>
          <w:color w:val="auto"/>
          <w:sz w:val="32"/>
          <w:szCs w:val="32"/>
          <w:lang w:val="en-US" w:eastAsia="zh-CN" w:bidi="ar-SA"/>
        </w:rPr>
        <w:t>切实</w:t>
      </w:r>
      <w:r>
        <w:rPr>
          <w:rFonts w:hint="eastAsia" w:ascii="仿宋_GB2312" w:hAnsi="仿宋_GB2312" w:eastAsia="仿宋_GB2312" w:cs="仿宋_GB2312"/>
          <w:b/>
          <w:bCs/>
          <w:color w:val="auto"/>
          <w:sz w:val="32"/>
          <w:szCs w:val="32"/>
          <w:lang w:val="en-US" w:eastAsia="zh-CN" w:bidi="ar-SA"/>
        </w:rPr>
        <w:t>加强市区高效协同</w:t>
      </w:r>
    </w:p>
    <w:p>
      <w:pPr>
        <w:pStyle w:val="10"/>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yellow"/>
          <w:lang w:val="en-US" w:eastAsia="zh-CN" w:bidi="ar-SA"/>
        </w:rPr>
      </w:pPr>
      <w:r>
        <w:rPr>
          <w:rFonts w:hint="eastAsia" w:ascii="仿宋_GB2312" w:hAnsi="仿宋_GB2312" w:eastAsia="仿宋_GB2312" w:cs="仿宋_GB2312"/>
          <w:color w:val="auto"/>
          <w:sz w:val="32"/>
          <w:szCs w:val="32"/>
          <w:lang w:val="en-US" w:eastAsia="zh-CN" w:bidi="ar-SA"/>
        </w:rPr>
        <w:t>区城市大脑数智中心平台全面接入“京智”体系。区协同办公一体化平台、企业大数据等共性平台同步对接“京办”平台。京通石景山旗舰店全面融入“京通”服务体系，畅通便民利企服务渠道。推动12345市民服务热线、公共资源交易分平台等重点业务系统与市级平台深度对接，实现跨层级业务互联互通。常态化</w:t>
      </w:r>
      <w:r>
        <w:rPr>
          <w:rFonts w:ascii="仿宋_GB2312" w:hAnsi="仿宋_GB2312" w:eastAsia="仿宋_GB2312" w:cs="仿宋_GB2312"/>
          <w:color w:val="auto"/>
          <w:sz w:val="32"/>
          <w:szCs w:val="32"/>
          <w:lang w:val="en-US" w:eastAsia="zh-CN" w:bidi="ar-SA"/>
        </w:rPr>
        <w:t>回流</w:t>
      </w:r>
      <w:r>
        <w:rPr>
          <w:rFonts w:hint="eastAsia" w:ascii="仿宋_GB2312" w:hAnsi="仿宋_GB2312" w:eastAsia="仿宋_GB2312" w:cs="仿宋_GB2312"/>
          <w:color w:val="auto"/>
          <w:sz w:val="32"/>
          <w:szCs w:val="32"/>
          <w:lang w:val="en-US" w:eastAsia="zh-CN" w:bidi="ar-SA"/>
        </w:rPr>
        <w:t>市级政务服务办件、信用、企业、信令等20余类数据。完成2.7万余台感知设备登记，</w:t>
      </w:r>
      <w:r>
        <w:rPr>
          <w:rFonts w:ascii="仿宋_GB2312" w:hAnsi="仿宋_GB2312" w:eastAsia="仿宋_GB2312" w:cs="仿宋_GB2312"/>
          <w:color w:val="auto"/>
          <w:sz w:val="32"/>
          <w:szCs w:val="32"/>
          <w:lang w:val="en-US" w:eastAsia="zh-CN" w:bidi="ar-SA"/>
        </w:rPr>
        <w:t>发放城市码超2万个</w:t>
      </w:r>
      <w:r>
        <w:rPr>
          <w:rFonts w:hint="eastAsia"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sz w:val="32"/>
          <w:szCs w:val="32"/>
        </w:rPr>
        <w:t>持续夯实全域协同治理数字化基础</w:t>
      </w:r>
      <w:r>
        <w:rPr>
          <w:rFonts w:hint="eastAsia" w:ascii="仿宋_GB2312" w:hAnsi="仿宋_GB2312" w:eastAsia="仿宋_GB2312" w:cs="仿宋_GB2312"/>
          <w:color w:val="auto"/>
          <w:sz w:val="32"/>
          <w:szCs w:val="32"/>
          <w:lang w:eastAsia="zh-CN"/>
        </w:rPr>
        <w:t>。</w:t>
      </w:r>
    </w:p>
    <w:bookmarkEnd w:id="38"/>
    <w:p>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1"/>
        <w:rPr>
          <w:rFonts w:ascii="楷体_GB2312" w:hAnsi="Times New Roman" w:eastAsia="楷体_GB2312" w:cs="楷体_GB2312"/>
          <w:color w:val="auto"/>
          <w:kern w:val="0"/>
          <w:sz w:val="32"/>
          <w:szCs w:val="32"/>
          <w:lang w:val="en-US" w:eastAsia="zh-CN" w:bidi="ar-SA"/>
        </w:rPr>
      </w:pPr>
      <w:bookmarkStart w:id="42" w:name="_Toc24048"/>
      <w:bookmarkStart w:id="43" w:name="_Toc12080"/>
      <w:bookmarkStart w:id="44" w:name="_Toc18947"/>
      <w:bookmarkStart w:id="45" w:name="_Toc10687"/>
      <w:bookmarkStart w:id="46" w:name="_Toc20200"/>
      <w:bookmarkStart w:id="47" w:name="_Toc16373"/>
      <w:bookmarkStart w:id="48" w:name="_Toc18292"/>
      <w:bookmarkStart w:id="49" w:name="_Toc4657"/>
      <w:bookmarkStart w:id="50" w:name="_Toc62413973"/>
      <w:bookmarkStart w:id="51" w:name="_Toc9306"/>
      <w:bookmarkStart w:id="52" w:name="_Toc16663"/>
      <w:bookmarkStart w:id="53" w:name="_Toc26915"/>
      <w:bookmarkStart w:id="54" w:name="_Toc12379"/>
      <w:r>
        <w:rPr>
          <w:rFonts w:hint="eastAsia" w:ascii="楷体_GB2312" w:hAnsi="Times New Roman" w:eastAsia="楷体_GB2312" w:cs="楷体_GB2312"/>
          <w:color w:val="auto"/>
          <w:kern w:val="0"/>
          <w:sz w:val="32"/>
          <w:szCs w:val="32"/>
          <w:lang w:val="en-US" w:eastAsia="zh-CN" w:bidi="ar-SA"/>
        </w:rPr>
        <w:t>（二）</w:t>
      </w:r>
      <w:bookmarkEnd w:id="42"/>
      <w:bookmarkEnd w:id="43"/>
      <w:bookmarkEnd w:id="44"/>
      <w:bookmarkEnd w:id="45"/>
      <w:bookmarkEnd w:id="46"/>
      <w:bookmarkEnd w:id="47"/>
      <w:bookmarkEnd w:id="48"/>
      <w:r>
        <w:rPr>
          <w:rFonts w:hint="eastAsia" w:ascii="楷体_GB2312" w:eastAsia="楷体_GB2312" w:cs="楷体_GB2312"/>
          <w:color w:val="auto"/>
          <w:kern w:val="0"/>
          <w:sz w:val="32"/>
          <w:szCs w:val="32"/>
          <w:lang w:val="en-US" w:eastAsia="zh-CN" w:bidi="ar-SA"/>
        </w:rPr>
        <w:t>主要问题</w:t>
      </w:r>
      <w:bookmarkEnd w:id="49"/>
      <w:bookmarkEnd w:id="50"/>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spacing w:line="560" w:lineRule="exact"/>
        <w:ind w:left="635" w:firstLine="0"/>
        <w:textAlignment w:val="auto"/>
        <w:outlineLvl w:val="2"/>
        <w:rPr>
          <w:rFonts w:hint="eastAsia" w:ascii="仿宋_GB2312" w:hAnsi="仿宋_GB2312" w:eastAsia="仿宋_GB2312" w:cs="仿宋_GB2312"/>
          <w:b/>
          <w:bCs/>
          <w:color w:val="auto"/>
          <w:sz w:val="32"/>
          <w:szCs w:val="32"/>
          <w:lang w:val="en-US" w:eastAsia="zh-CN" w:bidi="ar-SA"/>
        </w:rPr>
      </w:pPr>
      <w:bookmarkStart w:id="55" w:name="_Toc12139"/>
      <w:bookmarkStart w:id="56" w:name="_Toc15243"/>
      <w:bookmarkStart w:id="57" w:name="_Toc4508"/>
      <w:r>
        <w:rPr>
          <w:rFonts w:hint="eastAsia" w:ascii="仿宋_GB2312" w:hAnsi="仿宋_GB2312" w:eastAsia="仿宋_GB2312" w:cs="仿宋_GB2312"/>
          <w:b/>
          <w:bCs/>
          <w:color w:val="auto"/>
          <w:sz w:val="32"/>
          <w:szCs w:val="32"/>
          <w:lang w:val="en-US" w:eastAsia="zh-CN" w:bidi="ar-SA"/>
        </w:rPr>
        <w:t>1.城市数字基础设施待夯实</w:t>
      </w:r>
      <w:bookmarkEnd w:id="55"/>
      <w:bookmarkEnd w:id="56"/>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kern w:val="2"/>
          <w:sz w:val="32"/>
          <w:szCs w:val="32"/>
          <w:shd w:val="clear" w:color="auto" w:fill="auto"/>
          <w:lang w:val="en-US" w:eastAsia="zh-CN" w:bidi="ar-SA"/>
        </w:rPr>
        <w:t>5G</w:t>
      </w:r>
      <w:r>
        <w:rPr>
          <w:rFonts w:ascii="仿宋_GB2312" w:hAnsi="仿宋_GB2312" w:eastAsia="仿宋_GB2312" w:cs="仿宋_GB2312"/>
          <w:color w:val="auto"/>
          <w:kern w:val="2"/>
          <w:sz w:val="32"/>
          <w:szCs w:val="32"/>
          <w:shd w:val="clear" w:color="auto" w:fill="auto"/>
          <w:lang w:val="en-US" w:eastAsia="zh-CN" w:bidi="ar-SA"/>
        </w:rPr>
        <w:t>仍需</w:t>
      </w:r>
      <w:r>
        <w:rPr>
          <w:rFonts w:hint="eastAsia" w:ascii="仿宋_GB2312" w:hAnsi="仿宋_GB2312" w:eastAsia="仿宋_GB2312" w:cs="仿宋_GB2312"/>
          <w:color w:val="auto"/>
          <w:kern w:val="2"/>
          <w:sz w:val="32"/>
          <w:szCs w:val="32"/>
          <w:shd w:val="clear" w:color="auto" w:fill="auto"/>
          <w:lang w:val="en-US" w:eastAsia="zh-CN" w:bidi="ar-SA"/>
        </w:rPr>
        <w:t>“信号升格”</w:t>
      </w:r>
      <w:r>
        <w:rPr>
          <w:rFonts w:ascii="仿宋_GB2312" w:hAnsi="仿宋_GB2312" w:eastAsia="仿宋_GB2312" w:cs="仿宋_GB2312"/>
          <w:color w:val="auto"/>
          <w:kern w:val="2"/>
          <w:sz w:val="32"/>
          <w:szCs w:val="32"/>
          <w:shd w:val="clear" w:color="auto" w:fill="auto"/>
          <w:lang w:val="en-US" w:eastAsia="zh-CN" w:bidi="ar-SA"/>
        </w:rPr>
        <w:t>，</w:t>
      </w:r>
      <w:r>
        <w:rPr>
          <w:rFonts w:hint="eastAsia" w:ascii="仿宋_GB2312" w:hAnsi="仿宋_GB2312" w:eastAsia="仿宋_GB2312" w:cs="仿宋_GB2312"/>
          <w:color w:val="auto"/>
          <w:sz w:val="32"/>
          <w:szCs w:val="32"/>
          <w:shd w:val="clear" w:color="auto" w:fill="auto"/>
          <w:lang w:val="en-US" w:eastAsia="zh-CN" w:bidi="ar-SA"/>
        </w:rPr>
        <w:t>算力供给</w:t>
      </w:r>
      <w:r>
        <w:rPr>
          <w:rFonts w:ascii="仿宋_GB2312" w:hAnsi="仿宋_GB2312" w:eastAsia="仿宋_GB2312" w:cs="仿宋_GB2312"/>
          <w:color w:val="auto"/>
          <w:sz w:val="32"/>
          <w:szCs w:val="32"/>
          <w:shd w:val="clear" w:color="auto" w:fill="auto"/>
          <w:lang w:val="en-US" w:eastAsia="zh-CN" w:bidi="ar-SA"/>
        </w:rPr>
        <w:t>仍需</w:t>
      </w:r>
      <w:r>
        <w:rPr>
          <w:rFonts w:hint="eastAsia" w:ascii="仿宋_GB2312" w:hAnsi="仿宋_GB2312" w:eastAsia="仿宋_GB2312" w:cs="仿宋_GB2312"/>
          <w:color w:val="auto"/>
          <w:sz w:val="32"/>
          <w:szCs w:val="32"/>
          <w:shd w:val="clear" w:color="auto" w:fill="auto"/>
          <w:lang w:val="en-US" w:eastAsia="zh-CN" w:bidi="ar-SA"/>
        </w:rPr>
        <w:t>加强</w:t>
      </w:r>
      <w:r>
        <w:rPr>
          <w:rFonts w:ascii="仿宋_GB2312" w:hAnsi="仿宋_GB2312" w:eastAsia="仿宋_GB2312" w:cs="仿宋_GB2312"/>
          <w:color w:val="auto"/>
          <w:sz w:val="32"/>
          <w:szCs w:val="32"/>
          <w:shd w:val="clear" w:color="auto" w:fill="auto"/>
          <w:lang w:val="en-US" w:eastAsia="zh-CN" w:bidi="ar-SA"/>
        </w:rPr>
        <w:t>，基础设施智能化能力有待提升，</w:t>
      </w:r>
      <w:r>
        <w:rPr>
          <w:rFonts w:hint="eastAsia" w:ascii="仿宋_GB2312" w:hAnsi="仿宋_GB2312" w:eastAsia="仿宋_GB2312" w:cs="仿宋_GB2312"/>
          <w:color w:val="auto"/>
          <w:sz w:val="32"/>
          <w:szCs w:val="32"/>
          <w:lang w:val="en-US" w:eastAsia="zh-CN" w:bidi="ar-SA"/>
        </w:rPr>
        <w:t>具有区域影响力的数据流通平台等数据基础设施建设不足。</w:t>
      </w:r>
    </w:p>
    <w:p>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2.数据资源体系需不断健全</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b w:val="0"/>
          <w:bCs w:val="0"/>
          <w:color w:val="auto"/>
          <w:sz w:val="32"/>
          <w:szCs w:val="32"/>
          <w:lang w:val="en-US" w:eastAsia="zh-CN" w:bidi="ar-SA"/>
        </w:rPr>
        <w:t>数据融合关联、场景创新应用能力偏弱，公共</w:t>
      </w:r>
      <w:r>
        <w:rPr>
          <w:rFonts w:hint="eastAsia" w:ascii="仿宋_GB2312" w:hAnsi="仿宋_GB2312" w:eastAsia="仿宋_GB2312" w:cs="仿宋_GB2312"/>
          <w:b w:val="0"/>
          <w:bCs w:val="0"/>
          <w:color w:val="auto"/>
          <w:sz w:val="32"/>
          <w:szCs w:val="32"/>
        </w:rPr>
        <w:t>数据</w:t>
      </w:r>
      <w:r>
        <w:rPr>
          <w:rFonts w:hint="eastAsia" w:ascii="仿宋_GB2312" w:hAnsi="仿宋_GB2312" w:eastAsia="仿宋_GB2312" w:cs="仿宋_GB2312"/>
          <w:b w:val="0"/>
          <w:bCs w:val="0"/>
          <w:color w:val="auto"/>
          <w:sz w:val="32"/>
          <w:szCs w:val="32"/>
          <w:lang w:val="en-US" w:eastAsia="zh-CN"/>
        </w:rPr>
        <w:t>管理规范化有待</w:t>
      </w:r>
      <w:r>
        <w:rPr>
          <w:rFonts w:ascii="仿宋_GB2312" w:hAnsi="仿宋_GB2312" w:eastAsia="仿宋_GB2312" w:cs="仿宋_GB2312"/>
          <w:b w:val="0"/>
          <w:bCs w:val="0"/>
          <w:color w:val="auto"/>
          <w:sz w:val="32"/>
          <w:szCs w:val="32"/>
          <w:lang w:val="en-US" w:eastAsia="zh-CN"/>
        </w:rPr>
        <w:t>加</w:t>
      </w:r>
      <w:r>
        <w:rPr>
          <w:rFonts w:hint="eastAsia" w:ascii="仿宋_GB2312" w:hAnsi="仿宋_GB2312" w:eastAsia="仿宋_GB2312" w:cs="仿宋_GB2312"/>
          <w:b w:val="0"/>
          <w:bCs w:val="0"/>
          <w:color w:val="auto"/>
          <w:sz w:val="32"/>
          <w:szCs w:val="32"/>
        </w:rPr>
        <w:t>强</w:t>
      </w:r>
      <w:r>
        <w:rPr>
          <w:rFonts w:hint="eastAsia" w:ascii="仿宋_GB2312" w:hAnsi="仿宋_GB2312" w:eastAsia="仿宋_GB2312" w:cs="仿宋_GB2312"/>
          <w:color w:val="auto"/>
          <w:sz w:val="32"/>
          <w:szCs w:val="32"/>
          <w:lang w:val="en-US" w:eastAsia="zh-CN" w:bidi="ar-SA"/>
        </w:rPr>
        <w:t>，数据</w:t>
      </w:r>
      <w:r>
        <w:rPr>
          <w:rFonts w:ascii="仿宋_GB2312" w:hAnsi="仿宋_GB2312" w:eastAsia="仿宋_GB2312" w:cs="仿宋_GB2312"/>
          <w:color w:val="auto"/>
          <w:sz w:val="32"/>
          <w:szCs w:val="32"/>
          <w:lang w:val="en-US" w:eastAsia="zh-CN" w:bidi="ar-SA"/>
        </w:rPr>
        <w:t>标准有待完善、数据</w:t>
      </w:r>
      <w:r>
        <w:rPr>
          <w:rFonts w:hint="eastAsia" w:ascii="仿宋_GB2312" w:hAnsi="仿宋_GB2312" w:eastAsia="仿宋_GB2312" w:cs="仿宋_GB2312"/>
          <w:color w:val="auto"/>
          <w:sz w:val="32"/>
          <w:szCs w:val="32"/>
          <w:lang w:val="en-US" w:eastAsia="zh-CN" w:bidi="ar-SA"/>
        </w:rPr>
        <w:t>质量</w:t>
      </w:r>
      <w:r>
        <w:rPr>
          <w:rFonts w:ascii="仿宋_GB2312" w:hAnsi="仿宋_GB2312" w:eastAsia="仿宋_GB2312" w:cs="仿宋_GB2312"/>
          <w:color w:val="auto"/>
          <w:sz w:val="32"/>
          <w:szCs w:val="32"/>
          <w:lang w:val="en-US" w:eastAsia="zh-CN" w:bidi="ar-SA"/>
        </w:rPr>
        <w:t>普遍</w:t>
      </w:r>
      <w:r>
        <w:rPr>
          <w:rFonts w:hint="eastAsia" w:ascii="仿宋_GB2312" w:hAnsi="仿宋_GB2312" w:eastAsia="仿宋_GB2312" w:cs="仿宋_GB2312"/>
          <w:color w:val="auto"/>
          <w:sz w:val="32"/>
          <w:szCs w:val="32"/>
          <w:lang w:val="en-US" w:eastAsia="zh-CN" w:bidi="ar-SA"/>
        </w:rPr>
        <w:t>不高，</w:t>
      </w:r>
      <w:r>
        <w:rPr>
          <w:rFonts w:ascii="仿宋_GB2312" w:hAnsi="仿宋_GB2312" w:eastAsia="仿宋_GB2312" w:cs="仿宋_GB2312"/>
          <w:color w:val="auto"/>
          <w:sz w:val="32"/>
          <w:szCs w:val="32"/>
          <w:lang w:val="en-US" w:eastAsia="zh-CN" w:bidi="ar-SA"/>
        </w:rPr>
        <w:t>数据及技术</w:t>
      </w:r>
      <w:r>
        <w:rPr>
          <w:rFonts w:hint="eastAsia" w:ascii="仿宋_GB2312" w:hAnsi="仿宋_GB2312" w:eastAsia="仿宋_GB2312" w:cs="仿宋_GB2312"/>
          <w:color w:val="auto"/>
          <w:sz w:val="32"/>
          <w:szCs w:val="32"/>
          <w:lang w:val="en-US" w:eastAsia="zh-CN" w:bidi="ar-SA"/>
        </w:rPr>
        <w:t>安全风险日益增加。</w:t>
      </w:r>
    </w:p>
    <w:p>
      <w:pPr>
        <w:keepNext w:val="0"/>
        <w:keepLines w:val="0"/>
        <w:pageBreakBefore w:val="0"/>
        <w:widowControl w:val="0"/>
        <w:kinsoku/>
        <w:wordWrap/>
        <w:overflowPunct/>
        <w:topLinePunct w:val="0"/>
        <w:autoSpaceDE/>
        <w:autoSpaceDN/>
        <w:bidi w:val="0"/>
        <w:adjustRightInd/>
        <w:snapToGrid/>
        <w:spacing w:line="560" w:lineRule="exact"/>
        <w:ind w:left="635" w:firstLine="0"/>
        <w:textAlignment w:val="auto"/>
        <w:outlineLvl w:val="2"/>
        <w:rPr>
          <w:rFonts w:hint="eastAsia" w:ascii="仿宋_GB2312" w:hAnsi="仿宋_GB2312" w:eastAsia="仿宋_GB2312" w:cs="仿宋_GB2312"/>
          <w:b/>
          <w:bCs/>
          <w:color w:val="auto"/>
          <w:sz w:val="32"/>
          <w:szCs w:val="32"/>
          <w:lang w:val="en-US" w:eastAsia="zh-CN" w:bidi="ar-SA"/>
        </w:rPr>
      </w:pPr>
      <w:bookmarkStart w:id="58" w:name="_Toc11791"/>
      <w:bookmarkStart w:id="59" w:name="_Toc256"/>
      <w:r>
        <w:rPr>
          <w:rFonts w:hint="eastAsia" w:ascii="仿宋_GB2312" w:hAnsi="仿宋_GB2312" w:eastAsia="仿宋_GB2312" w:cs="仿宋_GB2312"/>
          <w:b/>
          <w:bCs/>
          <w:color w:val="auto"/>
          <w:sz w:val="32"/>
          <w:szCs w:val="32"/>
          <w:lang w:val="en-US" w:eastAsia="zh-CN" w:bidi="ar-SA"/>
        </w:rPr>
        <w:t>3.城市适数化</w:t>
      </w:r>
      <w:bookmarkEnd w:id="58"/>
      <w:r>
        <w:rPr>
          <w:rFonts w:hint="eastAsia" w:ascii="仿宋_GB2312" w:hAnsi="仿宋_GB2312" w:eastAsia="仿宋_GB2312" w:cs="仿宋_GB2312"/>
          <w:b/>
          <w:bCs/>
          <w:color w:val="auto"/>
          <w:sz w:val="32"/>
          <w:szCs w:val="32"/>
          <w:lang w:val="en-US" w:eastAsia="zh-CN" w:bidi="ar-SA"/>
        </w:rPr>
        <w:t>仍需补全短板</w:t>
      </w:r>
      <w:bookmarkEnd w:id="59"/>
    </w:p>
    <w:p>
      <w:pPr>
        <w:pStyle w:val="31"/>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bidi="ar-SA"/>
        </w:rPr>
        <w:t>全区智慧城市建设尚未满足一体化、协同推进的新要求，“纵</w:t>
      </w:r>
      <w:r>
        <w:rPr>
          <w:rFonts w:hint="eastAsia" w:ascii="仿宋_GB2312" w:hAnsi="仿宋_GB2312" w:eastAsia="仿宋_GB2312" w:cs="仿宋_GB2312"/>
          <w:color w:val="auto"/>
          <w:kern w:val="2"/>
          <w:sz w:val="32"/>
          <w:szCs w:val="32"/>
          <w:lang w:val="en-US" w:eastAsia="zh-CN" w:bidi="ar-SA"/>
        </w:rPr>
        <w:t>强横弱、条块分割”的问题依然突出，</w:t>
      </w:r>
      <w:r>
        <w:rPr>
          <w:rFonts w:hint="eastAsia" w:ascii="仿宋_GB2312" w:hAnsi="仿宋_GB2312" w:eastAsia="仿宋_GB2312" w:cs="仿宋_GB2312"/>
          <w:color w:val="auto"/>
          <w:sz w:val="32"/>
          <w:szCs w:val="32"/>
          <w:lang w:val="en-US" w:eastAsia="zh-CN" w:bidi="ar-SA"/>
        </w:rPr>
        <w:t>城市治理体系还不完善，</w:t>
      </w:r>
      <w:r>
        <w:rPr>
          <w:rFonts w:hint="eastAsia" w:ascii="仿宋_GB2312" w:hAnsi="仿宋_GB2312" w:eastAsia="仿宋_GB2312" w:cs="仿宋_GB2312"/>
          <w:color w:val="auto"/>
          <w:kern w:val="2"/>
          <w:sz w:val="32"/>
          <w:szCs w:val="32"/>
          <w:lang w:val="en-US" w:eastAsia="zh-CN" w:bidi="ar-SA"/>
        </w:rPr>
        <w:t>“七有五性”普惠化、智能化应用较弱。</w:t>
      </w:r>
    </w:p>
    <w:p>
      <w:pPr>
        <w:keepNext w:val="0"/>
        <w:keepLines w:val="0"/>
        <w:pageBreakBefore w:val="0"/>
        <w:widowControl w:val="0"/>
        <w:kinsoku/>
        <w:wordWrap/>
        <w:overflowPunct/>
        <w:topLinePunct w:val="0"/>
        <w:autoSpaceDE/>
        <w:autoSpaceDN/>
        <w:bidi w:val="0"/>
        <w:adjustRightInd/>
        <w:snapToGrid/>
        <w:spacing w:line="560" w:lineRule="exact"/>
        <w:ind w:left="635"/>
        <w:textAlignment w:val="auto"/>
        <w:outlineLvl w:val="2"/>
        <w:rPr>
          <w:rFonts w:hint="eastAsia" w:ascii="仿宋_GB2312" w:hAnsi="仿宋_GB2312" w:eastAsia="仿宋_GB2312" w:cs="仿宋_GB2312"/>
          <w:b/>
          <w:bCs/>
          <w:color w:val="auto"/>
          <w:sz w:val="32"/>
          <w:szCs w:val="32"/>
          <w:lang w:val="en-US" w:eastAsia="zh-CN" w:bidi="ar-SA"/>
        </w:rPr>
      </w:pPr>
      <w:bookmarkStart w:id="60" w:name="_Toc20157"/>
      <w:bookmarkStart w:id="61" w:name="_Toc28293"/>
      <w:r>
        <w:rPr>
          <w:rFonts w:hint="eastAsia" w:ascii="仿宋_GB2312" w:hAnsi="仿宋_GB2312" w:eastAsia="仿宋_GB2312" w:cs="仿宋_GB2312"/>
          <w:b/>
          <w:bCs/>
          <w:color w:val="auto"/>
          <w:sz w:val="32"/>
          <w:szCs w:val="32"/>
          <w:lang w:val="en-US" w:eastAsia="zh-CN" w:bidi="ar-SA"/>
        </w:rPr>
        <w:t>4.数据要素价值有待释放</w:t>
      </w:r>
      <w:bookmarkEnd w:id="60"/>
      <w:bookmarkEnd w:id="61"/>
    </w:p>
    <w:p>
      <w:pPr>
        <w:pStyle w:val="10"/>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高质量数据集尤其是专业化数据集供给不足</w:t>
      </w:r>
      <w:r>
        <w:rPr>
          <w:rFonts w:ascii="仿宋_GB2312" w:hAnsi="仿宋_GB2312" w:eastAsia="仿宋_GB2312" w:cs="仿宋_GB2312"/>
          <w:color w:val="auto"/>
          <w:sz w:val="32"/>
          <w:szCs w:val="32"/>
          <w:lang w:val="en-US" w:eastAsia="zh-CN" w:bidi="ar-SA"/>
        </w:rPr>
        <w:t>，数据流通交易不畅，</w:t>
      </w:r>
      <w:r>
        <w:rPr>
          <w:rFonts w:hint="eastAsia" w:ascii="仿宋_GB2312" w:hAnsi="仿宋_GB2312" w:eastAsia="仿宋_GB2312" w:cs="仿宋_GB2312"/>
          <w:color w:val="auto"/>
          <w:sz w:val="32"/>
          <w:szCs w:val="32"/>
          <w:lang w:val="en-US" w:eastAsia="zh-CN" w:bidi="ar-SA"/>
        </w:rPr>
        <w:t>数据开发利用</w:t>
      </w:r>
      <w:r>
        <w:rPr>
          <w:rFonts w:ascii="仿宋_GB2312" w:hAnsi="仿宋_GB2312" w:eastAsia="仿宋_GB2312" w:cs="仿宋_GB2312"/>
          <w:color w:val="auto"/>
          <w:sz w:val="32"/>
          <w:szCs w:val="32"/>
          <w:lang w:val="en-US" w:eastAsia="zh-CN" w:bidi="ar-SA"/>
        </w:rPr>
        <w:t>水平</w:t>
      </w:r>
      <w:r>
        <w:rPr>
          <w:rFonts w:hint="eastAsia" w:ascii="仿宋_GB2312" w:hAnsi="仿宋_GB2312" w:eastAsia="仿宋_GB2312" w:cs="仿宋_GB2312"/>
          <w:color w:val="auto"/>
          <w:sz w:val="32"/>
          <w:szCs w:val="32"/>
          <w:lang w:val="en-US" w:eastAsia="zh-CN" w:bidi="ar-SA"/>
        </w:rPr>
        <w:t>偏弱；辖区数据类龙头企业稀缺，产业集聚与辐射带动效应不足。</w:t>
      </w:r>
    </w:p>
    <w:bookmarkEnd w:id="57"/>
    <w:p>
      <w:pPr>
        <w:pBdr>
          <w:top w:val="none" w:color="auto" w:sz="0" w:space="0"/>
          <w:left w:val="none" w:color="auto" w:sz="0" w:space="0"/>
          <w:bottom w:val="none" w:color="auto" w:sz="0" w:space="0"/>
          <w:right w:val="none" w:color="auto" w:sz="0" w:space="0"/>
          <w:between w:val="none" w:color="auto" w:sz="0" w:space="0"/>
        </w:pBdr>
        <w:spacing w:after="0" w:line="560" w:lineRule="exact"/>
        <w:ind w:firstLine="640" w:firstLineChars="200"/>
        <w:outlineLvl w:val="1"/>
        <w:rPr>
          <w:rFonts w:ascii="Times New Roman" w:hAnsi="Times New Roman" w:eastAsia="楷体" w:cs="Times New Roman"/>
          <w:color w:val="auto"/>
          <w:sz w:val="32"/>
          <w:szCs w:val="32"/>
          <w:u w:val="none"/>
          <w:lang w:val="en-US" w:eastAsia="zh-CN" w:bidi="ar-SA"/>
        </w:rPr>
      </w:pPr>
      <w:bookmarkStart w:id="62" w:name="_Toc22534"/>
      <w:bookmarkStart w:id="63" w:name="_Toc32088"/>
      <w:bookmarkStart w:id="64" w:name="_Toc5912"/>
      <w:bookmarkStart w:id="65" w:name="_Toc24971"/>
      <w:bookmarkStart w:id="66" w:name="_Toc26025"/>
      <w:bookmarkStart w:id="67" w:name="_Toc25593"/>
      <w:bookmarkStart w:id="68" w:name="_Toc29286"/>
      <w:bookmarkStart w:id="69" w:name="_Toc15452"/>
      <w:bookmarkStart w:id="70" w:name="_Toc8438"/>
      <w:bookmarkStart w:id="71" w:name="_Toc23321"/>
      <w:bookmarkStart w:id="72" w:name="_Toc8985"/>
      <w:bookmarkStart w:id="73" w:name="_Toc62413974"/>
      <w:bookmarkStart w:id="74" w:name="_Toc14838"/>
      <w:bookmarkStart w:id="75" w:name="_Toc16699"/>
      <w:bookmarkStart w:id="76" w:name="_Toc8162"/>
      <w:bookmarkStart w:id="77" w:name="_Toc18602"/>
      <w:r>
        <w:rPr>
          <w:rFonts w:hint="eastAsia" w:ascii="Times New Roman" w:hAnsi="Times New Roman" w:eastAsia="楷体" w:cs="Times New Roman"/>
          <w:color w:val="auto"/>
          <w:sz w:val="32"/>
          <w:szCs w:val="32"/>
          <w:u w:val="none"/>
          <w:lang w:val="en-US" w:eastAsia="zh-CN" w:bidi="ar-SA"/>
        </w:rPr>
        <w:t>（三）</w:t>
      </w:r>
      <w:bookmarkEnd w:id="62"/>
      <w:bookmarkEnd w:id="63"/>
      <w:bookmarkEnd w:id="64"/>
      <w:r>
        <w:rPr>
          <w:rFonts w:hint="eastAsia" w:ascii="Times New Roman" w:hAnsi="Times New Roman" w:eastAsia="楷体" w:cs="Times New Roman"/>
          <w:color w:val="auto"/>
          <w:sz w:val="32"/>
          <w:szCs w:val="32"/>
          <w:u w:val="none"/>
          <w:lang w:val="en-US" w:eastAsia="zh-CN" w:bidi="ar-SA"/>
        </w:rPr>
        <w:t>发展形势</w:t>
      </w:r>
      <w:bookmarkEnd w:id="65"/>
      <w:bookmarkEnd w:id="66"/>
      <w:bookmarkEnd w:id="67"/>
      <w:bookmarkEnd w:id="68"/>
      <w:bookmarkEnd w:id="69"/>
      <w:bookmarkEnd w:id="70"/>
      <w:bookmarkEnd w:id="71"/>
      <w:bookmarkEnd w:id="72"/>
      <w:bookmarkEnd w:id="73"/>
      <w:bookmarkEnd w:id="74"/>
    </w:p>
    <w:p>
      <w:pPr>
        <w:keepNext w:val="0"/>
        <w:keepLines w:val="0"/>
        <w:pageBreakBefore w:val="0"/>
        <w:widowControl w:val="0"/>
        <w:kinsoku/>
        <w:wordWrap/>
        <w:overflowPunct/>
        <w:topLinePunct w:val="0"/>
        <w:autoSpaceDE w:val="0"/>
        <w:autoSpaceDN w:val="0"/>
        <w:adjustRightInd/>
        <w:snapToGrid/>
        <w:spacing w:line="56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bidi="ar-SA"/>
        </w:rPr>
        <w:t>《中华人民共和国国民经济和社会发展第十五个五年规划纲要》首次将“‌数智化‌”作为国家战略关键词单独成篇部署，明确提出“‌深入推进数字中国建设，提升数智化发展水平‌”‌。对于未来发展形势，</w:t>
      </w:r>
      <w:r>
        <w:rPr>
          <w:rFonts w:hint="eastAsia" w:ascii="仿宋_GB2312" w:hAnsi="仿宋_GB2312" w:eastAsia="仿宋_GB2312" w:cs="仿宋_GB2312"/>
          <w:color w:val="auto"/>
          <w:sz w:val="32"/>
          <w:szCs w:val="32"/>
        </w:rPr>
        <w:t>形成如下四点判断：</w:t>
      </w:r>
      <w:r>
        <w:rPr>
          <w:rFonts w:ascii="仿宋_GB2312" w:hAnsi="仿宋_GB2312" w:eastAsia="仿宋_GB2312" w:cs="仿宋_GB2312"/>
          <w:color w:val="auto"/>
          <w:sz w:val="32"/>
          <w:szCs w:val="32"/>
        </w:rPr>
        <w:t>一是</w:t>
      </w:r>
      <w:r>
        <w:rPr>
          <w:rFonts w:hint="eastAsia" w:ascii="仿宋_GB2312" w:hAnsi="仿宋_GB2312" w:eastAsia="仿宋_GB2312" w:cs="仿宋_GB2312"/>
          <w:color w:val="auto"/>
          <w:sz w:val="32"/>
          <w:szCs w:val="32"/>
          <w:lang w:val="en-US" w:eastAsia="zh-CN"/>
        </w:rPr>
        <w:t>以高效协同、泛在智能、安全稳固为特征的新型网络体系，将全面支撑智慧城市集约化、协同化、智能化建设。</w:t>
      </w:r>
      <w:r>
        <w:rPr>
          <w:rFonts w:ascii="仿宋_GB2312" w:eastAsia="仿宋_GB2312" w:cs="仿宋_GB2312"/>
          <w:color w:val="auto"/>
          <w:sz w:val="32"/>
          <w:szCs w:val="32"/>
        </w:rPr>
        <w:t>二是数据要素作为新质生产力的核心资源，将成为推动城市高质量发展的新增长点；三是数智技术深度重塑产业发展与城市治理体系，适数化改革将成为推进城市治理现代化的重要抓手；四是人工智能正深度渗透智慧城市各领域，成为智慧城市建设的新趋势与新特征</w:t>
      </w:r>
      <w:r>
        <w:rPr>
          <w:rFonts w:hint="eastAsia" w:ascii="仿宋_GB2312" w:hAnsi="仿宋_GB2312" w:eastAsia="仿宋_GB2312" w:cs="仿宋_GB2312"/>
          <w:bCs/>
          <w:color w:val="auto"/>
          <w:sz w:val="32"/>
          <w:szCs w:val="32"/>
        </w:rPr>
        <w:t>。</w:t>
      </w:r>
      <w:r>
        <w:rPr>
          <w:rFonts w:hint="eastAsia" w:ascii="仿宋_GB2312" w:hAnsi="仿宋_GB2312" w:eastAsia="仿宋_GB2312" w:cs="仿宋_GB2312"/>
          <w:color w:val="auto"/>
          <w:sz w:val="32"/>
          <w:szCs w:val="32"/>
        </w:rPr>
        <w:t>面向“十五五”，石景山区智慧城市建设要准确把握新形势下我国城市发展规律，坚持将城市作为有机生命体系统谋划，创新城市治理理念、模式、手段，用好人工智能、大数据等前沿技术，高效解决群众企业急难愁盼问题。</w:t>
      </w:r>
    </w:p>
    <w:p>
      <w:pPr>
        <w:keepNext w:val="0"/>
        <w:keepLines w:val="0"/>
        <w:pageBreakBefore w:val="0"/>
        <w:widowControl w:val="0"/>
        <w:kinsoku/>
        <w:wordWrap/>
        <w:overflowPunct/>
        <w:topLinePunct w:val="0"/>
        <w:autoSpaceDE w:val="0"/>
        <w:autoSpaceDN w:val="0"/>
        <w:adjustRightInd/>
        <w:snapToGrid/>
        <w:spacing w:beforeAutospacing="0" w:afterAutospacing="0" w:line="560" w:lineRule="exact"/>
        <w:ind w:firstLine="640" w:firstLineChars="200"/>
        <w:outlineLvl w:val="0"/>
        <w:rPr>
          <w:rFonts w:hint="eastAsia" w:ascii="黑体" w:hAnsi="黑体" w:eastAsia="黑体" w:cs="黑体"/>
          <w:b w:val="0"/>
          <w:bCs w:val="0"/>
          <w:color w:val="auto"/>
          <w:kern w:val="0"/>
          <w:sz w:val="32"/>
          <w:szCs w:val="32"/>
          <w:lang w:val="en-US" w:eastAsia="zh-CN" w:bidi="zh-CN"/>
        </w:rPr>
      </w:pPr>
      <w:bookmarkStart w:id="78" w:name="_Toc5648"/>
      <w:bookmarkStart w:id="79" w:name="_Toc62413975"/>
      <w:bookmarkStart w:id="80" w:name="_Toc24983"/>
      <w:bookmarkStart w:id="81" w:name="_Toc5381"/>
      <w:bookmarkStart w:id="82" w:name="_Toc25652"/>
      <w:bookmarkStart w:id="83" w:name="_Toc12643"/>
      <w:bookmarkStart w:id="84" w:name="_Toc27940"/>
      <w:bookmarkStart w:id="85" w:name="_Toc23261"/>
      <w:bookmarkStart w:id="86" w:name="_Toc31546"/>
      <w:bookmarkStart w:id="87" w:name="_Toc12874"/>
      <w:r>
        <w:rPr>
          <w:rFonts w:hint="eastAsia" w:ascii="黑体" w:hAnsi="黑体" w:eastAsia="黑体" w:cs="黑体"/>
          <w:b w:val="0"/>
          <w:bCs w:val="0"/>
          <w:color w:val="auto"/>
          <w:kern w:val="0"/>
          <w:sz w:val="32"/>
          <w:szCs w:val="32"/>
          <w:lang w:val="en-US" w:eastAsia="zh-CN" w:bidi="zh-CN"/>
        </w:rPr>
        <w:t>二、总体要求</w:t>
      </w:r>
      <w:bookmarkEnd w:id="78"/>
      <w:bookmarkEnd w:id="79"/>
      <w:bookmarkEnd w:id="80"/>
      <w:bookmarkEnd w:id="81"/>
      <w:bookmarkEnd w:id="82"/>
      <w:bookmarkEnd w:id="83"/>
      <w:bookmarkEnd w:id="84"/>
      <w:bookmarkEnd w:id="85"/>
      <w:bookmarkEnd w:id="86"/>
      <w:bookmarkEnd w:id="87"/>
    </w:p>
    <w:bookmarkEnd w:id="75"/>
    <w:bookmarkEnd w:id="76"/>
    <w:bookmarkEnd w:id="77"/>
    <w:p>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spacing w:beforeAutospacing="0" w:afterAutospacing="0" w:line="560" w:lineRule="exact"/>
        <w:ind w:firstLine="640" w:firstLineChars="200"/>
        <w:jc w:val="left"/>
        <w:outlineLvl w:val="1"/>
        <w:rPr>
          <w:rFonts w:hint="eastAsia" w:ascii="楷体_GB2312" w:hAnsi="Times New Roman" w:eastAsia="楷体_GB2312" w:cs="楷体_GB2312"/>
          <w:color w:val="auto"/>
          <w:kern w:val="0"/>
          <w:sz w:val="32"/>
          <w:szCs w:val="32"/>
          <w:lang w:val="en-US" w:eastAsia="zh-CN" w:bidi="ar-SA"/>
        </w:rPr>
      </w:pPr>
      <w:bookmarkStart w:id="88" w:name="_Toc1113"/>
      <w:bookmarkStart w:id="89" w:name="_Toc22154"/>
      <w:bookmarkStart w:id="90" w:name="_Toc6277"/>
      <w:bookmarkStart w:id="91" w:name="_Toc27457"/>
      <w:bookmarkStart w:id="92" w:name="_Toc24806"/>
      <w:bookmarkStart w:id="93" w:name="_Toc31472"/>
      <w:bookmarkStart w:id="94" w:name="_Toc25389"/>
      <w:bookmarkStart w:id="95" w:name="_Toc11478"/>
      <w:bookmarkStart w:id="96" w:name="_Toc17036"/>
      <w:bookmarkStart w:id="97" w:name="_Toc62413976"/>
      <w:r>
        <w:rPr>
          <w:rFonts w:hint="eastAsia" w:ascii="楷体_GB2312" w:hAnsi="Times New Roman" w:eastAsia="楷体_GB2312" w:cs="楷体_GB2312"/>
          <w:color w:val="auto"/>
          <w:kern w:val="0"/>
          <w:sz w:val="32"/>
          <w:szCs w:val="32"/>
          <w:lang w:val="en-US" w:eastAsia="zh-CN" w:bidi="ar-SA"/>
        </w:rPr>
        <w:t>（一）</w:t>
      </w:r>
      <w:r>
        <w:rPr>
          <w:rFonts w:hint="eastAsia" w:ascii="楷体_GB2312" w:eastAsia="楷体_GB2312" w:cs="楷体_GB2312"/>
          <w:color w:val="auto"/>
          <w:kern w:val="0"/>
          <w:sz w:val="32"/>
          <w:szCs w:val="32"/>
          <w:lang w:val="en-US" w:eastAsia="zh-CN" w:bidi="ar-SA"/>
        </w:rPr>
        <w:t>指导思想</w:t>
      </w:r>
      <w:bookmarkEnd w:id="88"/>
      <w:bookmarkEnd w:id="89"/>
      <w:bookmarkEnd w:id="90"/>
      <w:bookmarkEnd w:id="91"/>
      <w:bookmarkEnd w:id="92"/>
      <w:bookmarkEnd w:id="93"/>
      <w:bookmarkEnd w:id="94"/>
      <w:bookmarkEnd w:id="95"/>
      <w:bookmarkEnd w:id="96"/>
      <w:bookmarkEnd w:id="97"/>
    </w:p>
    <w:p>
      <w:pPr>
        <w:pStyle w:val="10"/>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以习近平新时代中国特色社会主义思想为指导，深入贯彻党的二十大和二十届历次全</w:t>
      </w:r>
      <w:r>
        <w:rPr>
          <w:rFonts w:hint="eastAsia" w:ascii="仿宋_GB2312" w:hAnsi="仿宋_GB2312" w:eastAsia="仿宋_GB2312" w:cs="仿宋_GB2312"/>
          <w:color w:val="auto"/>
          <w:sz w:val="32"/>
          <w:szCs w:val="32"/>
          <w:highlight w:val="none"/>
          <w:lang w:val="en-US" w:eastAsia="zh-CN" w:bidi="ar-SA"/>
        </w:rPr>
        <w:t>会精神</w:t>
      </w:r>
      <w:r>
        <w:rPr>
          <w:rFonts w:ascii="仿宋_GB2312" w:hAnsi="仿宋_GB2312" w:eastAsia="仿宋_GB2312" w:cs="仿宋_GB2312"/>
          <w:color w:val="auto"/>
          <w:sz w:val="32"/>
          <w:szCs w:val="32"/>
          <w:highlight w:val="none"/>
          <w:lang w:val="en-US" w:eastAsia="zh-CN" w:bidi="ar-SA"/>
        </w:rPr>
        <w:t>及</w:t>
      </w:r>
      <w:r>
        <w:rPr>
          <w:rFonts w:hint="eastAsia" w:ascii="仿宋_GB2312" w:hAnsi="仿宋_GB2312" w:eastAsia="仿宋_GB2312" w:cs="仿宋_GB2312"/>
          <w:color w:val="auto"/>
          <w:sz w:val="32"/>
          <w:szCs w:val="32"/>
          <w:highlight w:val="none"/>
          <w:lang w:val="en-US" w:eastAsia="zh-CN" w:bidi="ar-SA"/>
        </w:rPr>
        <w:t>“十五五”时期数智北京发展规划</w:t>
      </w:r>
      <w:r>
        <w:rPr>
          <w:rFonts w:ascii="仿宋_GB2312" w:hAnsi="仿宋_GB2312" w:eastAsia="仿宋_GB2312" w:cs="仿宋_GB2312"/>
          <w:color w:val="auto"/>
          <w:sz w:val="32"/>
          <w:szCs w:val="32"/>
          <w:highlight w:val="none"/>
          <w:lang w:val="en-US" w:eastAsia="zh-CN" w:bidi="ar-SA"/>
        </w:rPr>
        <w:t>编制要求</w:t>
      </w:r>
      <w:r>
        <w:rPr>
          <w:rFonts w:hint="eastAsia" w:ascii="仿宋_GB2312" w:hAnsi="仿宋_GB2312" w:eastAsia="仿宋_GB2312" w:cs="仿宋_GB2312"/>
          <w:color w:val="auto"/>
          <w:sz w:val="32"/>
          <w:szCs w:val="32"/>
          <w:highlight w:val="none"/>
          <w:lang w:val="en-US" w:eastAsia="zh-CN" w:bidi="ar-SA"/>
        </w:rPr>
        <w:t>，把握北京市建设国家数据要素综合</w:t>
      </w:r>
      <w:r>
        <w:rPr>
          <w:rFonts w:hint="eastAsia" w:ascii="仿宋_GB2312" w:hAnsi="仿宋_GB2312" w:eastAsia="仿宋_GB2312" w:cs="仿宋_GB2312"/>
          <w:color w:val="auto"/>
          <w:sz w:val="32"/>
          <w:szCs w:val="32"/>
          <w:lang w:val="en-US" w:eastAsia="zh-CN" w:bidi="ar-SA"/>
        </w:rPr>
        <w:t>试验区发展机遇，</w:t>
      </w:r>
      <w:r>
        <w:rPr>
          <w:rFonts w:ascii="仿宋_GB2312" w:hAnsi="仿宋_GB2312" w:eastAsia="仿宋_GB2312" w:cs="仿宋_GB2312"/>
          <w:color w:val="auto"/>
          <w:sz w:val="32"/>
          <w:szCs w:val="32"/>
          <w:lang w:val="en-US" w:eastAsia="zh-CN" w:bidi="ar-SA"/>
        </w:rPr>
        <w:t>立足</w:t>
      </w:r>
      <w:r>
        <w:rPr>
          <w:rFonts w:hint="eastAsia" w:ascii="仿宋_GB2312" w:hAnsi="仿宋_GB2312" w:eastAsia="仿宋_GB2312" w:cs="仿宋_GB2312"/>
          <w:color w:val="auto"/>
          <w:sz w:val="32"/>
          <w:szCs w:val="32"/>
          <w:lang w:val="en-US" w:eastAsia="zh-CN" w:bidi="ar-SA"/>
        </w:rPr>
        <w:t>“</w:t>
      </w:r>
      <w:r>
        <w:rPr>
          <w:rFonts w:ascii="仿宋_GB2312" w:hAnsi="仿宋_GB2312" w:eastAsia="仿宋_GB2312" w:cs="仿宋_GB2312"/>
          <w:color w:val="auto"/>
          <w:sz w:val="32"/>
          <w:szCs w:val="32"/>
          <w:lang w:val="en-US" w:eastAsia="zh-CN" w:bidi="ar-SA"/>
        </w:rPr>
        <w:t>三区</w:t>
      </w:r>
      <w:r>
        <w:rPr>
          <w:rFonts w:hint="eastAsia" w:ascii="仿宋_GB2312" w:hAnsi="仿宋_GB2312" w:eastAsia="仿宋_GB2312" w:cs="仿宋_GB2312"/>
          <w:color w:val="auto"/>
          <w:sz w:val="32"/>
          <w:szCs w:val="32"/>
          <w:lang w:val="en-US" w:eastAsia="zh-CN" w:bidi="ar-SA"/>
        </w:rPr>
        <w:t>”</w:t>
      </w:r>
      <w:r>
        <w:rPr>
          <w:rFonts w:ascii="仿宋_GB2312" w:hAnsi="仿宋_GB2312" w:eastAsia="仿宋_GB2312" w:cs="仿宋_GB2312"/>
          <w:color w:val="auto"/>
          <w:sz w:val="32"/>
          <w:szCs w:val="32"/>
          <w:lang w:val="en-US" w:eastAsia="zh-CN" w:bidi="ar-SA"/>
        </w:rPr>
        <w:t>定位，</w:t>
      </w:r>
      <w:r>
        <w:rPr>
          <w:rFonts w:hint="eastAsia" w:ascii="仿宋_GB2312" w:hAnsi="仿宋_GB2312" w:eastAsia="仿宋_GB2312" w:cs="仿宋_GB2312"/>
          <w:color w:val="auto"/>
          <w:sz w:val="32"/>
          <w:szCs w:val="32"/>
          <w:lang w:val="en-US" w:eastAsia="zh-CN" w:bidi="ar-SA"/>
        </w:rPr>
        <w:t>认真践行人民城市理念，统筹高质量发展和高水平安全，以数据要素市场化配置改革为主线，充分发挥数据的基础资源作用和创新引擎作用，以千行百业场景创新推动石景山区全域数智化建设，全面提升城市能级和核心竞争力，不断增强人民群众的获得感、幸福感、安全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spacing w:beforeAutospacing="0" w:afterAutospacing="0" w:line="560" w:lineRule="exact"/>
        <w:ind w:firstLine="640" w:firstLineChars="200"/>
        <w:jc w:val="left"/>
        <w:outlineLvl w:val="1"/>
        <w:rPr>
          <w:rFonts w:hint="eastAsia" w:ascii="楷体_GB2312" w:hAnsi="Times New Roman" w:eastAsia="楷体_GB2312" w:cs="楷体_GB2312"/>
          <w:color w:val="auto"/>
          <w:kern w:val="0"/>
          <w:sz w:val="32"/>
          <w:szCs w:val="32"/>
          <w:lang w:val="en-US" w:eastAsia="zh-CN" w:bidi="ar-SA"/>
        </w:rPr>
      </w:pPr>
      <w:bookmarkStart w:id="98" w:name="_Toc30684"/>
      <w:bookmarkStart w:id="99" w:name="_Toc164"/>
      <w:bookmarkStart w:id="100" w:name="_Toc19336"/>
      <w:bookmarkStart w:id="101" w:name="_Toc62413977"/>
      <w:bookmarkStart w:id="102" w:name="_Toc30712"/>
      <w:bookmarkStart w:id="103" w:name="_Toc22357"/>
      <w:bookmarkStart w:id="104" w:name="_Toc21246"/>
      <w:bookmarkStart w:id="105" w:name="_Toc17990"/>
      <w:bookmarkStart w:id="106" w:name="_Toc11019"/>
      <w:bookmarkStart w:id="107" w:name="_Toc20222"/>
      <w:r>
        <w:rPr>
          <w:rFonts w:hint="eastAsia" w:ascii="楷体_GB2312" w:hAnsi="Times New Roman" w:eastAsia="楷体_GB2312" w:cs="楷体_GB2312"/>
          <w:color w:val="auto"/>
          <w:kern w:val="0"/>
          <w:sz w:val="32"/>
          <w:szCs w:val="32"/>
          <w:lang w:val="en-US" w:eastAsia="zh-CN" w:bidi="ar-SA"/>
        </w:rPr>
        <w:t>（二）主要原则</w:t>
      </w:r>
      <w:bookmarkEnd w:id="98"/>
      <w:bookmarkEnd w:id="99"/>
      <w:bookmarkEnd w:id="100"/>
      <w:bookmarkEnd w:id="101"/>
      <w:bookmarkEnd w:id="102"/>
      <w:bookmarkEnd w:id="103"/>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Times New Roman" w:hAnsi="Times New Roman" w:eastAsia="仿宋_GB2312" w:cs="仿宋"/>
          <w:color w:val="auto"/>
          <w:sz w:val="32"/>
          <w:szCs w:val="32"/>
          <w:lang w:eastAsia="zh-CN" w:bidi="ar-SA"/>
        </w:rPr>
      </w:pPr>
      <w:r>
        <w:rPr>
          <w:rFonts w:hint="eastAsia" w:ascii="Times New Roman" w:hAnsi="Times New Roman" w:eastAsia="仿宋_GB2312" w:cs="仿宋"/>
          <w:b/>
          <w:bCs/>
          <w:color w:val="auto"/>
          <w:sz w:val="32"/>
          <w:szCs w:val="32"/>
          <w:lang w:eastAsia="zh-CN" w:bidi="ar-SA"/>
        </w:rPr>
        <w:t>统筹规划，</w:t>
      </w:r>
      <w:r>
        <w:rPr>
          <w:rFonts w:hint="eastAsia" w:ascii="Times New Roman" w:hAnsi="Times New Roman" w:eastAsia="仿宋_GB2312" w:cs="仿宋"/>
          <w:b/>
          <w:bCs/>
          <w:color w:val="auto"/>
          <w:sz w:val="32"/>
          <w:szCs w:val="32"/>
          <w:lang w:val="en-US" w:eastAsia="zh-CN" w:bidi="ar-SA"/>
        </w:rPr>
        <w:t>系统推进</w:t>
      </w:r>
      <w:r>
        <w:rPr>
          <w:rFonts w:hint="eastAsia" w:ascii="Times New Roman" w:hAnsi="Times New Roman" w:eastAsia="仿宋_GB2312" w:cs="仿宋"/>
          <w:b/>
          <w:bCs/>
          <w:color w:val="auto"/>
          <w:sz w:val="32"/>
          <w:szCs w:val="32"/>
          <w:lang w:eastAsia="zh-CN" w:bidi="ar-SA"/>
        </w:rPr>
        <w:t>。</w:t>
      </w:r>
      <w:r>
        <w:rPr>
          <w:rFonts w:hint="eastAsia" w:ascii="仿宋_GB2312" w:hAnsi="仿宋_GB2312" w:eastAsia="仿宋_GB2312" w:cs="仿宋_GB2312"/>
          <w:color w:val="auto"/>
          <w:sz w:val="32"/>
          <w:szCs w:val="32"/>
          <w:lang w:val="en-US" w:eastAsia="zh-CN" w:bidi="ar-SA"/>
        </w:rPr>
        <w:t>统筹推动技术、业务、数据融合，推动</w:t>
      </w:r>
      <w:r>
        <w:rPr>
          <w:rFonts w:hint="eastAsia" w:ascii="仿宋_GB2312" w:hAnsi="仿宋_GB2312" w:eastAsia="仿宋_GB2312" w:cs="仿宋_GB2312"/>
          <w:color w:val="auto"/>
          <w:sz w:val="32"/>
          <w:szCs w:val="32"/>
          <w:lang w:eastAsia="zh-CN" w:bidi="ar-SA"/>
        </w:rPr>
        <w:t>跨层级、跨地域、跨系统、跨部门、跨业务的协同</w:t>
      </w:r>
      <w:r>
        <w:rPr>
          <w:rFonts w:hint="eastAsia" w:ascii="仿宋_GB2312" w:hAnsi="仿宋_GB2312" w:eastAsia="仿宋_GB2312" w:cs="仿宋_GB2312"/>
          <w:color w:val="auto"/>
          <w:sz w:val="32"/>
          <w:szCs w:val="32"/>
          <w:lang w:val="en-US" w:eastAsia="zh-CN" w:bidi="ar-SA"/>
        </w:rPr>
        <w:t>，加强集约化、一体化建设，提升</w:t>
      </w:r>
      <w:r>
        <w:rPr>
          <w:rFonts w:hint="eastAsia" w:ascii="仿宋_GB2312" w:hAnsi="仿宋_GB2312" w:eastAsia="仿宋_GB2312" w:cs="仿宋_GB2312"/>
          <w:b w:val="0"/>
          <w:bCs w:val="0"/>
          <w:color w:val="auto"/>
          <w:sz w:val="32"/>
          <w:szCs w:val="32"/>
          <w:lang w:val="en-US" w:eastAsia="zh-CN" w:bidi="ar-SA"/>
        </w:rPr>
        <w:t>智慧城市</w:t>
      </w:r>
      <w:r>
        <w:rPr>
          <w:rFonts w:hint="eastAsia" w:ascii="仿宋_GB2312" w:hAnsi="仿宋_GB2312" w:eastAsia="仿宋_GB2312" w:cs="仿宋_GB2312"/>
          <w:color w:val="auto"/>
          <w:sz w:val="32"/>
          <w:szCs w:val="32"/>
          <w:lang w:val="en-US" w:eastAsia="zh-CN" w:bidi="ar-SA"/>
        </w:rPr>
        <w:t>建设</w:t>
      </w:r>
      <w:r>
        <w:rPr>
          <w:rFonts w:ascii="仿宋_GB2312" w:hAnsi="仿宋_GB2312" w:eastAsia="仿宋_GB2312" w:cs="仿宋_GB2312"/>
          <w:color w:val="auto"/>
          <w:sz w:val="32"/>
          <w:szCs w:val="32"/>
          <w:lang w:val="en-US" w:eastAsia="zh-CN" w:bidi="ar-SA"/>
        </w:rPr>
        <w:t>整体质效</w:t>
      </w:r>
      <w:r>
        <w:rPr>
          <w:rFonts w:hint="eastAsia" w:ascii="仿宋_GB2312" w:hAnsi="仿宋_GB2312" w:eastAsia="仿宋_GB2312" w:cs="仿宋_GB2312"/>
          <w:color w:val="auto"/>
          <w:sz w:val="32"/>
          <w:szCs w:val="32"/>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eastAsia="zh-CN" w:bidi="ar-SA"/>
        </w:rPr>
      </w:pPr>
      <w:r>
        <w:rPr>
          <w:rFonts w:hint="eastAsia" w:ascii="Times New Roman" w:hAnsi="Times New Roman" w:eastAsia="仿宋_GB2312" w:cs="仿宋"/>
          <w:b/>
          <w:bCs/>
          <w:color w:val="auto"/>
          <w:sz w:val="32"/>
          <w:szCs w:val="32"/>
          <w:lang w:bidi="ar-SA"/>
        </w:rPr>
        <w:t>数据赋能</w:t>
      </w:r>
      <w:r>
        <w:rPr>
          <w:rFonts w:hint="eastAsia" w:ascii="Times New Roman" w:hAnsi="Times New Roman" w:eastAsia="仿宋_GB2312" w:cs="仿宋"/>
          <w:b/>
          <w:bCs/>
          <w:color w:val="auto"/>
          <w:sz w:val="32"/>
          <w:szCs w:val="32"/>
          <w:lang w:eastAsia="zh-CN" w:bidi="ar-SA"/>
        </w:rPr>
        <w:t>，</w:t>
      </w:r>
      <w:r>
        <w:rPr>
          <w:rFonts w:hint="eastAsia" w:ascii="Times New Roman" w:hAnsi="Times New Roman" w:eastAsia="仿宋_GB2312" w:cs="仿宋"/>
          <w:b/>
          <w:bCs/>
          <w:color w:val="auto"/>
          <w:sz w:val="32"/>
          <w:szCs w:val="32"/>
          <w:lang w:val="en-US" w:eastAsia="zh-CN" w:bidi="ar-SA"/>
        </w:rPr>
        <w:t>场景牵引</w:t>
      </w:r>
      <w:r>
        <w:rPr>
          <w:rFonts w:hint="eastAsia" w:ascii="Times New Roman" w:hAnsi="Times New Roman" w:eastAsia="仿宋_GB2312" w:cs="仿宋"/>
          <w:b/>
          <w:bCs/>
          <w:color w:val="auto"/>
          <w:sz w:val="32"/>
          <w:szCs w:val="32"/>
          <w:lang w:eastAsia="zh-CN" w:bidi="ar-SA"/>
        </w:rPr>
        <w:t>。</w:t>
      </w:r>
      <w:r>
        <w:rPr>
          <w:rFonts w:hint="eastAsia" w:ascii="仿宋_GB2312" w:hAnsi="仿宋_GB2312" w:eastAsia="仿宋_GB2312" w:cs="仿宋_GB2312"/>
          <w:color w:val="auto"/>
          <w:sz w:val="32"/>
          <w:szCs w:val="32"/>
          <w:lang w:eastAsia="zh-CN" w:bidi="ar-SA"/>
        </w:rPr>
        <w:t>坚持</w:t>
      </w:r>
      <w:r>
        <w:rPr>
          <w:rFonts w:hint="eastAsia" w:ascii="仿宋_GB2312" w:hAnsi="仿宋_GB2312" w:eastAsia="仿宋_GB2312" w:cs="仿宋_GB2312"/>
          <w:color w:val="auto"/>
          <w:sz w:val="32"/>
          <w:szCs w:val="32"/>
          <w:lang w:bidi="ar-SA"/>
        </w:rPr>
        <w:t>需求</w:t>
      </w:r>
      <w:r>
        <w:rPr>
          <w:rFonts w:hint="eastAsia" w:ascii="仿宋_GB2312" w:hAnsi="仿宋_GB2312" w:eastAsia="仿宋_GB2312" w:cs="仿宋_GB2312"/>
          <w:color w:val="auto"/>
          <w:sz w:val="32"/>
          <w:szCs w:val="32"/>
          <w:lang w:eastAsia="zh-CN" w:bidi="ar-SA"/>
        </w:rPr>
        <w:t>导向、问题导向、</w:t>
      </w:r>
      <w:r>
        <w:rPr>
          <w:rFonts w:hint="eastAsia" w:ascii="仿宋_GB2312" w:hAnsi="仿宋_GB2312" w:eastAsia="仿宋_GB2312" w:cs="仿宋_GB2312"/>
          <w:color w:val="auto"/>
          <w:sz w:val="32"/>
          <w:szCs w:val="32"/>
          <w:lang w:bidi="ar-SA"/>
        </w:rPr>
        <w:t>效果</w:t>
      </w:r>
      <w:r>
        <w:rPr>
          <w:rFonts w:hint="eastAsia" w:ascii="仿宋_GB2312" w:hAnsi="仿宋_GB2312" w:eastAsia="仿宋_GB2312" w:cs="仿宋_GB2312"/>
          <w:color w:val="auto"/>
          <w:sz w:val="32"/>
          <w:szCs w:val="32"/>
          <w:lang w:eastAsia="zh-CN" w:bidi="ar-SA"/>
        </w:rPr>
        <w:t>导向，通过技术创新和制度创新“双轮驱动”</w:t>
      </w:r>
      <w:r>
        <w:rPr>
          <w:rFonts w:hint="eastAsia" w:ascii="仿宋_GB2312" w:hAnsi="仿宋_GB2312" w:eastAsia="仿宋_GB2312" w:cs="仿宋_GB2312"/>
          <w:color w:val="auto"/>
          <w:sz w:val="32"/>
          <w:szCs w:val="32"/>
          <w:lang w:val="en-US" w:eastAsia="zh-CN" w:bidi="ar-SA"/>
        </w:rPr>
        <w:t>，</w:t>
      </w:r>
      <w:r>
        <w:rPr>
          <w:rFonts w:ascii="仿宋_GB2312" w:hAnsi="仿宋_GB2312" w:eastAsia="仿宋_GB2312" w:cs="仿宋_GB2312"/>
          <w:color w:val="auto"/>
          <w:sz w:val="32"/>
          <w:szCs w:val="32"/>
          <w:lang w:val="en-US" w:eastAsia="zh-CN" w:bidi="ar-SA"/>
        </w:rPr>
        <w:t>推动</w:t>
      </w:r>
      <w:r>
        <w:rPr>
          <w:rFonts w:hint="eastAsia" w:ascii="仿宋_GB2312" w:hAnsi="仿宋_GB2312" w:eastAsia="仿宋_GB2312" w:cs="仿宋_GB2312"/>
          <w:color w:val="auto"/>
          <w:sz w:val="32"/>
          <w:szCs w:val="32"/>
          <w:lang w:val="en-US" w:eastAsia="zh-CN" w:bidi="ar-SA"/>
        </w:rPr>
        <w:t>数据要素</w:t>
      </w:r>
      <w:r>
        <w:rPr>
          <w:rFonts w:ascii="仿宋_GB2312" w:hAnsi="仿宋_GB2312" w:eastAsia="仿宋_GB2312" w:cs="仿宋_GB2312"/>
          <w:color w:val="auto"/>
          <w:sz w:val="32"/>
          <w:szCs w:val="32"/>
          <w:lang w:eastAsia="zh-CN" w:bidi="ar-SA"/>
        </w:rPr>
        <w:t>深度赋能</w:t>
      </w:r>
      <w:r>
        <w:rPr>
          <w:rFonts w:hint="eastAsia" w:ascii="仿宋_GB2312" w:hAnsi="仿宋_GB2312" w:eastAsia="仿宋_GB2312" w:cs="仿宋_GB2312"/>
          <w:color w:val="auto"/>
          <w:sz w:val="32"/>
          <w:szCs w:val="32"/>
          <w:lang w:eastAsia="zh-CN" w:bidi="ar-SA"/>
        </w:rPr>
        <w:t>政府管理、服务、运行，</w:t>
      </w:r>
      <w:r>
        <w:rPr>
          <w:rFonts w:hint="eastAsia" w:ascii="仿宋_GB2312" w:hAnsi="仿宋_GB2312" w:eastAsia="仿宋_GB2312" w:cs="仿宋_GB2312"/>
          <w:color w:val="auto"/>
          <w:sz w:val="32"/>
          <w:szCs w:val="32"/>
          <w:lang w:val="en-US" w:eastAsia="zh-CN" w:bidi="ar-SA"/>
        </w:rPr>
        <w:t>打造创新应用场景，</w:t>
      </w:r>
      <w:r>
        <w:rPr>
          <w:rFonts w:ascii="仿宋_GB2312" w:hAnsi="仿宋_GB2312" w:eastAsia="仿宋_GB2312" w:cs="仿宋_GB2312"/>
          <w:color w:val="auto"/>
          <w:sz w:val="32"/>
          <w:szCs w:val="32"/>
          <w:lang w:val="en-US" w:eastAsia="zh-CN" w:bidi="ar-SA"/>
        </w:rPr>
        <w:t>突出</w:t>
      </w:r>
      <w:r>
        <w:rPr>
          <w:rFonts w:hint="eastAsia" w:ascii="仿宋_GB2312" w:hAnsi="仿宋_GB2312" w:eastAsia="仿宋_GB2312" w:cs="仿宋_GB2312"/>
          <w:color w:val="auto"/>
          <w:sz w:val="32"/>
          <w:szCs w:val="32"/>
          <w:lang w:val="en-US" w:eastAsia="zh-CN" w:bidi="ar-SA"/>
        </w:rPr>
        <w:t>示范带动</w:t>
      </w:r>
      <w:r>
        <w:rPr>
          <w:rFonts w:hint="eastAsia" w:ascii="仿宋_GB2312" w:hAnsi="仿宋_GB2312" w:eastAsia="仿宋_GB2312" w:cs="仿宋_GB2312"/>
          <w:color w:val="auto"/>
          <w:sz w:val="32"/>
          <w:szCs w:val="32"/>
          <w:lang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bidi="ar-SA"/>
        </w:rPr>
      </w:pPr>
      <w:r>
        <w:rPr>
          <w:rFonts w:hint="eastAsia" w:ascii="Times New Roman" w:hAnsi="Times New Roman" w:eastAsia="仿宋_GB2312" w:cs="仿宋"/>
          <w:b/>
          <w:bCs/>
          <w:color w:val="auto"/>
          <w:sz w:val="32"/>
          <w:szCs w:val="32"/>
          <w:lang w:val="en-US" w:eastAsia="zh-CN" w:bidi="ar-SA"/>
        </w:rPr>
        <w:t>多方协同</w:t>
      </w:r>
      <w:r>
        <w:rPr>
          <w:rFonts w:ascii="Times New Roman" w:hAnsi="Times New Roman" w:eastAsia="仿宋_GB2312" w:cs="仿宋"/>
          <w:b/>
          <w:bCs/>
          <w:color w:val="auto"/>
          <w:sz w:val="32"/>
          <w:szCs w:val="32"/>
          <w:lang w:val="en-US" w:eastAsia="zh-CN" w:bidi="ar-SA"/>
        </w:rPr>
        <w:t>，</w:t>
      </w:r>
      <w:r>
        <w:rPr>
          <w:rFonts w:hint="eastAsia" w:ascii="Times New Roman" w:hAnsi="Times New Roman" w:eastAsia="仿宋_GB2312" w:cs="仿宋"/>
          <w:b/>
          <w:bCs/>
          <w:color w:val="auto"/>
          <w:sz w:val="32"/>
          <w:szCs w:val="32"/>
          <w:lang w:val="en-US" w:eastAsia="zh-CN" w:bidi="ar-SA"/>
        </w:rPr>
        <w:t>开放合作</w:t>
      </w:r>
      <w:r>
        <w:rPr>
          <w:rFonts w:hint="eastAsia" w:ascii="Times New Roman" w:hAnsi="Times New Roman" w:eastAsia="仿宋_GB2312" w:cs="仿宋"/>
          <w:b/>
          <w:bCs/>
          <w:color w:val="auto"/>
          <w:sz w:val="32"/>
          <w:szCs w:val="32"/>
          <w:lang w:eastAsia="zh-CN" w:bidi="ar-SA"/>
        </w:rPr>
        <w:t>。</w:t>
      </w:r>
      <w:r>
        <w:rPr>
          <w:rFonts w:hint="eastAsia" w:ascii="Times New Roman" w:hAnsi="Times New Roman" w:eastAsia="仿宋_GB2312" w:cs="仿宋"/>
          <w:color w:val="auto"/>
          <w:sz w:val="32"/>
          <w:szCs w:val="32"/>
          <w:lang w:val="en-US" w:eastAsia="zh-CN" w:bidi="ar-SA"/>
        </w:rPr>
        <w:t>充分发挥政府引导作用，激发社会力量参与</w:t>
      </w:r>
      <w:r>
        <w:rPr>
          <w:rFonts w:hint="eastAsia" w:eastAsia="仿宋_GB2312" w:cs="仿宋"/>
          <w:color w:val="auto"/>
          <w:sz w:val="32"/>
          <w:szCs w:val="32"/>
          <w:lang w:val="en-US" w:eastAsia="zh-CN" w:bidi="ar-SA"/>
        </w:rPr>
        <w:t>“数智</w:t>
      </w:r>
      <w:r>
        <w:rPr>
          <w:rFonts w:hint="eastAsia" w:ascii="Times New Roman" w:hAnsi="Times New Roman" w:eastAsia="仿宋_GB2312" w:cs="仿宋"/>
          <w:color w:val="auto"/>
          <w:sz w:val="32"/>
          <w:szCs w:val="32"/>
          <w:lang w:val="en-US" w:eastAsia="zh-CN" w:bidi="ar-SA"/>
        </w:rPr>
        <w:t>石景山</w:t>
      </w:r>
      <w:r>
        <w:rPr>
          <w:rFonts w:hint="eastAsia" w:eastAsia="仿宋_GB2312" w:cs="仿宋"/>
          <w:color w:val="auto"/>
          <w:sz w:val="32"/>
          <w:szCs w:val="32"/>
          <w:lang w:val="en-US" w:eastAsia="zh-CN" w:bidi="ar-SA"/>
        </w:rPr>
        <w:t>”</w:t>
      </w:r>
      <w:r>
        <w:rPr>
          <w:rFonts w:hint="eastAsia" w:ascii="Times New Roman" w:hAnsi="Times New Roman" w:eastAsia="仿宋_GB2312" w:cs="仿宋"/>
          <w:color w:val="auto"/>
          <w:sz w:val="32"/>
          <w:szCs w:val="32"/>
          <w:lang w:val="en-US" w:eastAsia="zh-CN" w:bidi="ar-SA"/>
        </w:rPr>
        <w:t>建设，形成多元主体参与、有效协同的发展格局。</w:t>
      </w:r>
      <w:r>
        <w:rPr>
          <w:rFonts w:hint="eastAsia" w:ascii="仿宋_GB2312" w:hAnsi="仿宋_GB2312" w:eastAsia="仿宋_GB2312" w:cs="仿宋_GB2312"/>
          <w:color w:val="auto"/>
          <w:sz w:val="32"/>
          <w:szCs w:val="32"/>
          <w:lang w:val="en-US" w:eastAsia="zh-CN" w:bidi="ar-SA"/>
        </w:rPr>
        <w:t>创建公平有序、包容审慎的数智化发展环境。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eastAsia="zh-CN" w:bidi="ar-SA"/>
        </w:rPr>
      </w:pPr>
      <w:r>
        <w:rPr>
          <w:rFonts w:hint="eastAsia" w:ascii="Times New Roman" w:hAnsi="Times New Roman" w:eastAsia="仿宋_GB2312" w:cs="仿宋"/>
          <w:b/>
          <w:bCs/>
          <w:color w:val="auto"/>
          <w:sz w:val="32"/>
          <w:szCs w:val="32"/>
          <w:lang w:eastAsia="zh-CN" w:bidi="ar-SA"/>
        </w:rPr>
        <w:t>强本固基，</w:t>
      </w:r>
      <w:r>
        <w:rPr>
          <w:rFonts w:hint="eastAsia" w:ascii="Times New Roman" w:hAnsi="Times New Roman" w:eastAsia="仿宋_GB2312" w:cs="仿宋"/>
          <w:b/>
          <w:bCs/>
          <w:color w:val="auto"/>
          <w:sz w:val="32"/>
          <w:szCs w:val="32"/>
          <w:lang w:bidi="ar-SA"/>
        </w:rPr>
        <w:t>安全可控</w:t>
      </w:r>
      <w:r>
        <w:rPr>
          <w:rFonts w:hint="eastAsia" w:ascii="Times New Roman" w:hAnsi="Times New Roman" w:eastAsia="仿宋_GB2312" w:cs="仿宋"/>
          <w:b/>
          <w:bCs/>
          <w:color w:val="auto"/>
          <w:sz w:val="32"/>
          <w:szCs w:val="32"/>
          <w:lang w:eastAsia="zh-CN" w:bidi="ar-SA"/>
        </w:rPr>
        <w:t>。</w:t>
      </w:r>
      <w:r>
        <w:rPr>
          <w:rFonts w:hint="eastAsia" w:ascii="仿宋_GB2312" w:hAnsi="仿宋_GB2312" w:eastAsia="仿宋_GB2312" w:cs="仿宋_GB2312"/>
          <w:color w:val="auto"/>
          <w:sz w:val="32"/>
          <w:szCs w:val="32"/>
          <w:lang w:eastAsia="zh-CN" w:bidi="ar-SA"/>
        </w:rPr>
        <w:t>坚持安全底线思维，坚持开放创新与安全可控并重，强化关键</w:t>
      </w:r>
      <w:r>
        <w:rPr>
          <w:rFonts w:hint="eastAsia" w:ascii="仿宋_GB2312" w:hAnsi="仿宋_GB2312" w:eastAsia="仿宋_GB2312" w:cs="仿宋_GB2312"/>
          <w:color w:val="auto"/>
          <w:sz w:val="32"/>
          <w:szCs w:val="32"/>
          <w:lang w:val="en-US" w:eastAsia="zh-CN" w:bidi="ar-SA"/>
        </w:rPr>
        <w:t>数字</w:t>
      </w:r>
      <w:r>
        <w:rPr>
          <w:rFonts w:hint="eastAsia" w:ascii="仿宋_GB2312" w:hAnsi="仿宋_GB2312" w:eastAsia="仿宋_GB2312" w:cs="仿宋_GB2312"/>
          <w:color w:val="auto"/>
          <w:sz w:val="32"/>
          <w:szCs w:val="32"/>
          <w:lang w:eastAsia="zh-CN" w:bidi="ar-SA"/>
        </w:rPr>
        <w:t>基础设施、政务信息系统、数据资源体系等安全保障，确保“</w:t>
      </w:r>
      <w:r>
        <w:rPr>
          <w:rFonts w:hint="eastAsia" w:ascii="仿宋_GB2312" w:hAnsi="仿宋_GB2312" w:eastAsia="仿宋_GB2312" w:cs="仿宋_GB2312"/>
          <w:color w:val="auto"/>
          <w:sz w:val="32"/>
          <w:szCs w:val="32"/>
          <w:lang w:val="en-US" w:eastAsia="zh-CN" w:bidi="ar-SA"/>
        </w:rPr>
        <w:t>数智石景山</w:t>
      </w:r>
      <w:r>
        <w:rPr>
          <w:rFonts w:hint="eastAsia" w:ascii="仿宋_GB2312" w:hAnsi="仿宋_GB2312" w:eastAsia="仿宋_GB2312" w:cs="仿宋_GB2312"/>
          <w:color w:val="auto"/>
          <w:sz w:val="32"/>
          <w:szCs w:val="32"/>
          <w:lang w:eastAsia="zh-CN" w:bidi="ar-SA"/>
        </w:rPr>
        <w:t>”建设安全。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spacing w:beforeAutospacing="0" w:afterAutospacing="0" w:line="560" w:lineRule="exact"/>
        <w:ind w:firstLine="640" w:firstLineChars="200"/>
        <w:jc w:val="left"/>
        <w:outlineLvl w:val="1"/>
        <w:rPr>
          <w:rFonts w:hint="eastAsia" w:ascii="楷体_GB2312" w:hAnsi="Times New Roman" w:eastAsia="楷体_GB2312" w:cs="楷体_GB2312"/>
          <w:color w:val="auto"/>
          <w:kern w:val="0"/>
          <w:sz w:val="32"/>
          <w:szCs w:val="32"/>
          <w:lang w:val="en-US" w:eastAsia="zh-CN" w:bidi="ar-SA"/>
        </w:rPr>
      </w:pPr>
      <w:bookmarkStart w:id="108" w:name="_Toc10428"/>
      <w:bookmarkStart w:id="109" w:name="_Toc7184"/>
      <w:bookmarkStart w:id="110" w:name="_Toc27263"/>
      <w:bookmarkStart w:id="111" w:name="_Toc13621"/>
      <w:bookmarkStart w:id="112" w:name="_Toc21512"/>
      <w:bookmarkStart w:id="113" w:name="_Toc32151"/>
      <w:bookmarkStart w:id="114" w:name="_Toc62413978"/>
      <w:bookmarkStart w:id="115" w:name="_Toc20385"/>
      <w:bookmarkStart w:id="116" w:name="_Toc8092"/>
      <w:bookmarkStart w:id="117" w:name="_Toc30020"/>
      <w:bookmarkStart w:id="118" w:name="_Toc1108"/>
      <w:bookmarkStart w:id="119" w:name="_Toc8899"/>
      <w:bookmarkStart w:id="120" w:name="_Toc26430"/>
      <w:r>
        <w:rPr>
          <w:rFonts w:hint="eastAsia" w:ascii="楷体_GB2312" w:hAnsi="Times New Roman" w:eastAsia="楷体_GB2312" w:cs="楷体_GB2312"/>
          <w:color w:val="auto"/>
          <w:kern w:val="0"/>
          <w:sz w:val="32"/>
          <w:szCs w:val="32"/>
          <w:lang w:val="en-US" w:eastAsia="zh-CN" w:bidi="ar-SA"/>
        </w:rPr>
        <w:t>（三）发展目标</w:t>
      </w:r>
      <w:bookmarkEnd w:id="108"/>
      <w:bookmarkEnd w:id="109"/>
      <w:bookmarkEnd w:id="110"/>
      <w:bookmarkEnd w:id="111"/>
      <w:bookmarkEnd w:id="112"/>
      <w:bookmarkEnd w:id="113"/>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到2030年，城市运行更加高效便捷、</w:t>
      </w:r>
      <w:r>
        <w:rPr>
          <w:rFonts w:hint="eastAsia" w:ascii="仿宋_GB2312" w:hAnsi="仿宋_GB2312" w:eastAsia="仿宋_GB2312" w:cs="仿宋_GB2312"/>
          <w:color w:val="auto"/>
          <w:sz w:val="32"/>
          <w:szCs w:val="32"/>
          <w:highlight w:val="none"/>
          <w:lang w:val="en-US" w:eastAsia="zh-CN" w:bidi="ar-SA"/>
        </w:rPr>
        <w:t>服务供给更加精准丰富，</w:t>
      </w:r>
      <w:r>
        <w:rPr>
          <w:rFonts w:ascii="仿宋_GB2312" w:hAnsi="仿宋_GB2312" w:eastAsia="仿宋_GB2312" w:cs="仿宋_GB2312"/>
          <w:color w:val="auto"/>
          <w:sz w:val="32"/>
          <w:szCs w:val="32"/>
          <w:highlight w:val="none"/>
          <w:lang w:val="en-US" w:eastAsia="zh-CN" w:bidi="ar-SA"/>
        </w:rPr>
        <w:t>构建</w:t>
      </w:r>
      <w:r>
        <w:rPr>
          <w:rFonts w:hint="eastAsia" w:ascii="仿宋_GB2312" w:hAnsi="仿宋_GB2312" w:eastAsia="仿宋_GB2312" w:cs="仿宋_GB2312"/>
          <w:color w:val="auto"/>
          <w:sz w:val="32"/>
          <w:szCs w:val="32"/>
          <w:highlight w:val="none"/>
          <w:lang w:val="en-US" w:eastAsia="zh-CN" w:bidi="ar-SA"/>
        </w:rPr>
        <w:t>形成共建共治共享城市治理新格局，基层治理数智化水平全面提升，“人工智能+”应用场景持续深化拓展。</w:t>
      </w:r>
      <w:r>
        <w:rPr>
          <w:rFonts w:hint="eastAsia" w:ascii="仿宋_GB2312" w:hAnsi="仿宋_GB2312" w:eastAsia="仿宋_GB2312" w:cs="仿宋_GB2312"/>
          <w:color w:val="auto"/>
          <w:kern w:val="2"/>
          <w:sz w:val="32"/>
          <w:szCs w:val="32"/>
          <w:highlight w:val="none"/>
          <w:lang w:val="en-US" w:eastAsia="zh-CN" w:bidi="ar-SA"/>
        </w:rPr>
        <w:t>城市数智基础设施更加完善成熟，城市治理数字化、智能化、集约化转</w:t>
      </w:r>
      <w:r>
        <w:rPr>
          <w:rFonts w:hint="eastAsia" w:ascii="仿宋_GB2312" w:hAnsi="仿宋_GB2312" w:eastAsia="仿宋_GB2312" w:cs="仿宋_GB2312"/>
          <w:color w:val="auto"/>
          <w:kern w:val="2"/>
          <w:sz w:val="32"/>
          <w:szCs w:val="32"/>
          <w:lang w:val="en-US" w:eastAsia="zh-CN" w:bidi="ar-SA"/>
        </w:rPr>
        <w:t>型成效凸显；数据要素流通体系日趋完善，数据生态开放规范、安全可控、良性循环，数据产业保持年均20%以上增速，高质量建成京西特色数据要素集聚高地。</w:t>
      </w:r>
    </w:p>
    <w:p>
      <w:pPr>
        <w:spacing w:line="560" w:lineRule="exact"/>
        <w:ind w:firstLine="643" w:firstLineChars="200"/>
        <w:outlineLvl w:val="9"/>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进一步提高城市数智化水平</w:t>
      </w:r>
      <w:r>
        <w:rPr>
          <w:rFonts w:hint="eastAsia" w:ascii="仿宋_GB2312" w:hAnsi="仿宋_GB2312" w:eastAsia="仿宋_GB2312" w:cs="仿宋_GB2312"/>
          <w:color w:val="auto"/>
          <w:sz w:val="32"/>
          <w:szCs w:val="32"/>
          <w:lang w:val="en-US" w:eastAsia="zh-CN" w:bidi="ar-SA"/>
        </w:rPr>
        <w:t>。建立健全云、网、数一体的数智基础设施，打造泛在韧性的城市智能感知体系，基本完成传统基础设施数智化改造。建成区、街道、社区三级数智化城市治理架构体系，持续迭代“城市大脑”数智平台，提升城市全域数字化转型的整体性、系统性、协同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9"/>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进一步释放数据要素价值</w:t>
      </w:r>
      <w:r>
        <w:rPr>
          <w:rFonts w:hint="eastAsia" w:ascii="仿宋_GB2312" w:hAnsi="仿宋_GB2312" w:eastAsia="仿宋_GB2312" w:cs="仿宋_GB2312"/>
          <w:color w:val="auto"/>
          <w:sz w:val="32"/>
          <w:szCs w:val="32"/>
          <w:lang w:val="en-US" w:eastAsia="zh-CN" w:bidi="ar-SA"/>
        </w:rPr>
        <w:t>。深化数据要素市场化配置改革，加速数据产业集聚发展，建成10个以上行业数据服务平台、10个以上高质量数据集，打造10个以上具有石景山特色的“数据要素×”典型案例，</w:t>
      </w:r>
      <w:r>
        <w:rPr>
          <w:rFonts w:hint="eastAsia" w:ascii="仿宋_GB2312" w:hAnsi="仿宋_GB2312" w:eastAsia="仿宋_GB2312" w:cs="仿宋_GB2312"/>
          <w:color w:val="auto"/>
          <w:sz w:val="32"/>
          <w:szCs w:val="32"/>
        </w:rPr>
        <w:t>全面构建开放共享、规范有序、安全可控的数据产业发展生态。</w:t>
      </w:r>
    </w:p>
    <w:p>
      <w:pPr>
        <w:pStyle w:val="2"/>
        <w:keepNext w:val="0"/>
        <w:keepLines w:val="0"/>
        <w:pageBreakBefore w:val="0"/>
        <w:widowControl w:val="0"/>
        <w:numPr>
          <w:ilvl w:val="0"/>
          <w:numId w:val="1"/>
        </w:numPr>
        <w:kinsoku/>
        <w:wordWrap/>
        <w:overflowPunct/>
        <w:topLinePunct w:val="0"/>
        <w:autoSpaceDE w:val="0"/>
        <w:autoSpaceDN w:val="0"/>
        <w:bidi w:val="0"/>
        <w:adjustRightInd/>
        <w:snapToGrid/>
        <w:spacing w:after="0" w:line="560" w:lineRule="exact"/>
        <w:ind w:left="0" w:firstLine="640" w:firstLineChars="200"/>
        <w:jc w:val="both"/>
        <w:textAlignment w:val="auto"/>
        <w:outlineLvl w:val="0"/>
        <w:rPr>
          <w:rFonts w:hint="eastAsia" w:ascii="黑体" w:hAnsi="黑体" w:eastAsia="黑体" w:cs="黑体"/>
          <w:b w:val="0"/>
          <w:bCs w:val="0"/>
          <w:color w:val="auto"/>
          <w:sz w:val="32"/>
          <w:szCs w:val="32"/>
          <w:lang w:val="en-US" w:eastAsia="zh-CN" w:bidi="ar-SA"/>
        </w:rPr>
      </w:pPr>
      <w:bookmarkStart w:id="121" w:name="_Toc5384"/>
      <w:bookmarkStart w:id="122" w:name="_Toc15842"/>
      <w:bookmarkStart w:id="123" w:name="_Toc30529"/>
      <w:bookmarkStart w:id="124" w:name="_Toc18092"/>
      <w:bookmarkStart w:id="125" w:name="_Toc10982"/>
      <w:bookmarkStart w:id="126" w:name="_Toc23892"/>
      <w:bookmarkStart w:id="127" w:name="_Toc8235"/>
      <w:bookmarkStart w:id="128" w:name="_Toc62413979"/>
      <w:bookmarkStart w:id="129" w:name="_Toc9685"/>
      <w:bookmarkStart w:id="130" w:name="_Toc9998"/>
      <w:r>
        <w:rPr>
          <w:rFonts w:hint="eastAsia" w:ascii="黑体" w:hAnsi="黑体" w:eastAsia="黑体" w:cs="黑体"/>
          <w:b w:val="0"/>
          <w:bCs w:val="0"/>
          <w:color w:val="auto"/>
          <w:sz w:val="32"/>
          <w:szCs w:val="32"/>
          <w:lang w:val="en-US" w:eastAsia="zh-CN" w:bidi="ar-SA"/>
        </w:rPr>
        <w:t>总体架构</w:t>
      </w:r>
      <w:bookmarkEnd w:id="118"/>
      <w:bookmarkEnd w:id="119"/>
      <w:bookmarkEnd w:id="120"/>
      <w:bookmarkEnd w:id="121"/>
      <w:bookmarkEnd w:id="122"/>
      <w:bookmarkEnd w:id="123"/>
      <w:bookmarkEnd w:id="124"/>
      <w:bookmarkEnd w:id="125"/>
      <w:bookmarkEnd w:id="126"/>
      <w:bookmarkEnd w:id="127"/>
      <w:bookmarkEnd w:id="128"/>
      <w:bookmarkEnd w:id="129"/>
      <w:bookmarkEnd w:id="13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uppressAutoHyphen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9"/>
        <w:rPr>
          <w:rFonts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以“集约共享、数据赋能”为核心，遵循“一体化统筹、智能化应用”建设原则，构建</w:t>
      </w:r>
      <w:r>
        <w:rPr>
          <w:rFonts w:hint="eastAsia" w:ascii="仿宋_GB2312" w:hAnsi="仿宋_GB2312" w:eastAsia="仿宋_GB2312" w:cs="仿宋_GB2312"/>
          <w:b/>
          <w:bCs/>
          <w:color w:val="auto"/>
          <w:sz w:val="32"/>
          <w:szCs w:val="32"/>
          <w:lang w:val="en-US" w:eastAsia="zh-CN" w:bidi="ar-SA"/>
        </w:rPr>
        <w:t>“数智石景山”“1635”总体框架</w:t>
      </w:r>
      <w:r>
        <w:rPr>
          <w:rFonts w:hint="eastAsia" w:ascii="仿宋_GB2312" w:hAnsi="仿宋_GB2312" w:eastAsia="仿宋_GB2312" w:cs="仿宋_GB2312"/>
          <w:color w:val="auto"/>
          <w:sz w:val="32"/>
          <w:szCs w:val="32"/>
          <w:lang w:val="en-US" w:eastAsia="zh-CN" w:bidi="ar-SA"/>
        </w:rPr>
        <w:t>，即夯实1套城市数智基础设施，统筹推进6大重点领域智慧化应用建设，精准服务3类主要用户群体、健全完善5项长效运行保障机制。</w:t>
      </w:r>
    </w:p>
    <w:p>
      <w:pPr>
        <w:pStyle w:val="19"/>
        <w:ind w:left="0" w:leftChars="0" w:firstLine="0"/>
        <w:jc w:val="center"/>
        <w:rPr>
          <w:color w:val="auto"/>
        </w:rPr>
      </w:pPr>
      <w:r>
        <w:drawing>
          <wp:inline distT="0" distB="0" distL="114300" distR="114300">
            <wp:extent cx="5609590" cy="2804795"/>
            <wp:effectExtent l="0" t="0" r="381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609590" cy="2804795"/>
                    </a:xfrm>
                    <a:prstGeom prst="rect">
                      <a:avLst/>
                    </a:prstGeom>
                    <a:noFill/>
                    <a:ln>
                      <a:noFill/>
                    </a:ln>
                  </pic:spPr>
                </pic:pic>
              </a:graphicData>
            </a:graphic>
          </wp:inline>
        </w:drawing>
      </w:r>
    </w:p>
    <w:p>
      <w:pPr>
        <w:jc w:val="center"/>
        <w:rPr>
          <w:rFonts w:hint="default" w:ascii="仿宋_GB2312" w:hAnsi="仿宋_GB2312" w:eastAsia="仿宋_GB2312" w:cs="仿宋_GB2312"/>
          <w:color w:val="auto"/>
          <w:sz w:val="24"/>
          <w:szCs w:val="24"/>
          <w:lang w:val="en-US" w:eastAsia="zh-CN" w:bidi="ar-SA"/>
        </w:rPr>
      </w:pPr>
      <w:r>
        <w:rPr>
          <w:rFonts w:hint="eastAsia" w:ascii="仿宋_GB2312" w:hAnsi="仿宋_GB2312" w:eastAsia="仿宋_GB2312" w:cs="仿宋_GB2312"/>
          <w:color w:val="auto"/>
          <w:sz w:val="24"/>
          <w:szCs w:val="24"/>
          <w:lang w:val="en-US" w:eastAsia="zh-CN" w:bidi="ar-SA"/>
        </w:rPr>
        <w:t>图1“十五五”时期“数智石景山”总体架构图</w:t>
      </w:r>
    </w:p>
    <w:p>
      <w:pPr>
        <w:pStyle w:val="9"/>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“1”套城市数智基础设施</w:t>
      </w:r>
      <w:r>
        <w:rPr>
          <w:rFonts w:hint="eastAsia" w:ascii="仿宋_GB2312" w:hAnsi="仿宋_GB2312" w:eastAsia="仿宋_GB2312" w:cs="仿宋_GB2312"/>
          <w:color w:val="auto"/>
          <w:sz w:val="32"/>
          <w:szCs w:val="32"/>
          <w:lang w:val="en-US" w:eastAsia="zh-CN" w:bidi="ar-SA"/>
        </w:rPr>
        <w:t>：夯实高效联通的算网基础设施、感知基础设施和可信数据空间等数据基础设施，完善协同联动、规模流通、高效利用、规范可信的数据资源体系，为智慧城市建设提供支撑底座。</w:t>
      </w:r>
    </w:p>
    <w:p>
      <w:pPr>
        <w:pStyle w:val="9"/>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“6”大重点领域数智化应用：</w:t>
      </w:r>
      <w:r>
        <w:rPr>
          <w:rFonts w:hint="eastAsia" w:ascii="仿宋_GB2312" w:hAnsi="仿宋_GB2312" w:eastAsia="仿宋_GB2312" w:cs="仿宋_GB2312"/>
          <w:color w:val="auto"/>
          <w:sz w:val="32"/>
          <w:szCs w:val="32"/>
          <w:lang w:val="en-US" w:eastAsia="zh-CN" w:bidi="ar-SA"/>
        </w:rPr>
        <w:t>围绕党建统领、经济发展、城市治理、公共服务、生态环境</w:t>
      </w:r>
      <w:r>
        <w:rPr>
          <w:rFonts w:hint="eastAsia" w:ascii="仿宋_GB2312" w:hAnsi="仿宋_GB2312" w:eastAsia="仿宋_GB2312" w:cs="仿宋_GB2312"/>
          <w:color w:val="auto"/>
          <w:kern w:val="2"/>
          <w:sz w:val="32"/>
          <w:szCs w:val="32"/>
          <w:lang w:val="en-US" w:eastAsia="zh-CN" w:bidi="ar-SA"/>
        </w:rPr>
        <w:t>、数字机关六大领域，打造区数智中心和街道数智分中心平台</w:t>
      </w:r>
      <w:r>
        <w:rPr>
          <w:rFonts w:hint="eastAsia" w:ascii="仿宋_GB2312" w:hAnsi="仿宋_GB2312" w:eastAsia="仿宋_GB2312" w:cs="仿宋_GB2312"/>
          <w:color w:val="auto"/>
          <w:sz w:val="32"/>
          <w:szCs w:val="32"/>
          <w:lang w:val="en-US" w:eastAsia="zh-CN" w:bidi="ar-SA"/>
        </w:rPr>
        <w:t>，实现</w:t>
      </w:r>
      <w:r>
        <w:rPr>
          <w:rFonts w:hint="eastAsia" w:ascii="仿宋_GB2312" w:hAnsi="仿宋_GB2312" w:eastAsia="仿宋_GB2312" w:cs="仿宋_GB2312"/>
          <w:color w:val="auto"/>
          <w:kern w:val="2"/>
          <w:sz w:val="32"/>
          <w:szCs w:val="32"/>
          <w:lang w:val="en-US" w:eastAsia="zh-CN" w:bidi="ar-SA"/>
        </w:rPr>
        <w:t>数字政务高效协同，推进</w:t>
      </w:r>
      <w:r>
        <w:rPr>
          <w:rFonts w:hint="eastAsia" w:ascii="仿宋_GB2312" w:hAnsi="仿宋_GB2312" w:eastAsia="仿宋_GB2312" w:cs="仿宋_GB2312"/>
          <w:color w:val="auto"/>
          <w:kern w:val="2"/>
          <w:sz w:val="32"/>
          <w:szCs w:val="32"/>
          <w:highlight w:val="none"/>
          <w:lang w:val="en-US" w:eastAsia="zh-CN" w:bidi="ar-SA"/>
        </w:rPr>
        <w:t>数字社会普惠便捷，</w:t>
      </w:r>
      <w:r>
        <w:rPr>
          <w:rFonts w:hint="eastAsia" w:ascii="仿宋_GB2312" w:hAnsi="仿宋_GB2312" w:eastAsia="仿宋_GB2312" w:cs="仿宋_GB2312"/>
          <w:color w:val="auto"/>
          <w:kern w:val="2"/>
          <w:sz w:val="32"/>
          <w:szCs w:val="32"/>
          <w:lang w:val="en-US" w:eastAsia="zh-CN" w:bidi="ar-SA"/>
        </w:rPr>
        <w:t>因地制宜推进数字经济发展。</w:t>
      </w:r>
    </w:p>
    <w:p>
      <w:pPr>
        <w:pStyle w:val="9"/>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“3”类主要用户群体：</w:t>
      </w:r>
      <w:r>
        <w:rPr>
          <w:rFonts w:hint="eastAsia" w:ascii="仿宋_GB2312" w:hAnsi="仿宋_GB2312" w:eastAsia="仿宋_GB2312" w:cs="仿宋_GB2312"/>
          <w:color w:val="auto"/>
          <w:sz w:val="32"/>
          <w:szCs w:val="32"/>
          <w:lang w:val="en-US" w:eastAsia="zh-CN" w:bidi="ar-SA"/>
        </w:rPr>
        <w:t>依托政府侧京办、数智平台入口和社会侧京通等服务入口，针对政府、企业和个人三类用户提供城市数智化管理和服务，持续提升群众获得感、幸福感、安全感和认同感。</w:t>
      </w:r>
    </w:p>
    <w:p>
      <w:pPr>
        <w:pStyle w:val="9"/>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b/>
          <w:bCs/>
          <w:color w:val="auto"/>
          <w:sz w:val="32"/>
          <w:szCs w:val="32"/>
          <w:lang w:val="en-US" w:eastAsia="zh-CN" w:bidi="ar-SA"/>
        </w:rPr>
        <w:t>“5”项运行保障机制：</w:t>
      </w:r>
      <w:r>
        <w:rPr>
          <w:rFonts w:hint="eastAsia" w:ascii="仿宋_GB2312" w:hAnsi="仿宋_GB2312" w:eastAsia="仿宋_GB2312" w:cs="仿宋_GB2312"/>
          <w:color w:val="auto"/>
          <w:sz w:val="32"/>
          <w:szCs w:val="32"/>
          <w:lang w:val="en-US" w:eastAsia="zh-CN" w:bidi="ar-SA"/>
        </w:rPr>
        <w:t>从组</w:t>
      </w:r>
      <w:r>
        <w:rPr>
          <w:rFonts w:hint="eastAsia" w:ascii="仿宋_GB2312" w:hAnsi="仿宋_GB2312" w:eastAsia="仿宋_GB2312" w:cs="仿宋_GB2312"/>
          <w:color w:val="auto"/>
          <w:kern w:val="2"/>
          <w:sz w:val="32"/>
          <w:szCs w:val="32"/>
          <w:lang w:val="en-US" w:eastAsia="zh-CN" w:bidi="ar-SA"/>
        </w:rPr>
        <w:t>织机制、安全保障、标准规范、创新生态和数智素养5个方面，激活创新发展动能，从以建为主向长效运营、可持续发展转变，确保“十五五”时期“数智石景山”</w:t>
      </w:r>
      <w:r>
        <w:rPr>
          <w:rFonts w:hint="eastAsia" w:ascii="仿宋_GB2312" w:hAnsi="仿宋_GB2312" w:eastAsia="仿宋_GB2312" w:cs="仿宋_GB2312"/>
          <w:color w:val="auto"/>
          <w:sz w:val="32"/>
          <w:szCs w:val="32"/>
          <w:lang w:val="en-US" w:eastAsia="zh-CN" w:bidi="ar-SA"/>
        </w:rPr>
        <w:t>建设落到实处。</w:t>
      </w:r>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val="0"/>
          <w:color w:val="auto"/>
          <w:kern w:val="0"/>
          <w:sz w:val="32"/>
          <w:szCs w:val="32"/>
          <w:lang w:val="en-US" w:eastAsia="zh-CN" w:bidi="zh-CN"/>
        </w:rPr>
      </w:pPr>
      <w:bookmarkStart w:id="131" w:name="_Toc20492"/>
      <w:bookmarkStart w:id="132" w:name="_Toc17409"/>
      <w:bookmarkStart w:id="133" w:name="_Toc62413980"/>
      <w:bookmarkStart w:id="134" w:name="_Toc6012"/>
      <w:bookmarkStart w:id="135" w:name="_Toc8437"/>
      <w:bookmarkStart w:id="136" w:name="_Toc31269"/>
      <w:bookmarkStart w:id="137" w:name="_Toc18195"/>
      <w:bookmarkStart w:id="138" w:name="_Toc2353"/>
      <w:bookmarkStart w:id="139" w:name="_Toc23697"/>
      <w:bookmarkStart w:id="140" w:name="_Toc18140"/>
      <w:bookmarkStart w:id="141" w:name="_Toc20959"/>
      <w:bookmarkStart w:id="142" w:name="_Toc5886"/>
      <w:bookmarkStart w:id="143" w:name="_Toc4843"/>
      <w:bookmarkStart w:id="144" w:name="_Toc20030"/>
      <w:bookmarkStart w:id="145" w:name="_Toc20230"/>
      <w:bookmarkStart w:id="146" w:name="_Toc11256"/>
      <w:bookmarkStart w:id="147" w:name="_Toc1724"/>
      <w:bookmarkStart w:id="148" w:name="_Toc32268"/>
      <w:r>
        <w:rPr>
          <w:rFonts w:hint="eastAsia" w:ascii="黑体" w:hAnsi="黑体" w:eastAsia="黑体" w:cs="黑体"/>
          <w:b w:val="0"/>
          <w:bCs w:val="0"/>
          <w:color w:val="auto"/>
          <w:kern w:val="0"/>
          <w:sz w:val="32"/>
          <w:szCs w:val="32"/>
          <w:lang w:val="en-US" w:eastAsia="zh-CN" w:bidi="zh-CN"/>
        </w:rPr>
        <w:t>增强城市数智设施能级</w:t>
      </w:r>
      <w:bookmarkEnd w:id="131"/>
      <w:bookmarkEnd w:id="132"/>
      <w:bookmarkEnd w:id="133"/>
      <w:bookmarkEnd w:id="134"/>
      <w:bookmarkEnd w:id="135"/>
      <w:bookmarkEnd w:id="136"/>
      <w:bookmarkEnd w:id="137"/>
      <w:bookmarkEnd w:id="138"/>
      <w:bookmarkEnd w:id="139"/>
      <w:bookmarkEnd w:id="140"/>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0" w:firstLineChars="200"/>
        <w:textAlignment w:val="auto"/>
        <w:outlineLvl w:val="9"/>
        <w:rPr>
          <w:rFonts w:hint="eastAsia" w:ascii="Times New Roman" w:hAnsi="Times New Roman" w:eastAsia="仿宋_GB2312" w:cs="Times New Roman"/>
          <w:color w:val="auto"/>
          <w:kern w:val="0"/>
          <w:sz w:val="32"/>
          <w:szCs w:val="32"/>
          <w:lang w:val="en-US" w:eastAsia="zh-CN" w:bidi="ar-SA"/>
        </w:rPr>
      </w:pPr>
      <w:r>
        <w:rPr>
          <w:rFonts w:hint="eastAsia" w:ascii="Times New Roman" w:hAnsi="Times New Roman" w:eastAsia="仿宋_GB2312" w:cs="Times New Roman"/>
          <w:color w:val="auto"/>
          <w:kern w:val="0"/>
          <w:sz w:val="32"/>
          <w:szCs w:val="32"/>
          <w:lang w:val="en-US" w:eastAsia="zh-CN" w:bidi="ar-SA"/>
        </w:rPr>
        <w:t>深入实施城市云网强基行动，增强网络基础设施承载和服务能力，建立灵活高效的算力供给体系，统筹部署泛在韧性的城市智能感知终端，建设数据流通利用设施底座，全面提升共性平台支撑能力。</w:t>
      </w:r>
    </w:p>
    <w:p>
      <w:pPr>
        <w:pStyle w:val="2"/>
        <w:keepNext w:val="0"/>
        <w:keepLines w:val="0"/>
        <w:pageBreakBefore w:val="0"/>
        <w:widowControl w:val="0"/>
        <w:kinsoku/>
        <w:wordWrap/>
        <w:overflowPunct/>
        <w:topLinePunct w:val="0"/>
        <w:autoSpaceDE w:val="0"/>
        <w:autoSpaceDN w:val="0"/>
        <w:bidi w:val="0"/>
        <w:adjustRightInd/>
        <w:snapToGrid/>
        <w:spacing w:after="0" w:line="560" w:lineRule="exact"/>
        <w:ind w:left="0" w:firstLine="640" w:firstLineChars="20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149" w:name="_Toc5038"/>
      <w:bookmarkStart w:id="150" w:name="_Toc10435"/>
      <w:bookmarkStart w:id="151" w:name="_Toc62413981"/>
      <w:bookmarkStart w:id="152" w:name="_Toc28840"/>
      <w:bookmarkStart w:id="153" w:name="_Toc9035"/>
      <w:bookmarkStart w:id="154" w:name="_Toc22095"/>
      <w:bookmarkStart w:id="155" w:name="_Toc16162"/>
      <w:bookmarkStart w:id="156" w:name="_Toc16904"/>
      <w:bookmarkStart w:id="157" w:name="_Toc14709"/>
      <w:bookmarkStart w:id="158" w:name="_Toc31835"/>
      <w:r>
        <w:rPr>
          <w:rFonts w:hint="eastAsia" w:ascii="楷体_GB2312" w:hAnsi="楷体" w:eastAsia="楷体_GB2312" w:cs="宋体"/>
          <w:b w:val="0"/>
          <w:bCs w:val="0"/>
          <w:color w:val="auto"/>
          <w:spacing w:val="2"/>
          <w:w w:val="99"/>
          <w:kern w:val="0"/>
          <w:sz w:val="32"/>
          <w:szCs w:val="32"/>
          <w:lang w:val="en-US" w:eastAsia="zh-CN" w:bidi="zh-CN"/>
        </w:rPr>
        <w:t>（一）夯实算网基础设施</w:t>
      </w:r>
      <w:bookmarkEnd w:id="149"/>
      <w:bookmarkEnd w:id="150"/>
      <w:bookmarkEnd w:id="151"/>
      <w:bookmarkEnd w:id="152"/>
      <w:bookmarkEnd w:id="153"/>
      <w:bookmarkEnd w:id="154"/>
      <w:bookmarkEnd w:id="155"/>
      <w:bookmarkEnd w:id="156"/>
      <w:bookmarkEnd w:id="157"/>
      <w:bookmarkEnd w:id="158"/>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kern w:val="0"/>
          <w:sz w:val="32"/>
          <w:szCs w:val="32"/>
          <w:lang w:val="en-US" w:eastAsia="zh-CN" w:bidi="ar-SA"/>
        </w:rPr>
      </w:pPr>
      <w:bookmarkStart w:id="159" w:name="_Toc15487"/>
      <w:bookmarkStart w:id="160" w:name="_Toc5608"/>
      <w:r>
        <w:rPr>
          <w:rFonts w:hint="eastAsia" w:ascii="仿宋_GB2312" w:hAnsi="仿宋_GB2312" w:eastAsia="仿宋_GB2312" w:cs="仿宋_GB2312"/>
          <w:b/>
          <w:bCs/>
          <w:color w:val="auto"/>
          <w:kern w:val="0"/>
          <w:sz w:val="32"/>
          <w:szCs w:val="32"/>
          <w:lang w:val="en-US" w:eastAsia="zh-CN" w:bidi="ar-SA"/>
        </w:rPr>
        <w:t>1.超前部署数智基础设施。</w:t>
      </w:r>
      <w:r>
        <w:rPr>
          <w:rFonts w:hint="eastAsia" w:ascii="仿宋_GB2312" w:hAnsi="仿宋_GB2312" w:eastAsia="仿宋_GB2312" w:cs="仿宋_GB2312"/>
          <w:b w:val="0"/>
          <w:bCs w:val="0"/>
          <w:color w:val="auto"/>
          <w:kern w:val="0"/>
          <w:sz w:val="32"/>
          <w:szCs w:val="32"/>
          <w:lang w:val="en-US" w:eastAsia="zh-CN" w:bidi="ar-SA"/>
        </w:rPr>
        <w:t>升级政务网络，</w:t>
      </w:r>
      <w:r>
        <w:rPr>
          <w:rFonts w:hint="eastAsia" w:ascii="仿宋_GB2312" w:hAnsi="仿宋_GB2312" w:eastAsia="仿宋_GB2312" w:cs="仿宋_GB2312"/>
          <w:color w:val="auto"/>
          <w:kern w:val="0"/>
          <w:sz w:val="32"/>
          <w:szCs w:val="32"/>
          <w:lang w:val="en-US" w:eastAsia="zh-CN" w:bidi="ar-SA"/>
        </w:rPr>
        <w:t>推进万兆网络纵深覆盖，建设北重</w:t>
      </w:r>
      <w:r>
        <w:rPr>
          <w:rFonts w:ascii="仿宋_GB2312" w:hAnsi="仿宋_GB2312" w:eastAsia="仿宋_GB2312" w:cs="仿宋_GB2312"/>
          <w:color w:val="auto"/>
          <w:kern w:val="0"/>
          <w:sz w:val="32"/>
          <w:szCs w:val="32"/>
          <w:lang w:val="en-US" w:eastAsia="zh-CN" w:bidi="ar-SA"/>
        </w:rPr>
        <w:t>科技文化产业园</w:t>
      </w:r>
      <w:r>
        <w:rPr>
          <w:rFonts w:hint="eastAsia" w:ascii="仿宋_GB2312" w:hAnsi="仿宋_GB2312" w:eastAsia="仿宋_GB2312" w:cs="仿宋_GB2312"/>
          <w:color w:val="auto"/>
          <w:kern w:val="0"/>
          <w:sz w:val="32"/>
          <w:szCs w:val="32"/>
          <w:lang w:val="en-US" w:eastAsia="zh-CN" w:bidi="ar-SA"/>
        </w:rPr>
        <w:t>万兆光纤网络。</w:t>
      </w:r>
      <w:bookmarkStart w:id="161" w:name="_Toc4427"/>
      <w:r>
        <w:rPr>
          <w:rFonts w:hint="eastAsia" w:ascii="仿宋_GB2312" w:hAnsi="仿宋_GB2312" w:eastAsia="仿宋_GB2312" w:cs="仿宋_GB2312"/>
          <w:color w:val="auto"/>
          <w:kern w:val="0"/>
          <w:sz w:val="32"/>
          <w:szCs w:val="32"/>
          <w:lang w:val="en-US" w:eastAsia="zh-CN" w:bidi="ar-SA"/>
        </w:rPr>
        <w:t>强化5G-A移动网络深度覆盖，推动重点企业开展工业5G专网试点，前瞻谋划6G未来网络布局，探索实现感知、通信与AI深度融合。</w:t>
      </w:r>
      <w:bookmarkEnd w:id="161"/>
      <w:r>
        <w:rPr>
          <w:rFonts w:hint="eastAsia" w:ascii="仿宋_GB2312" w:hAnsi="仿宋_GB2312" w:eastAsia="仿宋_GB2312" w:cs="仿宋_GB2312"/>
          <w:b w:val="0"/>
          <w:bCs w:val="0"/>
          <w:color w:val="auto"/>
          <w:kern w:val="0"/>
          <w:sz w:val="32"/>
          <w:szCs w:val="32"/>
          <w:lang w:val="en-US" w:eastAsia="zh-CN" w:bidi="ar-SA"/>
        </w:rPr>
        <w:t>持续扩大</w:t>
      </w:r>
      <w:r>
        <w:rPr>
          <w:rFonts w:hint="eastAsia" w:ascii="仿宋_GB2312" w:hAnsi="仿宋_GB2312" w:eastAsia="仿宋_GB2312" w:cs="仿宋_GB2312"/>
          <w:color w:val="auto"/>
          <w:kern w:val="0"/>
          <w:sz w:val="32"/>
          <w:szCs w:val="32"/>
          <w:lang w:val="en-US" w:eastAsia="zh-CN" w:bidi="ar-SA"/>
        </w:rPr>
        <w:t>IPv6规模化部署覆盖面，提速工业互联网、车联网等领域数智基础设施建设。</w:t>
      </w:r>
      <w:r>
        <w:rPr>
          <w:rFonts w:hint="eastAsia" w:ascii="仿宋_GB2312" w:hAnsi="仿宋_GB2312" w:eastAsia="仿宋_GB2312" w:cs="仿宋_GB2312"/>
          <w:color w:val="auto"/>
          <w:kern w:val="0"/>
          <w:sz w:val="32"/>
          <w:szCs w:val="32"/>
          <w:highlight w:val="none"/>
          <w:lang w:val="en-US" w:eastAsia="zh-CN" w:bidi="ar-SA"/>
        </w:rPr>
        <w:t>持续升级完善智算中心底座，建设超智算人工智能创新示范园等项目，</w:t>
      </w:r>
      <w:r>
        <w:rPr>
          <w:rFonts w:hint="eastAsia" w:ascii="仿宋_GB2312" w:hAnsi="仿宋_GB2312" w:eastAsia="仿宋_GB2312" w:cs="仿宋_GB2312"/>
          <w:color w:val="auto"/>
          <w:kern w:val="0"/>
          <w:sz w:val="32"/>
          <w:szCs w:val="32"/>
          <w:lang w:val="en-US" w:eastAsia="zh-CN" w:bidi="ar-SA"/>
        </w:rPr>
        <w:t>促进全域算力资源统筹整合、互联互通。</w:t>
      </w:r>
      <w:bookmarkEnd w:id="159"/>
      <w:bookmarkEnd w:id="160"/>
      <w:bookmarkStart w:id="162" w:name="_Toc21499"/>
      <w:bookmarkStart w:id="163" w:name="_Toc10841"/>
      <w:r>
        <w:rPr>
          <w:rFonts w:hint="eastAsia" w:ascii="仿宋_GB2312" w:hAnsi="仿宋_GB2312" w:eastAsia="仿宋_GB2312" w:cs="仿宋_GB2312"/>
          <w:color w:val="auto"/>
          <w:kern w:val="0"/>
          <w:sz w:val="32"/>
          <w:szCs w:val="32"/>
          <w:lang w:val="en-US" w:eastAsia="zh-CN" w:bidi="ar-SA"/>
        </w:rPr>
        <w:t>以首钢园为抓手打造车路云网一体化示范样板，依托银行保险产业园先行优势，辐射带动八大处等区域发展，统筹布局路侧数智基础设施、双智专网等道路与网络类新型基</w:t>
      </w:r>
      <w:bookmarkStart w:id="164" w:name="_Toc6421"/>
      <w:r>
        <w:rPr>
          <w:rFonts w:hint="eastAsia" w:ascii="仿宋_GB2312" w:hAnsi="仿宋_GB2312" w:eastAsia="仿宋_GB2312" w:cs="仿宋_GB2312"/>
          <w:color w:val="auto"/>
          <w:kern w:val="0"/>
          <w:sz w:val="32"/>
          <w:szCs w:val="32"/>
          <w:lang w:val="en-US" w:eastAsia="zh-CN" w:bidi="ar-SA"/>
        </w:rPr>
        <w:t>建。完善“双智”城市感知网络体系，构建车城融合协同发展格局。</w:t>
      </w:r>
      <w:bookmarkEnd w:id="164"/>
      <w:r>
        <w:rPr>
          <w:rFonts w:hint="eastAsia" w:ascii="仿宋_GB2312" w:hAnsi="仿宋_GB2312" w:eastAsia="仿宋_GB2312" w:cs="仿宋_GB2312"/>
          <w:color w:val="auto"/>
          <w:kern w:val="0"/>
          <w:sz w:val="32"/>
          <w:szCs w:val="32"/>
          <w:lang w:val="en-US" w:eastAsia="zh-CN" w:bidi="ar-SA"/>
        </w:rPr>
        <w:t>扩容升级政务云平台，统筹升级公安、教育行业专属云。深化北斗系统在重点领域规模化集成应用，全面夯实城市数智化发展底座。</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2.完善城市智能感知体系建设。</w:t>
      </w:r>
      <w:r>
        <w:rPr>
          <w:rFonts w:hint="eastAsia" w:ascii="仿宋_GB2312" w:hAnsi="仿宋_GB2312" w:eastAsia="仿宋_GB2312" w:cs="仿宋_GB2312"/>
          <w:color w:val="auto"/>
          <w:kern w:val="0"/>
          <w:sz w:val="32"/>
          <w:szCs w:val="32"/>
          <w:lang w:val="en-US" w:eastAsia="zh-CN" w:bidi="ar-SA"/>
        </w:rPr>
        <w:t>统筹推进全区感知体系建设，</w:t>
      </w:r>
      <w:r>
        <w:rPr>
          <w:rFonts w:hint="eastAsia" w:ascii="仿宋_GB2312" w:hAnsi="仿宋_GB2312" w:eastAsia="仿宋_GB2312" w:cs="仿宋_GB2312"/>
          <w:color w:val="auto"/>
          <w:kern w:val="0"/>
          <w:sz w:val="32"/>
          <w:szCs w:val="32"/>
        </w:rPr>
        <w:t>推动物联感知技术与城市管理、公共安全、民生服务深度融合，</w:t>
      </w:r>
      <w:r>
        <w:rPr>
          <w:rFonts w:hint="eastAsia" w:ascii="仿宋_GB2312" w:hAnsi="仿宋_GB2312" w:eastAsia="仿宋_GB2312" w:cs="仿宋_GB2312"/>
          <w:color w:val="auto"/>
          <w:kern w:val="0"/>
          <w:sz w:val="32"/>
          <w:szCs w:val="32"/>
          <w:lang w:val="en-US" w:eastAsia="zh-CN" w:bidi="ar-SA"/>
        </w:rPr>
        <w:t>统一规划、统一标准</w:t>
      </w:r>
      <w:r>
        <w:rPr>
          <w:rFonts w:ascii="仿宋_GB2312" w:hAnsi="仿宋_GB2312" w:eastAsia="仿宋_GB2312" w:cs="仿宋_GB2312"/>
          <w:color w:val="auto"/>
          <w:kern w:val="0"/>
          <w:sz w:val="32"/>
          <w:szCs w:val="32"/>
          <w:lang w:val="en-US" w:eastAsia="zh-CN" w:bidi="ar-SA"/>
        </w:rPr>
        <w:t>、</w:t>
      </w:r>
      <w:r>
        <w:rPr>
          <w:rFonts w:hint="eastAsia" w:ascii="仿宋_GB2312" w:hAnsi="仿宋_GB2312" w:eastAsia="仿宋_GB2312" w:cs="仿宋_GB2312"/>
          <w:color w:val="auto"/>
          <w:kern w:val="0"/>
          <w:sz w:val="32"/>
          <w:szCs w:val="32"/>
          <w:lang w:val="en-US" w:eastAsia="zh-CN" w:bidi="ar-SA"/>
        </w:rPr>
        <w:t>统建共用</w:t>
      </w:r>
      <w:r>
        <w:rPr>
          <w:rFonts w:ascii="仿宋_GB2312" w:hAnsi="仿宋_GB2312" w:eastAsia="仿宋_GB2312" w:cs="仿宋_GB2312"/>
          <w:color w:val="auto"/>
          <w:kern w:val="0"/>
          <w:sz w:val="32"/>
          <w:szCs w:val="32"/>
          <w:lang w:val="en-US" w:eastAsia="zh-CN" w:bidi="ar-SA"/>
        </w:rPr>
        <w:t>，</w:t>
      </w:r>
      <w:r>
        <w:rPr>
          <w:rFonts w:hint="eastAsia" w:ascii="仿宋_GB2312" w:hAnsi="仿宋_GB2312" w:eastAsia="仿宋_GB2312" w:cs="仿宋_GB2312"/>
          <w:color w:val="auto"/>
          <w:kern w:val="0"/>
          <w:sz w:val="32"/>
          <w:szCs w:val="32"/>
          <w:lang w:val="en-US" w:eastAsia="zh-CN" w:bidi="ar-SA"/>
        </w:rPr>
        <w:t>构建空天地一体的</w:t>
      </w:r>
      <w:r>
        <w:rPr>
          <w:rFonts w:ascii="仿宋_GB2312" w:hAnsi="仿宋_GB2312" w:eastAsia="仿宋_GB2312" w:cs="仿宋_GB2312"/>
          <w:color w:val="auto"/>
          <w:kern w:val="0"/>
          <w:sz w:val="32"/>
          <w:szCs w:val="32"/>
          <w:lang w:val="en-US" w:eastAsia="zh-CN" w:bidi="ar-SA"/>
        </w:rPr>
        <w:t>感知</w:t>
      </w:r>
      <w:r>
        <w:rPr>
          <w:rFonts w:hint="eastAsia" w:ascii="仿宋_GB2312" w:hAnsi="仿宋_GB2312" w:eastAsia="仿宋_GB2312" w:cs="仿宋_GB2312"/>
          <w:color w:val="auto"/>
          <w:kern w:val="0"/>
          <w:sz w:val="32"/>
          <w:szCs w:val="32"/>
          <w:lang w:val="en-US" w:eastAsia="zh-CN" w:bidi="ar-SA"/>
        </w:rPr>
        <w:t>网络，推进分布式边缘计算节点建设。优化城市影像感知能力，充分利用卫星遥感、高空视频等先进监测手段，加强环线路网、重点区域视频监控，提升事件非现场、非接触处置感知能力。增强城市脉搏感知能力，重点监测城市生命线（电力、燃气、供排水、热力、地下管网）、城市洪涝、自然灾害等</w:t>
      </w:r>
      <w:bookmarkEnd w:id="162"/>
      <w:bookmarkEnd w:id="163"/>
      <w:r>
        <w:rPr>
          <w:rFonts w:hint="eastAsia" w:ascii="仿宋_GB2312" w:hAnsi="仿宋_GB2312" w:eastAsia="仿宋_GB2312" w:cs="仿宋_GB2312"/>
          <w:color w:val="auto"/>
          <w:kern w:val="0"/>
          <w:sz w:val="32"/>
          <w:szCs w:val="32"/>
          <w:lang w:val="en-US" w:eastAsia="zh-CN" w:bidi="ar-SA"/>
        </w:rPr>
        <w:t>，</w:t>
      </w:r>
      <w:r>
        <w:rPr>
          <w:rFonts w:ascii="仿宋_GB2312" w:hAnsi="仿宋_GB2312" w:eastAsia="仿宋_GB2312" w:cs="仿宋_GB2312"/>
          <w:color w:val="auto"/>
          <w:kern w:val="0"/>
          <w:sz w:val="32"/>
          <w:szCs w:val="32"/>
        </w:rPr>
        <w:t>提升</w:t>
      </w:r>
      <w:r>
        <w:rPr>
          <w:rFonts w:hint="eastAsia" w:ascii="仿宋_GB2312" w:hAnsi="仿宋_GB2312" w:eastAsia="仿宋_GB2312" w:cs="仿宋_GB2312"/>
          <w:b w:val="0"/>
          <w:bCs w:val="0"/>
          <w:i w:val="0"/>
          <w:iCs w:val="0"/>
          <w:caps w:val="0"/>
          <w:smallCaps w:val="0"/>
          <w:color w:val="auto"/>
          <w:spacing w:val="0"/>
          <w:kern w:val="0"/>
          <w:sz w:val="32"/>
          <w:szCs w:val="32"/>
          <w:shd w:val="clear" w:color="auto" w:fill="auto"/>
        </w:rPr>
        <w:t>城市安全防控</w:t>
      </w:r>
      <w:r>
        <w:rPr>
          <w:rFonts w:ascii="仿宋_GB2312" w:hAnsi="仿宋_GB2312" w:eastAsia="仿宋_GB2312" w:cs="仿宋_GB2312"/>
          <w:color w:val="auto"/>
          <w:kern w:val="0"/>
          <w:sz w:val="32"/>
          <w:szCs w:val="32"/>
        </w:rPr>
        <w:t>能力。</w:t>
      </w:r>
    </w:p>
    <w:p>
      <w:pPr>
        <w:pStyle w:val="2"/>
        <w:keepNext w:val="0"/>
        <w:keepLines w:val="0"/>
        <w:pageBreakBefore w:val="0"/>
        <w:widowControl w:val="0"/>
        <w:kinsoku/>
        <w:wordWrap/>
        <w:overflowPunct/>
        <w:topLinePunct w:val="0"/>
        <w:autoSpaceDE w:val="0"/>
        <w:autoSpaceDN w:val="0"/>
        <w:bidi w:val="0"/>
        <w:adjustRightInd/>
        <w:snapToGrid/>
        <w:spacing w:after="0" w:line="560" w:lineRule="exact"/>
        <w:ind w:left="0" w:firstLine="640" w:firstLineChars="20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165" w:name="_Toc6494"/>
      <w:bookmarkStart w:id="166" w:name="_Toc4685"/>
      <w:bookmarkStart w:id="167" w:name="_Toc18082"/>
      <w:bookmarkStart w:id="168" w:name="_Toc4009"/>
      <w:bookmarkStart w:id="169" w:name="_Toc16282"/>
      <w:bookmarkStart w:id="170" w:name="_Toc5295"/>
      <w:bookmarkStart w:id="171" w:name="_Toc17171"/>
      <w:bookmarkStart w:id="172" w:name="_Toc27997"/>
      <w:bookmarkStart w:id="173" w:name="_Toc62413982"/>
      <w:bookmarkStart w:id="174" w:name="_Toc18346"/>
      <w:bookmarkStart w:id="175" w:name="_Toc26080"/>
      <w:bookmarkStart w:id="176" w:name="_Toc28668"/>
      <w:bookmarkStart w:id="177" w:name="_Toc11110"/>
      <w:bookmarkStart w:id="178" w:name="_Toc29555"/>
      <w:bookmarkStart w:id="179" w:name="_Toc28912"/>
      <w:bookmarkStart w:id="180" w:name="_Toc8608"/>
      <w:r>
        <w:rPr>
          <w:rFonts w:hint="eastAsia" w:ascii="楷体_GB2312" w:hAnsi="楷体" w:eastAsia="楷体_GB2312" w:cs="宋体"/>
          <w:b w:val="0"/>
          <w:bCs w:val="0"/>
          <w:color w:val="auto"/>
          <w:spacing w:val="2"/>
          <w:w w:val="99"/>
          <w:kern w:val="0"/>
          <w:sz w:val="32"/>
          <w:szCs w:val="32"/>
          <w:lang w:val="en-US" w:eastAsia="zh-CN" w:bidi="zh-CN"/>
        </w:rPr>
        <w:t>（二）建设</w:t>
      </w:r>
      <w:bookmarkEnd w:id="165"/>
      <w:bookmarkEnd w:id="166"/>
      <w:bookmarkEnd w:id="167"/>
      <w:r>
        <w:rPr>
          <w:rFonts w:hint="eastAsia" w:ascii="楷体_GB2312" w:hAnsi="楷体" w:eastAsia="楷体_GB2312" w:cs="宋体"/>
          <w:b w:val="0"/>
          <w:bCs w:val="0"/>
          <w:color w:val="auto"/>
          <w:spacing w:val="2"/>
          <w:w w:val="99"/>
          <w:kern w:val="0"/>
          <w:sz w:val="32"/>
          <w:szCs w:val="32"/>
          <w:lang w:val="en-US" w:eastAsia="zh-CN" w:bidi="zh-CN"/>
        </w:rPr>
        <w:t>数智基础设施</w:t>
      </w:r>
      <w:bookmarkEnd w:id="168"/>
      <w:bookmarkEnd w:id="169"/>
      <w:bookmarkEnd w:id="170"/>
      <w:bookmarkEnd w:id="171"/>
      <w:bookmarkEnd w:id="172"/>
      <w:bookmarkEnd w:id="173"/>
      <w:bookmarkEnd w:id="174"/>
      <w:bookmarkEnd w:id="175"/>
      <w:bookmarkEnd w:id="176"/>
      <w:bookmarkEnd w:id="177"/>
      <w:bookmarkEnd w:id="178"/>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ascii="Times New Roman" w:hAnsi="Times New Roman" w:eastAsia="仿宋_GB2312" w:cs="Times New Roman"/>
          <w:color w:val="auto"/>
          <w:kern w:val="0"/>
          <w:sz w:val="32"/>
          <w:szCs w:val="32"/>
          <w:lang w:val="en-US" w:eastAsia="zh-CN" w:bidi="ar-SA"/>
        </w:rPr>
      </w:pPr>
      <w:bookmarkStart w:id="181" w:name="_Toc4565"/>
      <w:bookmarkStart w:id="182" w:name="_Toc28253"/>
      <w:r>
        <w:rPr>
          <w:rFonts w:hint="eastAsia" w:ascii="仿宋_GB2312" w:hAnsi="仿宋_GB2312" w:eastAsia="仿宋_GB2312" w:cs="仿宋_GB2312"/>
          <w:b/>
          <w:bCs/>
          <w:color w:val="auto"/>
          <w:kern w:val="0"/>
          <w:sz w:val="32"/>
          <w:szCs w:val="32"/>
          <w:lang w:val="en-US" w:eastAsia="zh-CN" w:bidi="ar-SA"/>
        </w:rPr>
        <w:t>3.加快数据基础设施建设。</w:t>
      </w:r>
      <w:r>
        <w:rPr>
          <w:rFonts w:hint="eastAsia" w:ascii="仿宋_GB2312" w:hAnsi="仿宋_GB2312" w:eastAsia="仿宋_GB2312" w:cs="仿宋_GB2312"/>
          <w:b w:val="0"/>
          <w:bCs w:val="0"/>
          <w:color w:val="auto"/>
          <w:kern w:val="0"/>
          <w:sz w:val="32"/>
          <w:szCs w:val="32"/>
          <w:lang w:val="en-US" w:eastAsia="zh-CN" w:bidi="ar-SA"/>
        </w:rPr>
        <w:t>完善</w:t>
      </w:r>
      <w:r>
        <w:rPr>
          <w:rFonts w:hint="eastAsia" w:eastAsia="仿宋_GB2312" w:cs="Times New Roman"/>
          <w:color w:val="auto"/>
          <w:kern w:val="0"/>
          <w:sz w:val="32"/>
          <w:szCs w:val="32"/>
          <w:lang w:val="en-US" w:eastAsia="zh-CN" w:bidi="ar-SA"/>
        </w:rPr>
        <w:t>区政务</w:t>
      </w:r>
      <w:r>
        <w:rPr>
          <w:rFonts w:hint="eastAsia" w:ascii="Times New Roman" w:hAnsi="Times New Roman" w:eastAsia="仿宋_GB2312" w:cs="Times New Roman"/>
          <w:color w:val="auto"/>
          <w:kern w:val="0"/>
          <w:sz w:val="32"/>
          <w:szCs w:val="32"/>
          <w:lang w:val="en-US" w:eastAsia="zh-CN" w:bidi="ar-SA"/>
        </w:rPr>
        <w:t>数字资源管理</w:t>
      </w:r>
      <w:r>
        <w:rPr>
          <w:rFonts w:hint="eastAsia" w:eastAsia="仿宋_GB2312" w:cs="Times New Roman"/>
          <w:color w:val="auto"/>
          <w:kern w:val="0"/>
          <w:sz w:val="32"/>
          <w:szCs w:val="32"/>
          <w:lang w:val="en-US" w:eastAsia="zh-CN" w:bidi="ar-SA"/>
        </w:rPr>
        <w:t>和</w:t>
      </w:r>
      <w:r>
        <w:rPr>
          <w:rFonts w:hint="eastAsia" w:ascii="Times New Roman" w:hAnsi="Times New Roman" w:eastAsia="仿宋_GB2312" w:cs="Times New Roman"/>
          <w:color w:val="auto"/>
          <w:kern w:val="0"/>
          <w:sz w:val="32"/>
          <w:szCs w:val="32"/>
          <w:lang w:val="en-US" w:eastAsia="zh-CN" w:bidi="ar-SA"/>
        </w:rPr>
        <w:t>服务平台，</w:t>
      </w:r>
      <w:r>
        <w:rPr>
          <w:rFonts w:hint="eastAsia" w:eastAsia="仿宋_GB2312" w:cs="Times New Roman"/>
          <w:color w:val="auto"/>
          <w:kern w:val="0"/>
          <w:sz w:val="32"/>
          <w:szCs w:val="32"/>
          <w:lang w:val="en-US" w:eastAsia="zh-CN" w:bidi="ar-SA"/>
        </w:rPr>
        <w:t>统筹调度</w:t>
      </w:r>
      <w:r>
        <w:rPr>
          <w:rFonts w:hint="eastAsia" w:ascii="Times New Roman" w:hAnsi="Times New Roman" w:eastAsia="仿宋_GB2312" w:cs="Times New Roman"/>
          <w:color w:val="auto"/>
          <w:kern w:val="0"/>
          <w:sz w:val="32"/>
          <w:szCs w:val="32"/>
          <w:lang w:val="en-US" w:eastAsia="zh-CN" w:bidi="ar-SA"/>
        </w:rPr>
        <w:t>云、网、数据、能力组件、</w:t>
      </w:r>
      <w:r>
        <w:rPr>
          <w:rFonts w:hint="eastAsia" w:eastAsia="仿宋_GB2312" w:cs="Times New Roman"/>
          <w:color w:val="auto"/>
          <w:kern w:val="0"/>
          <w:sz w:val="32"/>
          <w:szCs w:val="32"/>
          <w:lang w:val="en-US" w:eastAsia="zh-CN" w:bidi="ar-SA"/>
        </w:rPr>
        <w:t>业务</w:t>
      </w:r>
      <w:r>
        <w:rPr>
          <w:rFonts w:hint="eastAsia" w:ascii="Times New Roman" w:hAnsi="Times New Roman" w:eastAsia="仿宋_GB2312" w:cs="Times New Roman"/>
          <w:color w:val="auto"/>
          <w:kern w:val="0"/>
          <w:sz w:val="32"/>
          <w:szCs w:val="32"/>
          <w:lang w:val="en-US" w:eastAsia="zh-CN" w:bidi="ar-SA"/>
        </w:rPr>
        <w:t>应用等</w:t>
      </w:r>
      <w:r>
        <w:rPr>
          <w:rFonts w:hint="eastAsia" w:eastAsia="仿宋_GB2312" w:cs="Times New Roman"/>
          <w:color w:val="auto"/>
          <w:kern w:val="0"/>
          <w:sz w:val="32"/>
          <w:szCs w:val="32"/>
          <w:lang w:val="en-US" w:eastAsia="zh-CN" w:bidi="ar-SA"/>
        </w:rPr>
        <w:t>各类</w:t>
      </w:r>
      <w:r>
        <w:rPr>
          <w:rFonts w:hint="eastAsia" w:ascii="Times New Roman" w:hAnsi="Times New Roman" w:eastAsia="仿宋_GB2312" w:cs="Times New Roman"/>
          <w:color w:val="auto"/>
          <w:kern w:val="0"/>
          <w:sz w:val="32"/>
          <w:szCs w:val="32"/>
          <w:lang w:val="en-US" w:eastAsia="zh-CN" w:bidi="ar-SA"/>
        </w:rPr>
        <w:t>数字资源</w:t>
      </w:r>
      <w:r>
        <w:rPr>
          <w:rFonts w:hint="eastAsia" w:eastAsia="仿宋_GB2312" w:cs="Times New Roman"/>
          <w:color w:val="auto"/>
          <w:kern w:val="0"/>
          <w:sz w:val="32"/>
          <w:szCs w:val="32"/>
          <w:lang w:val="en-US" w:eastAsia="zh-CN" w:bidi="ar-SA"/>
        </w:rPr>
        <w:t>，实现一体化集约管控，打造</w:t>
      </w:r>
      <w:r>
        <w:rPr>
          <w:rFonts w:hint="eastAsia" w:ascii="Times New Roman" w:hAnsi="Times New Roman" w:eastAsia="仿宋_GB2312" w:cs="Times New Roman"/>
          <w:color w:val="auto"/>
          <w:kern w:val="0"/>
          <w:sz w:val="32"/>
          <w:szCs w:val="32"/>
          <w:lang w:val="en-US" w:eastAsia="zh-CN" w:bidi="ar-SA"/>
        </w:rPr>
        <w:t>“数据即服务</w:t>
      </w:r>
      <w:r>
        <w:rPr>
          <w:rFonts w:hint="eastAsia" w:eastAsia="仿宋_GB2312" w:cs="Times New Roman"/>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知识即服务</w:t>
      </w:r>
      <w:r>
        <w:rPr>
          <w:rFonts w:hint="eastAsia" w:eastAsia="仿宋_GB2312" w:cs="Times New Roman"/>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模型即服务”新模式。</w:t>
      </w:r>
      <w:bookmarkEnd w:id="181"/>
      <w:bookmarkStart w:id="183" w:name="_Toc26287"/>
      <w:r>
        <w:rPr>
          <w:rFonts w:hint="eastAsia" w:eastAsia="仿宋_GB2312" w:cs="Times New Roman"/>
          <w:color w:val="auto"/>
          <w:kern w:val="0"/>
          <w:sz w:val="32"/>
          <w:szCs w:val="32"/>
          <w:lang w:val="en-US" w:eastAsia="zh-CN" w:bidi="ar-SA"/>
        </w:rPr>
        <w:t>支持</w:t>
      </w:r>
      <w:r>
        <w:rPr>
          <w:rFonts w:hint="eastAsia" w:eastAsia="仿宋_GB2312"/>
          <w:color w:val="auto"/>
          <w:kern w:val="0"/>
          <w:sz w:val="32"/>
          <w:szCs w:val="32"/>
          <w:lang w:val="en-US" w:eastAsia="zh-CN"/>
        </w:rPr>
        <w:t>链主</w:t>
      </w:r>
      <w:r>
        <w:rPr>
          <w:rFonts w:hint="eastAsia" w:eastAsia="仿宋_GB2312"/>
          <w:color w:val="auto"/>
          <w:kern w:val="0"/>
          <w:sz w:val="32"/>
          <w:szCs w:val="32"/>
        </w:rPr>
        <w:t>企业</w:t>
      </w:r>
      <w:r>
        <w:rPr>
          <w:rFonts w:eastAsia="仿宋_GB2312"/>
          <w:color w:val="auto"/>
          <w:kern w:val="0"/>
          <w:sz w:val="32"/>
          <w:szCs w:val="32"/>
        </w:rPr>
        <w:t>建设</w:t>
      </w:r>
      <w:r>
        <w:rPr>
          <w:rFonts w:hint="eastAsia" w:eastAsia="仿宋_GB2312"/>
          <w:color w:val="auto"/>
          <w:kern w:val="0"/>
          <w:sz w:val="32"/>
          <w:szCs w:val="32"/>
        </w:rPr>
        <w:t>运营企业可信数据空间</w:t>
      </w:r>
      <w:r>
        <w:rPr>
          <w:rFonts w:hint="eastAsia" w:eastAsia="仿宋_GB2312"/>
          <w:color w:val="auto"/>
          <w:kern w:val="0"/>
          <w:sz w:val="32"/>
          <w:szCs w:val="32"/>
          <w:lang w:eastAsia="zh-CN"/>
        </w:rPr>
        <w:t>，</w:t>
      </w:r>
      <w:r>
        <w:rPr>
          <w:rFonts w:hint="eastAsia" w:eastAsia="仿宋_GB2312"/>
          <w:color w:val="auto"/>
          <w:kern w:val="0"/>
          <w:sz w:val="32"/>
          <w:szCs w:val="32"/>
          <w:lang w:val="en-US" w:eastAsia="zh-CN"/>
        </w:rPr>
        <w:t>引导</w:t>
      </w:r>
      <w:r>
        <w:rPr>
          <w:rFonts w:hint="eastAsia" w:eastAsia="仿宋_GB2312" w:cs="Times New Roman"/>
          <w:color w:val="auto"/>
          <w:kern w:val="0"/>
          <w:sz w:val="32"/>
          <w:szCs w:val="32"/>
          <w:lang w:val="en-US" w:eastAsia="zh-CN" w:bidi="ar-SA"/>
        </w:rPr>
        <w:t>交通、消费等重点领域</w:t>
      </w:r>
      <w:r>
        <w:rPr>
          <w:rFonts w:ascii="Times New Roman" w:hAnsi="Times New Roman" w:eastAsia="仿宋_GB2312" w:cs="Times New Roman"/>
          <w:color w:val="auto"/>
          <w:kern w:val="0"/>
          <w:sz w:val="32"/>
          <w:szCs w:val="32"/>
          <w:lang w:bidi="ar-SA"/>
        </w:rPr>
        <w:t>行业龙头企业</w:t>
      </w:r>
      <w:r>
        <w:rPr>
          <w:rFonts w:hint="eastAsia" w:eastAsia="仿宋_GB2312" w:cs="Times New Roman"/>
          <w:color w:val="auto"/>
          <w:kern w:val="0"/>
          <w:sz w:val="32"/>
          <w:szCs w:val="32"/>
          <w:lang w:val="en-US" w:eastAsia="zh-CN" w:bidi="ar-SA"/>
        </w:rPr>
        <w:t>及</w:t>
      </w:r>
      <w:r>
        <w:rPr>
          <w:rFonts w:ascii="Times New Roman" w:hAnsi="Times New Roman" w:eastAsia="仿宋_GB2312" w:cs="Times New Roman"/>
          <w:color w:val="auto"/>
          <w:kern w:val="0"/>
          <w:sz w:val="32"/>
          <w:szCs w:val="32"/>
          <w:lang w:bidi="ar-SA"/>
        </w:rPr>
        <w:t>平台企业</w:t>
      </w:r>
      <w:r>
        <w:rPr>
          <w:rFonts w:hint="eastAsia" w:eastAsia="仿宋_GB2312" w:cs="Times New Roman"/>
          <w:color w:val="auto"/>
          <w:kern w:val="0"/>
          <w:sz w:val="32"/>
          <w:szCs w:val="32"/>
          <w:lang w:val="en-US" w:eastAsia="zh-CN" w:bidi="ar-SA"/>
        </w:rPr>
        <w:t>布局</w:t>
      </w:r>
      <w:r>
        <w:rPr>
          <w:rFonts w:hint="eastAsia" w:eastAsia="仿宋_GB2312"/>
          <w:color w:val="auto"/>
          <w:kern w:val="0"/>
          <w:sz w:val="32"/>
          <w:szCs w:val="32"/>
        </w:rPr>
        <w:t>行业可信数据空间</w:t>
      </w:r>
      <w:r>
        <w:rPr>
          <w:rFonts w:hint="eastAsia" w:eastAsia="仿宋_GB2312"/>
          <w:color w:val="auto"/>
          <w:kern w:val="0"/>
          <w:sz w:val="32"/>
          <w:szCs w:val="32"/>
          <w:lang w:eastAsia="zh-CN"/>
        </w:rPr>
        <w:t>，</w:t>
      </w:r>
      <w:r>
        <w:rPr>
          <w:rFonts w:ascii="Times New Roman" w:hAnsi="Times New Roman" w:eastAsia="仿宋_GB2312" w:cs="Times New Roman"/>
          <w:color w:val="auto"/>
          <w:kern w:val="0"/>
          <w:sz w:val="32"/>
          <w:szCs w:val="32"/>
          <w:lang w:val="en-US" w:eastAsia="zh-CN" w:bidi="ar-SA"/>
        </w:rPr>
        <w:t>为</w:t>
      </w:r>
      <w:r>
        <w:rPr>
          <w:rFonts w:hint="eastAsia" w:ascii="Times New Roman" w:hAnsi="Times New Roman" w:eastAsia="仿宋_GB2312" w:cs="Times New Roman"/>
          <w:color w:val="auto"/>
          <w:kern w:val="0"/>
          <w:sz w:val="32"/>
          <w:szCs w:val="32"/>
          <w:lang w:val="en-US" w:eastAsia="zh-CN" w:bidi="ar-SA"/>
        </w:rPr>
        <w:t>公共数据、企业数据和个人数据</w:t>
      </w:r>
      <w:r>
        <w:rPr>
          <w:rFonts w:hint="eastAsia" w:eastAsia="仿宋_GB2312" w:cs="Times New Roman"/>
          <w:color w:val="auto"/>
          <w:kern w:val="0"/>
          <w:sz w:val="32"/>
          <w:szCs w:val="32"/>
          <w:lang w:val="en-US" w:eastAsia="zh-CN" w:bidi="ar-SA"/>
        </w:rPr>
        <w:t>合规流通与</w:t>
      </w:r>
      <w:r>
        <w:rPr>
          <w:rFonts w:hint="eastAsia" w:ascii="Times New Roman" w:hAnsi="Times New Roman" w:eastAsia="仿宋_GB2312" w:cs="Times New Roman"/>
          <w:color w:val="auto"/>
          <w:kern w:val="0"/>
          <w:sz w:val="32"/>
          <w:szCs w:val="32"/>
          <w:lang w:val="en-US" w:eastAsia="zh-CN" w:bidi="ar-SA"/>
        </w:rPr>
        <w:t>融合应用</w:t>
      </w:r>
      <w:r>
        <w:rPr>
          <w:rFonts w:hint="eastAsia" w:ascii="Times New Roman" w:hAnsi="Times New Roman" w:eastAsia="仿宋_GB2312" w:cs="Times New Roman"/>
          <w:color w:val="auto"/>
          <w:kern w:val="0"/>
          <w:sz w:val="32"/>
          <w:szCs w:val="32"/>
        </w:rPr>
        <w:t>筑牢安全可信底座</w:t>
      </w:r>
      <w:r>
        <w:rPr>
          <w:rFonts w:hint="eastAsia" w:ascii="Times New Roman" w:hAnsi="Times New Roman" w:eastAsia="仿宋_GB2312" w:cs="Times New Roman"/>
          <w:color w:val="auto"/>
          <w:kern w:val="0"/>
          <w:sz w:val="32"/>
          <w:szCs w:val="32"/>
          <w:lang w:val="en-US" w:eastAsia="zh-CN" w:bidi="ar-SA"/>
        </w:rPr>
        <w:t>。</w:t>
      </w:r>
      <w:bookmarkEnd w:id="182"/>
      <w:bookmarkEnd w:id="183"/>
      <w:r>
        <w:rPr>
          <w:rFonts w:hint="eastAsia" w:eastAsia="仿宋_GB2312" w:cs="Times New Roman"/>
          <w:color w:val="auto"/>
          <w:kern w:val="0"/>
          <w:sz w:val="32"/>
          <w:szCs w:val="32"/>
          <w:lang w:val="en-US" w:eastAsia="zh-CN" w:bidi="ar-SA"/>
        </w:rPr>
        <w:t>探索跨境可信数据空间建设，</w:t>
      </w:r>
      <w:r>
        <w:rPr>
          <w:rFonts w:hint="eastAsia" w:ascii="Times New Roman" w:hAnsi="Times New Roman" w:eastAsia="仿宋_GB2312" w:cs="Times New Roman"/>
          <w:color w:val="auto"/>
          <w:kern w:val="0"/>
          <w:sz w:val="32"/>
          <w:szCs w:val="32"/>
        </w:rPr>
        <w:t>拓展数据要素流通应用边界</w:t>
      </w:r>
      <w:r>
        <w:rPr>
          <w:rFonts w:hint="eastAsia" w:eastAsia="仿宋_GB2312" w:cs="Times New Roman"/>
          <w:color w:val="auto"/>
          <w:kern w:val="0"/>
          <w:sz w:val="32"/>
          <w:szCs w:val="32"/>
          <w:lang w:val="en-US" w:eastAsia="zh-CN" w:bidi="ar-SA"/>
        </w:rPr>
        <w:t>。</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ascii="Times New Roman" w:hAnsi="Times New Roman" w:eastAsia="仿宋_GB2312" w:cs="Times New Roman"/>
          <w:b/>
          <w:bCs/>
          <w:color w:val="auto"/>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4</w:t>
      </w:r>
      <w:r>
        <w:rPr>
          <w:rFonts w:ascii="仿宋_GB2312" w:hAnsi="仿宋_GB2312" w:eastAsia="仿宋_GB2312" w:cs="仿宋_GB2312"/>
          <w:b/>
          <w:bCs/>
          <w:color w:val="auto"/>
          <w:kern w:val="0"/>
          <w:sz w:val="32"/>
          <w:szCs w:val="32"/>
          <w:lang w:val="en-US" w:eastAsia="zh-CN" w:bidi="ar-SA"/>
        </w:rPr>
        <w:t>.</w:t>
      </w:r>
      <w:r>
        <w:rPr>
          <w:rFonts w:hint="eastAsia" w:ascii="仿宋_GB2312" w:hAnsi="仿宋_GB2312" w:eastAsia="仿宋_GB2312" w:cs="仿宋_GB2312"/>
          <w:b/>
          <w:bCs/>
          <w:color w:val="auto"/>
          <w:kern w:val="0"/>
          <w:sz w:val="32"/>
          <w:szCs w:val="32"/>
          <w:lang w:val="en-US" w:eastAsia="zh-CN" w:bidi="ar-SA"/>
        </w:rPr>
        <w:t>提升城市</w:t>
      </w:r>
      <w:r>
        <w:rPr>
          <w:rFonts w:hint="eastAsia" w:ascii="Times New Roman" w:hAnsi="Times New Roman" w:eastAsia="仿宋_GB2312" w:cs="Times New Roman"/>
          <w:b/>
          <w:bCs/>
          <w:color w:val="auto"/>
          <w:kern w:val="0"/>
          <w:sz w:val="32"/>
          <w:szCs w:val="32"/>
          <w:lang w:val="en-US" w:eastAsia="zh-CN" w:bidi="ar-SA"/>
        </w:rPr>
        <w:t>共性支撑能力</w:t>
      </w:r>
      <w:r>
        <w:rPr>
          <w:rFonts w:hint="eastAsia" w:ascii="Times New Roman" w:hAnsi="Times New Roman" w:eastAsia="仿宋_GB2312" w:cs="Times New Roman"/>
          <w:color w:val="auto"/>
          <w:kern w:val="0"/>
          <w:sz w:val="32"/>
          <w:szCs w:val="32"/>
          <w:lang w:val="en-US" w:eastAsia="zh-CN" w:bidi="ar-SA"/>
        </w:rPr>
        <w:t>。</w:t>
      </w:r>
      <w:r>
        <w:rPr>
          <w:rFonts w:hint="eastAsia" w:eastAsia="仿宋_GB2312" w:cs="Times New Roman"/>
          <w:color w:val="auto"/>
          <w:kern w:val="0"/>
          <w:sz w:val="32"/>
          <w:szCs w:val="32"/>
          <w:lang w:val="en-US" w:eastAsia="zh-CN" w:bidi="ar-SA"/>
        </w:rPr>
        <w:t>建成区</w:t>
      </w:r>
      <w:r>
        <w:rPr>
          <w:rFonts w:hint="eastAsia" w:ascii="Times New Roman" w:hAnsi="Times New Roman" w:eastAsia="仿宋_GB2312" w:cs="Times New Roman"/>
          <w:color w:val="auto"/>
          <w:kern w:val="0"/>
          <w:sz w:val="32"/>
          <w:szCs w:val="32"/>
          <w:lang w:val="en-US" w:eastAsia="zh-CN" w:bidi="ar-SA"/>
        </w:rPr>
        <w:t>政务大模型平台</w:t>
      </w:r>
      <w:r>
        <w:rPr>
          <w:rFonts w:hint="eastAsia" w:eastAsia="仿宋_GB2312"/>
          <w:color w:val="auto"/>
          <w:kern w:val="0"/>
          <w:sz w:val="32"/>
          <w:szCs w:val="32"/>
          <w:lang w:val="en-US" w:eastAsia="zh-CN"/>
        </w:rPr>
        <w:t>，健全政务大模型训练、开发、运营全流程服务体系，支撑大模型在政务服务等领域</w:t>
      </w:r>
      <w:r>
        <w:rPr>
          <w:rFonts w:eastAsia="仿宋_GB2312"/>
          <w:color w:val="auto"/>
          <w:kern w:val="0"/>
          <w:sz w:val="32"/>
          <w:szCs w:val="32"/>
          <w:lang w:val="en-US" w:eastAsia="zh-CN"/>
        </w:rPr>
        <w:t>的</w:t>
      </w:r>
      <w:r>
        <w:rPr>
          <w:rFonts w:hint="eastAsia" w:eastAsia="仿宋_GB2312"/>
          <w:color w:val="auto"/>
          <w:kern w:val="0"/>
          <w:sz w:val="32"/>
          <w:szCs w:val="32"/>
          <w:lang w:val="en-US" w:eastAsia="zh-CN"/>
        </w:rPr>
        <w:t>创新应用。升级</w:t>
      </w:r>
      <w:r>
        <w:rPr>
          <w:rFonts w:hint="eastAsia" w:eastAsia="仿宋_GB2312" w:cs="Times New Roman"/>
          <w:color w:val="auto"/>
          <w:kern w:val="0"/>
          <w:sz w:val="32"/>
          <w:szCs w:val="32"/>
          <w:lang w:val="en-US" w:eastAsia="zh-CN" w:bidi="ar-SA"/>
        </w:rPr>
        <w:t>区物联感知平台，</w:t>
      </w:r>
      <w:r>
        <w:rPr>
          <w:rFonts w:eastAsia="仿宋_GB2312" w:cs="Times New Roman"/>
          <w:color w:val="auto"/>
          <w:kern w:val="0"/>
          <w:sz w:val="32"/>
          <w:szCs w:val="32"/>
          <w:lang w:val="en-US" w:eastAsia="zh-CN" w:bidi="ar-SA"/>
        </w:rPr>
        <w:t>强化感知设备统筹管理</w:t>
      </w:r>
      <w:r>
        <w:rPr>
          <w:rFonts w:hint="eastAsia" w:eastAsia="仿宋_GB2312" w:cs="Times New Roman"/>
          <w:color w:val="auto"/>
          <w:kern w:val="0"/>
          <w:sz w:val="32"/>
          <w:szCs w:val="32"/>
          <w:lang w:val="en-US" w:eastAsia="zh-CN" w:bidi="ar-SA"/>
        </w:rPr>
        <w:t>、统一接入</w:t>
      </w:r>
      <w:r>
        <w:rPr>
          <w:rFonts w:eastAsia="仿宋_GB2312" w:cs="Times New Roman"/>
          <w:color w:val="auto"/>
          <w:kern w:val="0"/>
          <w:sz w:val="32"/>
          <w:szCs w:val="32"/>
          <w:lang w:val="en-US" w:eastAsia="zh-CN" w:bidi="ar-SA"/>
        </w:rPr>
        <w:t>，</w:t>
      </w:r>
      <w:r>
        <w:rPr>
          <w:rFonts w:hint="eastAsia" w:eastAsia="仿宋_GB2312" w:cs="Times New Roman"/>
          <w:color w:val="auto"/>
          <w:kern w:val="0"/>
          <w:sz w:val="32"/>
          <w:szCs w:val="32"/>
          <w:lang w:val="en-US" w:eastAsia="zh-CN" w:bidi="ar-SA"/>
        </w:rPr>
        <w:t>推动</w:t>
      </w:r>
      <w:r>
        <w:rPr>
          <w:rFonts w:eastAsia="仿宋_GB2312" w:cs="Times New Roman"/>
          <w:color w:val="auto"/>
          <w:kern w:val="0"/>
          <w:sz w:val="32"/>
          <w:szCs w:val="32"/>
          <w:lang w:val="en-US" w:eastAsia="zh-CN" w:bidi="ar-SA"/>
        </w:rPr>
        <w:t>感知数据</w:t>
      </w:r>
      <w:r>
        <w:rPr>
          <w:rFonts w:hint="eastAsia" w:eastAsia="仿宋_GB2312" w:cs="Times New Roman"/>
          <w:color w:val="auto"/>
          <w:kern w:val="0"/>
          <w:sz w:val="32"/>
          <w:szCs w:val="32"/>
          <w:lang w:val="en-US" w:eastAsia="zh-CN" w:bidi="ar-SA"/>
        </w:rPr>
        <w:t>跨部门、跨层级、跨场景共享</w:t>
      </w:r>
      <w:r>
        <w:rPr>
          <w:rFonts w:eastAsia="仿宋_GB2312" w:cs="Times New Roman"/>
          <w:color w:val="auto"/>
          <w:kern w:val="0"/>
          <w:sz w:val="32"/>
          <w:szCs w:val="32"/>
          <w:lang w:val="en-US" w:eastAsia="zh-CN" w:bidi="ar-SA"/>
        </w:rPr>
        <w:t>利用</w:t>
      </w:r>
      <w:r>
        <w:rPr>
          <w:rFonts w:hint="eastAsia" w:eastAsia="仿宋_GB2312" w:cs="Times New Roman"/>
          <w:color w:val="auto"/>
          <w:kern w:val="0"/>
          <w:sz w:val="32"/>
          <w:szCs w:val="32"/>
          <w:lang w:val="en-US" w:eastAsia="zh-CN" w:bidi="ar-SA"/>
        </w:rPr>
        <w:t>。</w:t>
      </w:r>
      <w:r>
        <w:rPr>
          <w:rFonts w:hint="eastAsia" w:eastAsia="仿宋_GB2312"/>
          <w:color w:val="auto"/>
          <w:kern w:val="0"/>
          <w:sz w:val="32"/>
          <w:szCs w:val="32"/>
          <w:lang w:val="en-US" w:eastAsia="zh-CN"/>
        </w:rPr>
        <w:t>持续深化区数字孪生平台</w:t>
      </w:r>
      <w:r>
        <w:rPr>
          <w:rFonts w:eastAsia="仿宋_GB2312"/>
          <w:color w:val="auto"/>
          <w:kern w:val="0"/>
          <w:sz w:val="32"/>
          <w:szCs w:val="32"/>
          <w:lang w:val="en-US" w:eastAsia="zh-CN"/>
        </w:rPr>
        <w:t>建设并推广</w:t>
      </w:r>
      <w:r>
        <w:rPr>
          <w:rFonts w:hint="eastAsia" w:eastAsia="仿宋_GB2312"/>
          <w:color w:val="auto"/>
          <w:kern w:val="0"/>
          <w:sz w:val="32"/>
          <w:szCs w:val="32"/>
          <w:lang w:val="en-US" w:eastAsia="zh-CN"/>
        </w:rPr>
        <w:t>应用，</w:t>
      </w:r>
      <w:r>
        <w:rPr>
          <w:rFonts w:hint="eastAsia" w:ascii="Times New Roman" w:hAnsi="Times New Roman" w:eastAsia="仿宋_GB2312" w:cs="Times New Roman"/>
          <w:color w:val="auto"/>
          <w:kern w:val="0"/>
          <w:sz w:val="32"/>
          <w:szCs w:val="32"/>
          <w:lang w:val="en-US" w:eastAsia="zh-CN" w:bidi="ar-SA"/>
        </w:rPr>
        <w:t>提升</w:t>
      </w:r>
      <w:r>
        <w:rPr>
          <w:rFonts w:hint="eastAsia" w:eastAsia="仿宋_GB2312" w:cs="Times New Roman"/>
          <w:color w:val="auto"/>
          <w:kern w:val="0"/>
          <w:sz w:val="32"/>
          <w:szCs w:val="32"/>
          <w:lang w:val="en-US" w:eastAsia="zh-CN" w:bidi="ar-SA"/>
        </w:rPr>
        <w:t>区</w:t>
      </w:r>
      <w:r>
        <w:rPr>
          <w:rFonts w:hint="eastAsia" w:ascii="Times New Roman" w:hAnsi="Times New Roman" w:eastAsia="仿宋_GB2312" w:cs="Times New Roman"/>
          <w:color w:val="auto"/>
          <w:kern w:val="0"/>
          <w:sz w:val="32"/>
          <w:szCs w:val="32"/>
          <w:lang w:val="en-US" w:eastAsia="zh-CN" w:bidi="ar-SA"/>
        </w:rPr>
        <w:t>视频共享服务平台数据接入与分发效能</w:t>
      </w:r>
      <w:r>
        <w:rPr>
          <w:rFonts w:eastAsia="仿宋_GB2312" w:cs="Times New Roman"/>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推动统一身份认证等共性平台复用推广工作。</w:t>
      </w:r>
      <w:r>
        <w:rPr>
          <w:rFonts w:hint="eastAsia" w:eastAsia="仿宋_GB2312" w:cs="Times New Roman"/>
          <w:color w:val="auto"/>
          <w:kern w:val="0"/>
          <w:sz w:val="32"/>
          <w:szCs w:val="32"/>
          <w:lang w:val="en-US" w:eastAsia="zh-CN" w:bidi="ar-SA"/>
        </w:rPr>
        <w:t>持续推动城市实体设施发码行动，深化“码上生活”“码上服务”“码上管理”。</w:t>
      </w:r>
    </w:p>
    <w:bookmarkEnd w:id="179"/>
    <w:bookmarkEnd w:id="180"/>
    <w:p>
      <w:pPr>
        <w:pStyle w:val="2"/>
        <w:keepNext w:val="0"/>
        <w:keepLines w:val="0"/>
        <w:pageBreakBefore w:val="0"/>
        <w:widowControl w:val="0"/>
        <w:numPr>
          <w:ilvl w:val="0"/>
          <w:numId w:val="1"/>
        </w:numPr>
        <w:kinsoku/>
        <w:wordWrap/>
        <w:overflowPunct/>
        <w:topLinePunct w:val="0"/>
        <w:autoSpaceDE w:val="0"/>
        <w:autoSpaceDN w:val="0"/>
        <w:bidi w:val="0"/>
        <w:adjustRightInd/>
        <w:snapToGrid/>
        <w:spacing w:after="0" w:line="560" w:lineRule="exact"/>
        <w:ind w:left="0" w:firstLine="640" w:firstLineChars="200"/>
        <w:jc w:val="both"/>
        <w:textAlignment w:val="auto"/>
        <w:outlineLvl w:val="0"/>
        <w:rPr>
          <w:rFonts w:hint="eastAsia" w:ascii="黑体" w:hAnsi="黑体" w:eastAsia="黑体" w:cs="黑体"/>
          <w:b w:val="0"/>
          <w:bCs w:val="0"/>
          <w:color w:val="auto"/>
          <w:sz w:val="32"/>
          <w:szCs w:val="32"/>
          <w:lang w:val="en-US" w:eastAsia="zh-CN" w:bidi="ar-SA"/>
        </w:rPr>
      </w:pPr>
      <w:bookmarkStart w:id="184" w:name="_Toc32697"/>
      <w:bookmarkStart w:id="185" w:name="_Toc32300"/>
      <w:bookmarkStart w:id="186" w:name="_Toc24721"/>
      <w:bookmarkStart w:id="187" w:name="_Toc29404"/>
      <w:bookmarkStart w:id="188" w:name="_Toc62413983"/>
      <w:bookmarkStart w:id="189" w:name="_Toc19080"/>
      <w:r>
        <w:rPr>
          <w:rFonts w:hint="eastAsia" w:ascii="黑体" w:hAnsi="黑体" w:eastAsia="黑体" w:cs="黑体"/>
          <w:b w:val="0"/>
          <w:bCs w:val="0"/>
          <w:color w:val="auto"/>
          <w:sz w:val="32"/>
          <w:szCs w:val="32"/>
          <w:lang w:val="en-US" w:eastAsia="zh-CN" w:bidi="ar-SA"/>
        </w:rPr>
        <w:t>构建数据要素赋能体系</w:t>
      </w:r>
      <w:bookmarkEnd w:id="141"/>
      <w:bookmarkEnd w:id="142"/>
      <w:bookmarkEnd w:id="143"/>
      <w:bookmarkEnd w:id="144"/>
      <w:bookmarkEnd w:id="184"/>
      <w:bookmarkEnd w:id="185"/>
      <w:bookmarkEnd w:id="186"/>
      <w:bookmarkEnd w:id="187"/>
      <w:bookmarkEnd w:id="188"/>
      <w:bookmarkEnd w:id="189"/>
    </w:p>
    <w:p>
      <w:pPr>
        <w:pStyle w:val="9"/>
        <w:keepNext w:val="0"/>
        <w:keepLines w:val="0"/>
        <w:pageBreakBefore w:val="0"/>
        <w:widowControl w:val="0"/>
        <w:kinsoku/>
        <w:wordWrap/>
        <w:overflowPunct/>
        <w:topLinePunct w:val="0"/>
        <w:autoSpaceDE/>
        <w:autoSpaceDN/>
        <w:bidi w:val="0"/>
        <w:adjustRightInd/>
        <w:snapToGrid/>
        <w:spacing w:line="560" w:lineRule="exact"/>
        <w:ind w:left="0" w:firstLine="640" w:firstLineChars="200"/>
        <w:textAlignment w:val="auto"/>
        <w:rPr>
          <w:rFonts w:hint="eastAsia" w:ascii="Times New Roman" w:hAnsi="Times New Roman" w:eastAsia="仿宋_GB2312" w:cs="Times New Roman"/>
          <w:color w:val="auto"/>
          <w:sz w:val="32"/>
          <w:szCs w:val="32"/>
          <w:lang w:val="en-US" w:eastAsia="zh-CN" w:bidi="ar-SA"/>
        </w:rPr>
      </w:pPr>
      <w:r>
        <w:rPr>
          <w:rFonts w:hint="eastAsia" w:ascii="Times New Roman" w:hAnsi="Times New Roman" w:eastAsia="仿宋_GB2312" w:cs="Times New Roman"/>
          <w:color w:val="auto"/>
          <w:sz w:val="32"/>
          <w:szCs w:val="32"/>
          <w:lang w:val="en-US" w:eastAsia="zh-CN" w:bidi="ar-SA"/>
        </w:rPr>
        <w:t>顺应城市全域数字化转型趋势，推动数据要素供给侧结构性改革，形成公共数据、社会数据、个人数据多源汇聚、关联融合、高效共享、有序开发利用的数据资源体系。</w:t>
      </w:r>
    </w:p>
    <w:p>
      <w:pPr>
        <w:pStyle w:val="2"/>
        <w:keepNext w:val="0"/>
        <w:keepLines w:val="0"/>
        <w:pageBreakBefore w:val="0"/>
        <w:widowControl w:val="0"/>
        <w:numPr>
          <w:ilvl w:val="0"/>
          <w:numId w:val="2"/>
        </w:numPr>
        <w:kinsoku/>
        <w:wordWrap/>
        <w:overflowPunct/>
        <w:topLinePunct w:val="0"/>
        <w:autoSpaceDE w:val="0"/>
        <w:autoSpaceDN w:val="0"/>
        <w:bidi w:val="0"/>
        <w:adjustRightInd/>
        <w:snapToGrid/>
        <w:spacing w:after="0" w:line="560" w:lineRule="exact"/>
        <w:ind w:left="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190" w:name="_Toc24920"/>
      <w:bookmarkStart w:id="191" w:name="_Toc3005"/>
      <w:bookmarkStart w:id="192" w:name="_Toc15015"/>
      <w:bookmarkStart w:id="193" w:name="_Toc23293"/>
      <w:bookmarkStart w:id="194" w:name="_Toc62413984"/>
      <w:bookmarkStart w:id="195" w:name="_Toc29347"/>
      <w:bookmarkStart w:id="196" w:name="_Toc4852"/>
      <w:bookmarkStart w:id="197" w:name="_Toc11092"/>
      <w:bookmarkStart w:id="198" w:name="_Toc26905"/>
      <w:bookmarkStart w:id="199" w:name="_Toc22097"/>
      <w:r>
        <w:rPr>
          <w:rFonts w:hint="eastAsia" w:ascii="楷体_GB2312" w:hAnsi="楷体" w:eastAsia="楷体_GB2312" w:cs="宋体"/>
          <w:b w:val="0"/>
          <w:bCs w:val="0"/>
          <w:color w:val="auto"/>
          <w:spacing w:val="2"/>
          <w:w w:val="99"/>
          <w:kern w:val="0"/>
          <w:sz w:val="32"/>
          <w:szCs w:val="32"/>
          <w:lang w:val="en-US" w:eastAsia="zh-CN" w:bidi="zh-CN"/>
        </w:rPr>
        <w:t>提升数据供给能力</w:t>
      </w:r>
      <w:bookmarkEnd w:id="190"/>
      <w:bookmarkEnd w:id="191"/>
      <w:bookmarkEnd w:id="192"/>
      <w:bookmarkEnd w:id="193"/>
      <w:bookmarkEnd w:id="194"/>
      <w:bookmarkEnd w:id="195"/>
      <w:bookmarkEnd w:id="196"/>
      <w:bookmarkEnd w:id="197"/>
      <w:bookmarkEnd w:id="198"/>
      <w:bookmarkEnd w:id="199"/>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kern w:val="0"/>
          <w:sz w:val="32"/>
          <w:szCs w:val="32"/>
          <w:lang w:bidi="ar-SA"/>
        </w:rPr>
      </w:pPr>
      <w:bookmarkStart w:id="200" w:name="_Toc19508"/>
      <w:bookmarkStart w:id="201" w:name="_Toc10284"/>
      <w:r>
        <w:rPr>
          <w:rFonts w:hint="eastAsia" w:ascii="仿宋_GB2312" w:hAnsi="仿宋_GB2312" w:eastAsia="仿宋_GB2312" w:cs="仿宋_GB2312"/>
          <w:b/>
          <w:bCs/>
          <w:color w:val="auto"/>
          <w:kern w:val="0"/>
          <w:sz w:val="32"/>
          <w:szCs w:val="32"/>
          <w:lang w:val="en-US" w:eastAsia="zh-CN" w:bidi="ar-SA"/>
        </w:rPr>
        <w:t>5.</w:t>
      </w:r>
      <w:r>
        <w:rPr>
          <w:rFonts w:hint="eastAsia" w:ascii="仿宋_GB2312" w:hAnsi="仿宋_GB2312" w:eastAsia="仿宋_GB2312" w:cs="仿宋_GB2312"/>
          <w:b/>
          <w:bCs/>
          <w:color w:val="auto"/>
          <w:sz w:val="32"/>
          <w:szCs w:val="32"/>
          <w:lang w:val="en-US" w:eastAsia="zh-CN" w:bidi="ar-SA"/>
        </w:rPr>
        <w:t>加强数据资源供给。</w:t>
      </w:r>
      <w:r>
        <w:rPr>
          <w:rFonts w:hint="eastAsia" w:ascii="仿宋_GB2312" w:hAnsi="仿宋_GB2312" w:eastAsia="仿宋_GB2312" w:cs="仿宋_GB2312"/>
          <w:b w:val="0"/>
          <w:bCs w:val="0"/>
          <w:color w:val="auto"/>
          <w:sz w:val="32"/>
          <w:szCs w:val="32"/>
          <w:lang w:val="en-US" w:eastAsia="zh-CN" w:bidi="ar-SA"/>
        </w:rPr>
        <w:t>完善公共数据目录，提升公共数据质量</w:t>
      </w:r>
      <w:r>
        <w:rPr>
          <w:rFonts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kern w:val="0"/>
          <w:sz w:val="32"/>
          <w:szCs w:val="32"/>
          <w:lang w:val="en-US" w:eastAsia="zh-CN" w:bidi="ar-SA"/>
        </w:rPr>
        <w:t>开展</w:t>
      </w:r>
      <w:r>
        <w:rPr>
          <w:rFonts w:hint="eastAsia" w:ascii="仿宋_GB2312" w:hAnsi="仿宋_GB2312" w:eastAsia="仿宋_GB2312" w:cs="仿宋_GB2312"/>
          <w:color w:val="auto"/>
          <w:kern w:val="0"/>
          <w:sz w:val="32"/>
          <w:szCs w:val="32"/>
          <w:lang w:eastAsia="zh-CN" w:bidi="ar-SA"/>
        </w:rPr>
        <w:t>“</w:t>
      </w:r>
      <w:r>
        <w:rPr>
          <w:rFonts w:hint="eastAsia" w:ascii="仿宋_GB2312" w:hAnsi="仿宋_GB2312" w:eastAsia="仿宋_GB2312" w:cs="仿宋_GB2312"/>
          <w:color w:val="auto"/>
          <w:kern w:val="0"/>
          <w:sz w:val="32"/>
          <w:szCs w:val="32"/>
          <w:lang w:bidi="ar-SA"/>
        </w:rPr>
        <w:t>一数一源一标准</w:t>
      </w:r>
      <w:r>
        <w:rPr>
          <w:rFonts w:hint="eastAsia" w:ascii="仿宋_GB2312" w:hAnsi="仿宋_GB2312" w:eastAsia="仿宋_GB2312" w:cs="仿宋_GB2312"/>
          <w:color w:val="auto"/>
          <w:kern w:val="0"/>
          <w:sz w:val="32"/>
          <w:szCs w:val="32"/>
          <w:lang w:eastAsia="zh-CN" w:bidi="ar-SA"/>
        </w:rPr>
        <w:t>”</w:t>
      </w:r>
      <w:r>
        <w:rPr>
          <w:rFonts w:hint="eastAsia" w:ascii="仿宋_GB2312" w:hAnsi="仿宋_GB2312" w:eastAsia="仿宋_GB2312" w:cs="仿宋_GB2312"/>
          <w:color w:val="auto"/>
          <w:kern w:val="0"/>
          <w:sz w:val="32"/>
          <w:szCs w:val="32"/>
          <w:lang w:bidi="ar-SA"/>
        </w:rPr>
        <w:t>数据治理</w:t>
      </w:r>
      <w:r>
        <w:rPr>
          <w:rFonts w:ascii="仿宋_GB2312" w:hAnsi="仿宋_GB2312" w:eastAsia="仿宋_GB2312" w:cs="仿宋_GB2312"/>
          <w:color w:val="auto"/>
          <w:kern w:val="0"/>
          <w:sz w:val="32"/>
          <w:szCs w:val="32"/>
          <w:lang w:bidi="ar-SA"/>
        </w:rPr>
        <w:t>，</w:t>
      </w:r>
      <w:r>
        <w:rPr>
          <w:rFonts w:hint="eastAsia" w:ascii="仿宋_GB2312" w:hAnsi="仿宋_GB2312" w:eastAsia="仿宋_GB2312" w:cs="仿宋_GB2312"/>
          <w:color w:val="auto"/>
          <w:sz w:val="32"/>
          <w:szCs w:val="32"/>
          <w:lang w:val="en-US" w:eastAsia="zh-CN" w:bidi="ar-SA"/>
        </w:rPr>
        <w:t>形成公共</w:t>
      </w:r>
      <w:r>
        <w:rPr>
          <w:rFonts w:ascii="仿宋_GB2312" w:hAnsi="仿宋_GB2312" w:eastAsia="仿宋_GB2312" w:cs="仿宋_GB2312"/>
          <w:color w:val="auto"/>
          <w:sz w:val="32"/>
          <w:szCs w:val="32"/>
          <w:lang w:val="en-US" w:eastAsia="zh-CN" w:bidi="ar-SA"/>
        </w:rPr>
        <w:t>数据资源</w:t>
      </w:r>
      <w:r>
        <w:rPr>
          <w:rFonts w:hint="eastAsia" w:ascii="仿宋_GB2312" w:hAnsi="仿宋_GB2312" w:eastAsia="仿宋_GB2312" w:cs="仿宋_GB2312"/>
          <w:color w:val="auto"/>
          <w:sz w:val="32"/>
          <w:szCs w:val="32"/>
          <w:lang w:val="en-US" w:eastAsia="zh-CN" w:bidi="ar-SA"/>
        </w:rPr>
        <w:t>“一本账”。</w:t>
      </w:r>
      <w:r>
        <w:rPr>
          <w:rFonts w:hint="eastAsia" w:ascii="Times New Roman" w:hAnsi="Times New Roman" w:eastAsia="仿宋_GB2312" w:cs="Times New Roman"/>
          <w:b w:val="0"/>
          <w:bCs w:val="0"/>
          <w:color w:val="auto"/>
          <w:kern w:val="0"/>
          <w:sz w:val="32"/>
          <w:szCs w:val="32"/>
          <w:lang w:val="en-US" w:eastAsia="zh-CN" w:bidi="ar-SA"/>
        </w:rPr>
        <w:t>积极与北京市对接，形成市、区、街</w:t>
      </w:r>
      <w:r>
        <w:rPr>
          <w:rFonts w:hint="eastAsia" w:eastAsia="仿宋_GB2312" w:cs="Times New Roman"/>
          <w:b w:val="0"/>
          <w:bCs w:val="0"/>
          <w:color w:val="auto"/>
          <w:kern w:val="0"/>
          <w:sz w:val="32"/>
          <w:szCs w:val="32"/>
          <w:lang w:val="en-US" w:eastAsia="zh-CN" w:bidi="ar-SA"/>
        </w:rPr>
        <w:t>、社区四</w:t>
      </w:r>
      <w:r>
        <w:rPr>
          <w:rFonts w:hint="eastAsia" w:ascii="Times New Roman" w:hAnsi="Times New Roman" w:eastAsia="仿宋_GB2312" w:cs="Times New Roman"/>
          <w:b w:val="0"/>
          <w:bCs w:val="0"/>
          <w:color w:val="auto"/>
          <w:kern w:val="0"/>
          <w:sz w:val="32"/>
          <w:szCs w:val="32"/>
          <w:lang w:val="en-US" w:eastAsia="zh-CN" w:bidi="ar-SA"/>
        </w:rPr>
        <w:t>级政务数据回流机制，</w:t>
      </w:r>
      <w:r>
        <w:rPr>
          <w:rFonts w:hint="eastAsia" w:ascii="Times New Roman" w:hAnsi="Times New Roman" w:eastAsia="仿宋_GB2312" w:cs="Times New Roman"/>
          <w:color w:val="auto"/>
          <w:kern w:val="0"/>
          <w:sz w:val="32"/>
          <w:szCs w:val="32"/>
          <w:lang w:val="en-US" w:eastAsia="zh-CN" w:bidi="ar-SA"/>
        </w:rPr>
        <w:t>推动住建、</w:t>
      </w:r>
      <w:r>
        <w:rPr>
          <w:rFonts w:hint="eastAsia" w:eastAsia="仿宋_GB2312" w:cs="Times New Roman"/>
          <w:color w:val="auto"/>
          <w:kern w:val="0"/>
          <w:sz w:val="32"/>
          <w:szCs w:val="32"/>
          <w:lang w:val="en-US" w:eastAsia="zh-CN" w:bidi="ar-SA"/>
        </w:rPr>
        <w:t>公安、</w:t>
      </w:r>
      <w:r>
        <w:rPr>
          <w:rFonts w:hint="eastAsia" w:ascii="Times New Roman" w:hAnsi="Times New Roman" w:eastAsia="仿宋_GB2312" w:cs="Times New Roman"/>
          <w:color w:val="auto"/>
          <w:kern w:val="0"/>
          <w:sz w:val="32"/>
          <w:szCs w:val="32"/>
          <w:lang w:val="en-US" w:eastAsia="zh-CN" w:bidi="ar-SA"/>
        </w:rPr>
        <w:t>统计、人社、税务、市监等垂直条线数据回流</w:t>
      </w:r>
      <w:r>
        <w:rPr>
          <w:rFonts w:ascii="Times New Roman" w:hAnsi="Times New Roman" w:eastAsia="仿宋_GB2312" w:cs="Times New Roman"/>
          <w:color w:val="auto"/>
          <w:kern w:val="0"/>
          <w:sz w:val="32"/>
          <w:szCs w:val="32"/>
          <w:lang w:val="en-US" w:eastAsia="zh-CN" w:bidi="ar-SA"/>
        </w:rPr>
        <w:t>，</w:t>
      </w:r>
      <w:r>
        <w:rPr>
          <w:rFonts w:hint="eastAsia" w:eastAsia="仿宋_GB2312" w:cs="Times New Roman"/>
          <w:color w:val="auto"/>
          <w:kern w:val="0"/>
          <w:sz w:val="32"/>
          <w:szCs w:val="32"/>
          <w:lang w:val="en-US" w:eastAsia="zh-CN" w:bidi="ar-SA"/>
        </w:rPr>
        <w:t>实现</w:t>
      </w:r>
      <w:r>
        <w:rPr>
          <w:rFonts w:hint="eastAsia" w:ascii="Times New Roman" w:hAnsi="Times New Roman" w:eastAsia="仿宋_GB2312" w:cs="Times New Roman"/>
          <w:color w:val="auto"/>
          <w:kern w:val="0"/>
          <w:sz w:val="32"/>
          <w:szCs w:val="32"/>
          <w:lang w:val="en-US" w:eastAsia="zh-CN" w:bidi="ar-SA"/>
        </w:rPr>
        <w:t>数据反哺街道和社区，支撑基层治理现代化转型。</w:t>
      </w:r>
      <w:bookmarkEnd w:id="200"/>
      <w:bookmarkEnd w:id="201"/>
      <w:bookmarkStart w:id="202" w:name="_Toc30459"/>
      <w:bookmarkStart w:id="203" w:name="_Toc772"/>
      <w:r>
        <w:rPr>
          <w:rFonts w:hint="eastAsia" w:ascii="仿宋_GB2312" w:hAnsi="仿宋_GB2312" w:eastAsia="仿宋_GB2312" w:cs="仿宋_GB2312"/>
          <w:color w:val="auto"/>
          <w:sz w:val="32"/>
          <w:szCs w:val="32"/>
          <w:lang w:val="en-US" w:eastAsia="zh-CN" w:bidi="ar-SA"/>
        </w:rPr>
        <w:t>健全数据资源统计调查制度，构建数据产权登记体系，</w:t>
      </w:r>
      <w:r>
        <w:rPr>
          <w:rFonts w:hint="eastAsia" w:ascii="仿宋_GB2312" w:hAnsi="仿宋_GB2312" w:eastAsia="仿宋_GB2312" w:cs="仿宋_GB2312"/>
          <w:color w:val="auto"/>
          <w:kern w:val="0"/>
          <w:sz w:val="32"/>
          <w:szCs w:val="32"/>
          <w:lang w:bidi="ar-SA"/>
        </w:rPr>
        <w:t>健全</w:t>
      </w:r>
      <w:r>
        <w:rPr>
          <w:rFonts w:hint="eastAsia" w:ascii="仿宋_GB2312" w:hAnsi="仿宋_GB2312" w:eastAsia="仿宋_GB2312" w:cs="仿宋_GB2312"/>
          <w:color w:val="auto"/>
          <w:kern w:val="0"/>
          <w:sz w:val="32"/>
          <w:szCs w:val="32"/>
          <w:lang w:val="en-US" w:eastAsia="zh-CN" w:bidi="ar-SA"/>
        </w:rPr>
        <w:t>政务</w:t>
      </w:r>
      <w:r>
        <w:rPr>
          <w:rFonts w:hint="eastAsia" w:ascii="仿宋_GB2312" w:hAnsi="仿宋_GB2312" w:eastAsia="仿宋_GB2312" w:cs="仿宋_GB2312"/>
          <w:color w:val="auto"/>
          <w:kern w:val="0"/>
          <w:sz w:val="32"/>
          <w:szCs w:val="32"/>
          <w:lang w:bidi="ar-SA"/>
        </w:rPr>
        <w:t>数据质量</w:t>
      </w:r>
      <w:r>
        <w:rPr>
          <w:rFonts w:hint="eastAsia" w:ascii="仿宋_GB2312" w:hAnsi="仿宋_GB2312" w:eastAsia="仿宋_GB2312" w:cs="仿宋_GB2312"/>
          <w:color w:val="auto"/>
          <w:kern w:val="0"/>
          <w:sz w:val="32"/>
          <w:szCs w:val="32"/>
          <w:lang w:eastAsia="zh-CN" w:bidi="ar-SA"/>
        </w:rPr>
        <w:t>评估</w:t>
      </w:r>
      <w:r>
        <w:rPr>
          <w:rFonts w:hint="eastAsia" w:ascii="仿宋_GB2312" w:hAnsi="仿宋_GB2312" w:eastAsia="仿宋_GB2312" w:cs="仿宋_GB2312"/>
          <w:color w:val="auto"/>
          <w:kern w:val="0"/>
          <w:sz w:val="32"/>
          <w:szCs w:val="32"/>
          <w:lang w:bidi="ar-SA"/>
        </w:rPr>
        <w:t>体系</w:t>
      </w:r>
      <w:r>
        <w:rPr>
          <w:rFonts w:ascii="仿宋_GB2312" w:hAnsi="仿宋_GB2312" w:eastAsia="仿宋_GB2312" w:cs="仿宋_GB2312"/>
          <w:color w:val="auto"/>
          <w:kern w:val="0"/>
          <w:sz w:val="32"/>
          <w:szCs w:val="32"/>
          <w:lang w:eastAsia="zh-CN" w:bidi="ar-SA"/>
        </w:rPr>
        <w:t>，</w:t>
      </w:r>
      <w:r>
        <w:rPr>
          <w:rFonts w:hint="eastAsia" w:ascii="仿宋_GB2312" w:hAnsi="仿宋_GB2312" w:eastAsia="仿宋_GB2312" w:cs="仿宋_GB2312"/>
          <w:b w:val="0"/>
          <w:bCs w:val="0"/>
          <w:color w:val="auto"/>
          <w:sz w:val="32"/>
          <w:szCs w:val="32"/>
          <w:lang w:val="en-US" w:eastAsia="zh-CN" w:bidi="ar-SA"/>
        </w:rPr>
        <w:t>健全政务数据共享争议解决机制</w:t>
      </w:r>
      <w:r>
        <w:rPr>
          <w:rFonts w:hint="eastAsia" w:ascii="仿宋_GB2312" w:hAnsi="仿宋_GB2312" w:eastAsia="仿宋_GB2312" w:cs="仿宋_GB2312"/>
          <w:color w:val="auto"/>
          <w:kern w:val="0"/>
          <w:sz w:val="32"/>
          <w:szCs w:val="32"/>
          <w:lang w:bidi="ar-SA"/>
        </w:rPr>
        <w:t>。支持企业开展数据管理国家标准贯标，构建覆盖数据</w:t>
      </w:r>
      <w:r>
        <w:rPr>
          <w:rFonts w:ascii="仿宋_GB2312" w:hAnsi="仿宋_GB2312" w:eastAsia="仿宋_GB2312" w:cs="仿宋_GB2312"/>
          <w:color w:val="auto"/>
          <w:kern w:val="0"/>
          <w:sz w:val="32"/>
          <w:szCs w:val="32"/>
          <w:lang w:bidi="ar-SA"/>
        </w:rPr>
        <w:t>资源</w:t>
      </w:r>
      <w:r>
        <w:rPr>
          <w:rFonts w:hint="eastAsia" w:ascii="仿宋_GB2312" w:hAnsi="仿宋_GB2312" w:eastAsia="仿宋_GB2312" w:cs="仿宋_GB2312"/>
          <w:color w:val="auto"/>
          <w:kern w:val="0"/>
          <w:sz w:val="32"/>
          <w:szCs w:val="32"/>
          <w:lang w:bidi="ar-SA"/>
        </w:rPr>
        <w:t>全生命周期的</w:t>
      </w:r>
      <w:r>
        <w:rPr>
          <w:rFonts w:ascii="仿宋_GB2312" w:hAnsi="仿宋_GB2312" w:eastAsia="仿宋_GB2312" w:cs="仿宋_GB2312"/>
          <w:color w:val="auto"/>
          <w:kern w:val="0"/>
          <w:sz w:val="32"/>
          <w:szCs w:val="32"/>
          <w:lang w:bidi="ar-SA"/>
        </w:rPr>
        <w:t>管理体系</w:t>
      </w:r>
      <w:r>
        <w:rPr>
          <w:rFonts w:hint="eastAsia" w:ascii="仿宋_GB2312" w:hAnsi="仿宋_GB2312" w:eastAsia="仿宋_GB2312" w:cs="仿宋_GB2312"/>
          <w:color w:val="auto"/>
          <w:kern w:val="0"/>
          <w:sz w:val="32"/>
          <w:szCs w:val="32"/>
          <w:lang w:bidi="ar-SA"/>
        </w:rPr>
        <w:t>，</w:t>
      </w:r>
      <w:r>
        <w:rPr>
          <w:rFonts w:ascii="仿宋_GB2312" w:hAnsi="仿宋_GB2312" w:eastAsia="仿宋_GB2312" w:cs="仿宋_GB2312"/>
          <w:color w:val="auto"/>
          <w:kern w:val="0"/>
          <w:sz w:val="32"/>
          <w:szCs w:val="32"/>
          <w:lang w:bidi="ar-SA"/>
        </w:rPr>
        <w:t>引导</w:t>
      </w:r>
      <w:r>
        <w:rPr>
          <w:rFonts w:hint="eastAsia" w:ascii="仿宋_GB2312" w:hAnsi="仿宋_GB2312" w:eastAsia="仿宋_GB2312" w:cs="仿宋_GB2312"/>
          <w:color w:val="auto"/>
          <w:kern w:val="0"/>
          <w:sz w:val="32"/>
          <w:szCs w:val="32"/>
          <w:lang w:bidi="ar-SA"/>
        </w:rPr>
        <w:t>企业规范开展各类数据处理活动</w:t>
      </w:r>
      <w:r>
        <w:rPr>
          <w:rFonts w:ascii="仿宋_GB2312" w:hAnsi="仿宋_GB2312" w:eastAsia="仿宋_GB2312" w:cs="仿宋_GB2312"/>
          <w:color w:val="auto"/>
          <w:kern w:val="0"/>
          <w:sz w:val="32"/>
          <w:szCs w:val="32"/>
          <w:lang w:bidi="ar-SA"/>
        </w:rPr>
        <w:t>，利用</w:t>
      </w:r>
      <w:r>
        <w:rPr>
          <w:rFonts w:hint="eastAsia" w:ascii="仿宋_GB2312" w:eastAsia="仿宋_GB2312"/>
          <w:b w:val="0"/>
          <w:bCs w:val="0"/>
          <w:i w:val="0"/>
          <w:iCs w:val="0"/>
          <w:caps w:val="0"/>
          <w:smallCaps w:val="0"/>
          <w:color w:val="auto"/>
          <w:spacing w:val="0"/>
          <w:kern w:val="2"/>
          <w:sz w:val="32"/>
          <w:szCs w:val="32"/>
        </w:rPr>
        <w:t>区块链、隐私计算、匿名化等技术</w:t>
      </w:r>
      <w:r>
        <w:rPr>
          <w:rFonts w:ascii="仿宋_GB2312" w:eastAsia="仿宋_GB2312"/>
          <w:b w:val="0"/>
          <w:bCs w:val="0"/>
          <w:i w:val="0"/>
          <w:iCs w:val="0"/>
          <w:caps w:val="0"/>
          <w:smallCaps w:val="0"/>
          <w:color w:val="auto"/>
          <w:spacing w:val="0"/>
          <w:kern w:val="2"/>
          <w:sz w:val="32"/>
          <w:szCs w:val="32"/>
        </w:rPr>
        <w:t>，推动数据安全开放利用</w:t>
      </w:r>
      <w:r>
        <w:rPr>
          <w:rFonts w:hint="eastAsia" w:ascii="仿宋_GB2312" w:hAnsi="仿宋_GB2312" w:eastAsia="仿宋_GB2312" w:cs="仿宋_GB2312"/>
          <w:color w:val="auto"/>
          <w:kern w:val="0"/>
          <w:sz w:val="32"/>
          <w:szCs w:val="32"/>
          <w:lang w:bidi="ar-SA"/>
        </w:rPr>
        <w:t>。</w:t>
      </w:r>
      <w:bookmarkEnd w:id="202"/>
      <w:bookmarkEnd w:id="203"/>
      <w:bookmarkStart w:id="204" w:name="_Toc31899"/>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ascii="仿宋_GB2312" w:hAnsi="仿宋_GB2312" w:eastAsia="仿宋_GB2312" w:cs="仿宋_GB2312"/>
          <w:color w:val="auto"/>
          <w:kern w:val="0"/>
          <w:sz w:val="32"/>
          <w:szCs w:val="32"/>
          <w:lang w:val="en-US" w:eastAsia="zh-CN" w:bidi="ar-SA"/>
        </w:rPr>
      </w:pPr>
      <w:bookmarkStart w:id="205" w:name="_Toc30544"/>
      <w:r>
        <w:rPr>
          <w:rFonts w:hint="eastAsia" w:ascii="仿宋_GB2312" w:hAnsi="仿宋_GB2312" w:eastAsia="仿宋_GB2312" w:cs="仿宋_GB2312"/>
          <w:b/>
          <w:bCs/>
          <w:color w:val="auto"/>
          <w:kern w:val="0"/>
          <w:sz w:val="32"/>
          <w:szCs w:val="32"/>
          <w:lang w:val="en-US" w:eastAsia="zh-CN" w:bidi="ar-SA"/>
        </w:rPr>
        <w:t>6.</w:t>
      </w:r>
      <w:r>
        <w:rPr>
          <w:rFonts w:hint="eastAsia" w:ascii="仿宋_GB2312" w:hAnsi="仿宋_GB2312" w:eastAsia="仿宋_GB2312" w:cs="仿宋_GB2312"/>
          <w:b/>
          <w:bCs/>
          <w:color w:val="auto"/>
          <w:sz w:val="32"/>
          <w:szCs w:val="32"/>
          <w:lang w:val="en-US" w:eastAsia="zh-CN" w:bidi="ar-SA"/>
        </w:rPr>
        <w:t>建设高质量数据集。</w:t>
      </w:r>
      <w:r>
        <w:rPr>
          <w:rFonts w:hint="eastAsia" w:ascii="仿宋_GB2312" w:hAnsi="仿宋_GB2312" w:eastAsia="仿宋_GB2312" w:cs="仿宋_GB2312"/>
          <w:b w:val="0"/>
          <w:bCs w:val="0"/>
          <w:color w:val="auto"/>
          <w:sz w:val="32"/>
          <w:szCs w:val="32"/>
          <w:lang w:val="en-US" w:eastAsia="zh-CN" w:bidi="ar-SA"/>
        </w:rPr>
        <w:t>建设</w:t>
      </w:r>
      <w:r>
        <w:rPr>
          <w:rFonts w:hint="eastAsia" w:ascii="仿宋_GB2312" w:hAnsi="仿宋_GB2312" w:eastAsia="仿宋_GB2312" w:cs="仿宋_GB2312"/>
          <w:color w:val="auto"/>
          <w:kern w:val="0"/>
          <w:sz w:val="32"/>
          <w:szCs w:val="32"/>
          <w:lang w:val="en-US" w:eastAsia="zh-CN" w:bidi="ar-SA"/>
        </w:rPr>
        <w:t>数据标注基地，推进标注数据的共享和流通，加强京津冀三地数据标注产业联动与发展。</w:t>
      </w:r>
      <w:bookmarkEnd w:id="204"/>
      <w:bookmarkEnd w:id="205"/>
      <w:r>
        <w:rPr>
          <w:rFonts w:hint="eastAsia" w:ascii="仿宋_GB2312" w:hAnsi="仿宋_GB2312" w:eastAsia="仿宋_GB2312" w:cs="仿宋_GB2312"/>
          <w:color w:val="auto"/>
          <w:kern w:val="0"/>
          <w:sz w:val="32"/>
          <w:szCs w:val="32"/>
          <w:lang w:val="en-US" w:eastAsia="zh-CN" w:bidi="ar-SA"/>
        </w:rPr>
        <w:t>打造若干行业语料库</w:t>
      </w:r>
      <w:r>
        <w:rPr>
          <w:rFonts w:hint="eastAsia" w:ascii="仿宋_GB2312" w:hAnsi="仿宋_GB2312" w:eastAsia="仿宋_GB2312" w:cs="仿宋_GB2312"/>
          <w:b w:val="0"/>
          <w:bCs w:val="0"/>
          <w:color w:val="auto"/>
          <w:kern w:val="0"/>
          <w:sz w:val="32"/>
          <w:szCs w:val="32"/>
          <w:lang w:val="en-US" w:eastAsia="zh-CN" w:bidi="ar-SA"/>
        </w:rPr>
        <w:t>，面向司法、文旅、消费、交通等重点领域以及人工智能、科幻等创新领域建设一批高质量数据集。</w:t>
      </w:r>
      <w:r>
        <w:rPr>
          <w:rFonts w:hint="eastAsia" w:ascii="仿宋_GB2312" w:hAnsi="仿宋_GB2312" w:eastAsia="仿宋_GB2312" w:cs="仿宋_GB2312"/>
          <w:color w:val="auto"/>
          <w:kern w:val="0"/>
          <w:sz w:val="32"/>
          <w:szCs w:val="32"/>
          <w:lang w:bidi="ar-SA"/>
        </w:rPr>
        <w:t>推动行业龙头企业通过知识图谱、隐私计算开放脱敏高质量数据。</w:t>
      </w:r>
      <w:r>
        <w:rPr>
          <w:rFonts w:ascii="仿宋_GB2312" w:hAnsi="仿宋_GB2312" w:eastAsia="仿宋_GB2312" w:cs="仿宋_GB2312"/>
          <w:color w:val="auto"/>
          <w:kern w:val="0"/>
          <w:sz w:val="32"/>
          <w:szCs w:val="32"/>
          <w:lang w:val="en-US" w:eastAsia="zh-CN" w:bidi="ar-SA"/>
        </w:rPr>
        <w:t>探索数据资源、技术、服务、应用等多方主体合作共建，</w:t>
      </w:r>
      <w:r>
        <w:rPr>
          <w:rFonts w:hint="eastAsia" w:ascii="仿宋_GB2312" w:hAnsi="仿宋_GB2312" w:eastAsia="仿宋_GB2312" w:cs="仿宋_GB2312"/>
          <w:color w:val="auto"/>
          <w:kern w:val="0"/>
          <w:sz w:val="32"/>
          <w:szCs w:val="32"/>
          <w:lang w:val="en-US" w:eastAsia="zh-CN" w:bidi="ar-SA"/>
        </w:rPr>
        <w:t>开展高质量数据集产权认定、市场交易、权属分配、利益保护等工作</w:t>
      </w:r>
      <w:r>
        <w:rPr>
          <w:rFonts w:hint="eastAsia" w:ascii="仿宋_GB2312" w:hAnsi="仿宋_GB2312" w:eastAsia="仿宋_GB2312" w:cs="仿宋_GB2312"/>
          <w:color w:val="auto"/>
          <w:kern w:val="0"/>
          <w:sz w:val="32"/>
          <w:szCs w:val="32"/>
          <w:lang w:bidi="ar-SA"/>
        </w:rPr>
        <w:t>。</w:t>
      </w:r>
    </w:p>
    <w:p>
      <w:pPr>
        <w:pStyle w:val="2"/>
        <w:keepNext w:val="0"/>
        <w:keepLines w:val="0"/>
        <w:pageBreakBefore w:val="0"/>
        <w:widowControl w:val="0"/>
        <w:numPr>
          <w:ilvl w:val="0"/>
          <w:numId w:val="2"/>
        </w:numPr>
        <w:kinsoku/>
        <w:wordWrap/>
        <w:overflowPunct/>
        <w:topLinePunct w:val="0"/>
        <w:autoSpaceDE w:val="0"/>
        <w:autoSpaceDN w:val="0"/>
        <w:bidi w:val="0"/>
        <w:adjustRightInd/>
        <w:snapToGrid/>
        <w:spacing w:after="0" w:line="560" w:lineRule="exact"/>
        <w:ind w:left="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206" w:name="_Toc18465"/>
      <w:bookmarkStart w:id="207" w:name="_Toc13202"/>
      <w:bookmarkStart w:id="208" w:name="_Toc30764"/>
      <w:bookmarkStart w:id="209" w:name="_Toc25443"/>
      <w:bookmarkStart w:id="210" w:name="_Toc3754"/>
      <w:bookmarkStart w:id="211" w:name="_Toc26209"/>
      <w:bookmarkStart w:id="212" w:name="_Toc10409"/>
      <w:bookmarkStart w:id="213" w:name="_Toc3102"/>
      <w:bookmarkStart w:id="214" w:name="_Toc62413985"/>
      <w:bookmarkStart w:id="215" w:name="_Toc8893"/>
      <w:r>
        <w:rPr>
          <w:rFonts w:hint="eastAsia" w:ascii="楷体_GB2312" w:hAnsi="楷体" w:eastAsia="楷体_GB2312" w:cs="宋体"/>
          <w:b w:val="0"/>
          <w:bCs w:val="0"/>
          <w:color w:val="auto"/>
          <w:spacing w:val="2"/>
          <w:w w:val="99"/>
          <w:kern w:val="0"/>
          <w:sz w:val="32"/>
          <w:szCs w:val="32"/>
          <w:lang w:val="en-US" w:eastAsia="zh-CN" w:bidi="zh-CN"/>
        </w:rPr>
        <w:t>促进数据流通利用</w:t>
      </w:r>
      <w:bookmarkEnd w:id="206"/>
      <w:bookmarkEnd w:id="207"/>
      <w:bookmarkEnd w:id="208"/>
      <w:bookmarkEnd w:id="209"/>
      <w:bookmarkEnd w:id="210"/>
      <w:bookmarkEnd w:id="211"/>
      <w:bookmarkEnd w:id="212"/>
      <w:bookmarkEnd w:id="213"/>
      <w:bookmarkEnd w:id="214"/>
      <w:bookmarkEnd w:id="215"/>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835" w:firstLineChars="260"/>
        <w:textAlignment w:val="auto"/>
        <w:outlineLvl w:val="2"/>
        <w:rPr>
          <w:rFonts w:ascii="Times New Roman" w:hAnsi="Times New Roman" w:eastAsia="仿宋_GB2312" w:cs="Times New Roman"/>
          <w:color w:val="auto"/>
          <w:kern w:val="0"/>
          <w:sz w:val="32"/>
          <w:szCs w:val="32"/>
          <w:lang w:val="en-US" w:eastAsia="zh-CN" w:bidi="ar-SA"/>
        </w:rPr>
      </w:pPr>
      <w:bookmarkStart w:id="216" w:name="_Toc26112"/>
      <w:bookmarkStart w:id="217" w:name="_Toc24829"/>
      <w:r>
        <w:rPr>
          <w:rFonts w:hint="eastAsia" w:ascii="仿宋_GB2312" w:hAnsi="仿宋_GB2312" w:eastAsia="仿宋_GB2312" w:cs="仿宋_GB2312"/>
          <w:b/>
          <w:bCs/>
          <w:color w:val="auto"/>
          <w:kern w:val="0"/>
          <w:sz w:val="32"/>
          <w:szCs w:val="32"/>
          <w:lang w:val="en-US" w:eastAsia="zh-CN" w:bidi="ar-SA"/>
        </w:rPr>
        <w:t>7.</w:t>
      </w:r>
      <w:r>
        <w:rPr>
          <w:rFonts w:hint="eastAsia" w:ascii="Times New Roman" w:hAnsi="Times New Roman" w:eastAsia="仿宋_GB2312" w:cs="Times New Roman"/>
          <w:b/>
          <w:bCs/>
          <w:color w:val="auto"/>
          <w:kern w:val="0"/>
          <w:sz w:val="32"/>
          <w:szCs w:val="32"/>
          <w:lang w:val="en-US" w:eastAsia="zh-CN" w:bidi="ar-SA"/>
        </w:rPr>
        <w:t>加强公共数据开发利用。</w:t>
      </w:r>
      <w:r>
        <w:rPr>
          <w:rFonts w:hint="eastAsia" w:ascii="Times New Roman" w:hAnsi="Times New Roman" w:eastAsia="仿宋_GB2312" w:cs="Times New Roman"/>
          <w:color w:val="auto"/>
          <w:kern w:val="0"/>
          <w:sz w:val="32"/>
          <w:szCs w:val="32"/>
          <w:lang w:val="en-US" w:eastAsia="zh-CN" w:bidi="ar-SA"/>
        </w:rPr>
        <w:t>迭代建设人口、法人、时空、视图、信用</w:t>
      </w:r>
      <w:r>
        <w:rPr>
          <w:rFonts w:hint="eastAsia" w:eastAsia="仿宋_GB2312" w:cs="Times New Roman"/>
          <w:color w:val="auto"/>
          <w:kern w:val="0"/>
          <w:sz w:val="32"/>
          <w:szCs w:val="32"/>
          <w:lang w:val="en-US" w:eastAsia="zh-CN" w:bidi="ar-SA"/>
        </w:rPr>
        <w:t>、宏观经济</w:t>
      </w:r>
      <w:r>
        <w:rPr>
          <w:rFonts w:hint="eastAsia" w:ascii="Times New Roman" w:hAnsi="Times New Roman" w:eastAsia="仿宋_GB2312" w:cs="Times New Roman"/>
          <w:color w:val="auto"/>
          <w:kern w:val="0"/>
          <w:sz w:val="32"/>
          <w:szCs w:val="32"/>
          <w:lang w:val="en-US" w:eastAsia="zh-CN" w:bidi="ar-SA"/>
        </w:rPr>
        <w:t>等基础数据库。打造党建统领、经济发展、城市治理、公共服务</w:t>
      </w:r>
      <w:r>
        <w:rPr>
          <w:rFonts w:ascii="Times New Roman" w:hAnsi="Times New Roman" w:eastAsia="仿宋_GB2312" w:cs="Times New Roman"/>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生态环境等专题库。</w:t>
      </w:r>
      <w:r>
        <w:rPr>
          <w:rFonts w:hint="eastAsia" w:eastAsia="仿宋_GB2312" w:cs="Times New Roman"/>
          <w:color w:val="auto"/>
          <w:kern w:val="0"/>
          <w:sz w:val="32"/>
          <w:szCs w:val="32"/>
          <w:lang w:val="en-US" w:eastAsia="zh-CN" w:bidi="ar-SA"/>
        </w:rPr>
        <w:t>聚焦数据安全治理、数据开发利用等，推动公共数据分级分类开放和共享，建立开放数据接诉即办机制，鼓励企业参与公共数据授权运营，探索央地数据合作新模式。引导数据资产流通</w:t>
      </w:r>
      <w:bookmarkEnd w:id="216"/>
      <w:bookmarkEnd w:id="217"/>
      <w:r>
        <w:rPr>
          <w:rFonts w:hint="eastAsia" w:eastAsia="仿宋_GB2312" w:cs="Times New Roman"/>
          <w:color w:val="auto"/>
          <w:kern w:val="0"/>
          <w:sz w:val="32"/>
          <w:szCs w:val="32"/>
          <w:lang w:val="en-US" w:eastAsia="zh-CN" w:bidi="ar-SA"/>
        </w:rPr>
        <w:t>，探索数据入股、数据信贷、数据信托和数据资产证券化等数据资产流通模式。</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ascii="Times New Roman" w:hAnsi="Times New Roman" w:eastAsia="仿宋_GB2312" w:cs="Times New Roman"/>
          <w:b/>
          <w:bCs/>
          <w:strike/>
          <w:dstrike w:val="0"/>
          <w:color w:val="auto"/>
          <w:sz w:val="32"/>
          <w:szCs w:val="32"/>
          <w:lang w:val="en-US" w:eastAsia="zh-CN" w:bidi="ar-SA"/>
        </w:rPr>
      </w:pPr>
      <w:bookmarkStart w:id="218" w:name="_Toc11931"/>
      <w:bookmarkStart w:id="219" w:name="_Toc25310"/>
      <w:r>
        <w:rPr>
          <w:rFonts w:hint="eastAsia" w:ascii="仿宋_GB2312" w:hAnsi="仿宋_GB2312" w:eastAsia="仿宋_GB2312" w:cs="仿宋_GB2312"/>
          <w:b/>
          <w:bCs/>
          <w:color w:val="auto"/>
          <w:kern w:val="0"/>
          <w:sz w:val="32"/>
          <w:szCs w:val="32"/>
          <w:lang w:val="en-US" w:eastAsia="zh-CN" w:bidi="ar-SA"/>
        </w:rPr>
        <w:t>8.</w:t>
      </w:r>
      <w:r>
        <w:rPr>
          <w:rFonts w:hint="eastAsia" w:ascii="Times New Roman" w:hAnsi="Times New Roman" w:eastAsia="仿宋_GB2312" w:cs="Times New Roman"/>
          <w:b/>
          <w:bCs/>
          <w:color w:val="auto"/>
          <w:kern w:val="0"/>
          <w:sz w:val="32"/>
          <w:szCs w:val="32"/>
          <w:lang w:val="en-US" w:eastAsia="zh-CN" w:bidi="ar-SA"/>
        </w:rPr>
        <w:t>推进企业数据开发利用。</w:t>
      </w:r>
      <w:r>
        <w:rPr>
          <w:rFonts w:hint="eastAsia" w:ascii="Times New Roman" w:hAnsi="Times New Roman" w:eastAsia="仿宋_GB2312" w:cs="Times New Roman"/>
          <w:color w:val="auto"/>
          <w:kern w:val="0"/>
          <w:sz w:val="32"/>
          <w:szCs w:val="32"/>
          <w:lang w:val="en-US" w:eastAsia="zh-CN" w:bidi="ar-SA"/>
        </w:rPr>
        <w:t>支持行业龙头企业发挥带头作用，带动上下游企业共建场景，促进大中小企业数据共享共用。引导行业龙头企业、互联网平台企业等提供普惠性数据产品和技术工具，助力中小企业创新发展。推动具备条件的区属国有企业研究探索数据资产入表，强化数据赋能现代公司治理和数字化转型。</w:t>
      </w:r>
      <w:r>
        <w:rPr>
          <w:rFonts w:hint="eastAsia" w:eastAsia="仿宋_GB2312" w:cs="Times New Roman"/>
          <w:color w:val="auto"/>
          <w:kern w:val="0"/>
          <w:sz w:val="32"/>
          <w:szCs w:val="32"/>
          <w:lang w:val="en-US" w:eastAsia="zh-CN" w:bidi="ar-SA"/>
        </w:rPr>
        <w:t>推动企业数据、行业数据开发开放。</w:t>
      </w:r>
      <w:r>
        <w:rPr>
          <w:rFonts w:hint="eastAsia" w:ascii="Times New Roman" w:hAnsi="Times New Roman" w:eastAsia="仿宋_GB2312" w:cs="Times New Roman"/>
          <w:color w:val="auto"/>
          <w:kern w:val="0"/>
          <w:sz w:val="32"/>
          <w:szCs w:val="32"/>
          <w:lang w:val="en-US" w:eastAsia="zh-CN" w:bidi="ar-SA"/>
        </w:rPr>
        <w:t>鼓励企业参与数据跨境相关国际规则和标准认证体系建设，</w:t>
      </w:r>
      <w:r>
        <w:rPr>
          <w:rFonts w:hint="eastAsia" w:eastAsia="仿宋_GB2312" w:cs="Times New Roman"/>
          <w:color w:val="auto"/>
          <w:kern w:val="0"/>
          <w:sz w:val="32"/>
          <w:szCs w:val="32"/>
          <w:lang w:val="en-US" w:eastAsia="zh-CN" w:bidi="ar-SA"/>
        </w:rPr>
        <w:t>推进数据高效便利安全跨境流动</w:t>
      </w:r>
      <w:r>
        <w:rPr>
          <w:rFonts w:hint="eastAsia" w:ascii="Times New Roman" w:hAnsi="Times New Roman" w:eastAsia="仿宋_GB2312" w:cs="Times New Roman"/>
          <w:color w:val="auto"/>
          <w:kern w:val="0"/>
          <w:sz w:val="32"/>
          <w:szCs w:val="32"/>
          <w:lang w:val="en-US" w:eastAsia="zh-CN" w:bidi="ar-SA"/>
        </w:rPr>
        <w:t>。</w:t>
      </w:r>
      <w:bookmarkEnd w:id="218"/>
      <w:bookmarkEnd w:id="219"/>
    </w:p>
    <w:p>
      <w:pPr>
        <w:pStyle w:val="2"/>
        <w:keepNext w:val="0"/>
        <w:keepLines w:val="0"/>
        <w:pageBreakBefore w:val="0"/>
        <w:widowControl w:val="0"/>
        <w:numPr>
          <w:ilvl w:val="0"/>
          <w:numId w:val="2"/>
        </w:numPr>
        <w:kinsoku/>
        <w:wordWrap/>
        <w:overflowPunct/>
        <w:topLinePunct w:val="0"/>
        <w:autoSpaceDE w:val="0"/>
        <w:autoSpaceDN w:val="0"/>
        <w:bidi w:val="0"/>
        <w:adjustRightInd/>
        <w:snapToGrid/>
        <w:spacing w:after="0" w:line="560" w:lineRule="exact"/>
        <w:ind w:left="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220" w:name="_Toc4145"/>
      <w:bookmarkStart w:id="221" w:name="_Toc6226"/>
      <w:bookmarkStart w:id="222" w:name="_Toc8384"/>
      <w:bookmarkStart w:id="223" w:name="_Toc13825"/>
      <w:bookmarkStart w:id="224" w:name="_Toc12759"/>
      <w:bookmarkStart w:id="225" w:name="_Toc26389"/>
      <w:bookmarkStart w:id="226" w:name="_Toc10266"/>
      <w:bookmarkStart w:id="227" w:name="_Toc10127"/>
      <w:bookmarkStart w:id="228" w:name="_Toc23230"/>
      <w:bookmarkStart w:id="229" w:name="_Toc62413986"/>
      <w:r>
        <w:rPr>
          <w:rFonts w:hint="eastAsia" w:ascii="楷体_GB2312" w:hAnsi="楷体" w:eastAsia="楷体_GB2312" w:cs="宋体"/>
          <w:b w:val="0"/>
          <w:bCs w:val="0"/>
          <w:color w:val="auto"/>
          <w:spacing w:val="2"/>
          <w:w w:val="99"/>
          <w:kern w:val="0"/>
          <w:sz w:val="32"/>
          <w:szCs w:val="32"/>
          <w:lang w:val="en-US" w:eastAsia="zh-CN" w:bidi="zh-CN"/>
        </w:rPr>
        <w:t>优化数据产业布局</w:t>
      </w:r>
      <w:bookmarkEnd w:id="220"/>
      <w:bookmarkEnd w:id="221"/>
      <w:bookmarkEnd w:id="222"/>
      <w:bookmarkEnd w:id="223"/>
      <w:bookmarkEnd w:id="224"/>
      <w:bookmarkEnd w:id="225"/>
      <w:bookmarkEnd w:id="226"/>
      <w:bookmarkEnd w:id="227"/>
      <w:bookmarkEnd w:id="228"/>
      <w:bookmarkEnd w:id="229"/>
    </w:p>
    <w:p>
      <w:pPr>
        <w:pStyle w:val="32"/>
        <w:keepNext w:val="0"/>
        <w:keepLines w:val="0"/>
        <w:pageBreakBefore w:val="0"/>
        <w:widowControl/>
        <w:kinsoku/>
        <w:wordWrap/>
        <w:overflowPunct/>
        <w:topLinePunct w:val="0"/>
        <w:autoSpaceDE/>
        <w:autoSpaceDN/>
        <w:bidi w:val="0"/>
        <w:adjustRightInd/>
        <w:snapToGrid/>
        <w:spacing w:line="560" w:lineRule="exact"/>
        <w:ind w:firstLine="641"/>
        <w:jc w:val="both"/>
        <w:textAlignment w:val="auto"/>
        <w:outlineLvl w:val="2"/>
        <w:rPr>
          <w:rFonts w:hint="eastAsia" w:ascii="Times New Roman" w:hAnsi="Times New Roman" w:eastAsia="仿宋_GB2312" w:cs="Times New Roman"/>
          <w:color w:val="auto"/>
          <w:kern w:val="0"/>
          <w:sz w:val="32"/>
          <w:szCs w:val="32"/>
          <w:lang w:val="en-US" w:eastAsia="zh-CN" w:bidi="ar-SA"/>
        </w:rPr>
      </w:pPr>
      <w:bookmarkStart w:id="230" w:name="_Toc3996"/>
      <w:bookmarkStart w:id="231" w:name="_Toc20761"/>
      <w:r>
        <w:rPr>
          <w:rFonts w:hint="eastAsia" w:ascii="仿宋_GB2312" w:hAnsi="仿宋_GB2312" w:eastAsia="仿宋_GB2312" w:cs="仿宋_GB2312"/>
          <w:b/>
          <w:bCs/>
          <w:color w:val="auto"/>
          <w:kern w:val="0"/>
          <w:sz w:val="32"/>
          <w:szCs w:val="32"/>
          <w:lang w:val="en-US" w:eastAsia="zh-CN" w:bidi="ar-SA"/>
        </w:rPr>
        <w:t>9.</w:t>
      </w:r>
      <w:r>
        <w:rPr>
          <w:rFonts w:hint="eastAsia" w:ascii="Times New Roman" w:hAnsi="Times New Roman" w:eastAsia="仿宋_GB2312" w:cs="Times New Roman"/>
          <w:b/>
          <w:bCs/>
          <w:color w:val="auto"/>
          <w:kern w:val="0"/>
          <w:sz w:val="32"/>
          <w:szCs w:val="32"/>
          <w:lang w:val="en-US" w:eastAsia="zh-CN" w:bidi="ar-SA"/>
        </w:rPr>
        <w:t>形成数据产业集聚效应。</w:t>
      </w:r>
      <w:r>
        <w:rPr>
          <w:rFonts w:hint="eastAsia" w:ascii="Times New Roman" w:hAnsi="Times New Roman" w:eastAsia="仿宋_GB2312" w:cs="Times New Roman"/>
          <w:color w:val="auto"/>
          <w:kern w:val="0"/>
          <w:sz w:val="32"/>
          <w:szCs w:val="32"/>
          <w:lang w:val="en-US" w:eastAsia="zh-CN" w:bidi="ar-SA"/>
        </w:rPr>
        <w:t>加快</w:t>
      </w:r>
      <w:r>
        <w:rPr>
          <w:rFonts w:ascii="Times New Roman" w:hAnsi="Times New Roman" w:eastAsia="仿宋_GB2312" w:cs="Times New Roman"/>
          <w:color w:val="auto"/>
          <w:kern w:val="0"/>
          <w:sz w:val="32"/>
          <w:szCs w:val="32"/>
          <w:lang w:val="en-US" w:eastAsia="zh-CN" w:bidi="ar-SA"/>
        </w:rPr>
        <w:t>融入</w:t>
      </w:r>
      <w:r>
        <w:rPr>
          <w:rFonts w:hint="eastAsia" w:ascii="Times New Roman" w:hAnsi="Times New Roman" w:eastAsia="仿宋_GB2312" w:cs="Times New Roman"/>
          <w:color w:val="auto"/>
          <w:kern w:val="0"/>
          <w:sz w:val="32"/>
          <w:szCs w:val="32"/>
          <w:lang w:val="en-US" w:eastAsia="zh-CN" w:bidi="ar-SA"/>
        </w:rPr>
        <w:t>北京</w:t>
      </w:r>
      <w:r>
        <w:rPr>
          <w:rFonts w:ascii="Times New Roman" w:hAnsi="Times New Roman" w:eastAsia="仿宋_GB2312" w:cs="Times New Roman"/>
          <w:color w:val="auto"/>
          <w:kern w:val="0"/>
          <w:sz w:val="32"/>
          <w:szCs w:val="32"/>
          <w:lang w:val="en-US" w:eastAsia="zh-CN" w:bidi="ar-SA"/>
        </w:rPr>
        <w:t>数据要素综合试验区</w:t>
      </w:r>
      <w:r>
        <w:rPr>
          <w:rFonts w:hint="eastAsia" w:ascii="Times New Roman" w:hAnsi="Times New Roman" w:eastAsia="仿宋_GB2312" w:cs="Times New Roman"/>
          <w:color w:val="auto"/>
          <w:kern w:val="0"/>
          <w:sz w:val="32"/>
          <w:szCs w:val="32"/>
          <w:lang w:val="en-US" w:eastAsia="zh-CN" w:bidi="ar-SA"/>
        </w:rPr>
        <w:t>建设</w:t>
      </w:r>
      <w:r>
        <w:rPr>
          <w:rFonts w:hint="eastAsia" w:eastAsia="仿宋_GB2312" w:cs="Times New Roman"/>
          <w:color w:val="auto"/>
          <w:kern w:val="0"/>
          <w:sz w:val="32"/>
          <w:szCs w:val="32"/>
          <w:lang w:val="en-US" w:eastAsia="zh-CN" w:bidi="ar-SA"/>
        </w:rPr>
        <w:t>，依托</w:t>
      </w:r>
      <w:r>
        <w:rPr>
          <w:rFonts w:hint="eastAsia" w:ascii="仿宋_GB2312" w:hAnsi="仿宋_GB2312" w:eastAsia="仿宋_GB2312" w:cs="仿宋_GB2312"/>
          <w:color w:val="auto"/>
          <w:kern w:val="0"/>
          <w:sz w:val="32"/>
          <w:szCs w:val="32"/>
          <w:lang w:val="en-US" w:eastAsia="zh-CN" w:bidi="ar-SA"/>
        </w:rPr>
        <w:t>人工智能大模型产业集聚区、北京</w:t>
      </w:r>
      <w:r>
        <w:rPr>
          <w:rFonts w:hint="default" w:ascii="Calibri" w:hAnsi="Calibri" w:eastAsia="仿宋_GB2312" w:cs="Calibri"/>
          <w:color w:val="auto"/>
          <w:kern w:val="0"/>
          <w:sz w:val="32"/>
          <w:szCs w:val="32"/>
          <w:lang w:val="en-US" w:eastAsia="zh-CN" w:bidi="ar-SA"/>
        </w:rPr>
        <w:t>·</w:t>
      </w:r>
      <w:r>
        <w:rPr>
          <w:rFonts w:hint="eastAsia" w:ascii="仿宋_GB2312" w:hAnsi="仿宋_GB2312" w:eastAsia="仿宋_GB2312" w:cs="仿宋_GB2312"/>
          <w:color w:val="auto"/>
          <w:kern w:val="0"/>
          <w:sz w:val="32"/>
          <w:szCs w:val="32"/>
          <w:lang w:val="en-US" w:eastAsia="zh-CN" w:bidi="ar-SA"/>
        </w:rPr>
        <w:t>银行保险产业园暨中国电科（北京）智能科技园、科幻产业集聚区、中关村虚拟现实产业园、中关村工业互联网产业园、市级高新区等</w:t>
      </w:r>
      <w:r>
        <w:rPr>
          <w:rFonts w:hint="eastAsia" w:ascii="仿宋_GB2312" w:hAnsi="仿宋_GB2312" w:eastAsia="仿宋_GB2312" w:cs="仿宋_GB2312"/>
          <w:b w:val="0"/>
          <w:bCs w:val="0"/>
          <w:color w:val="auto"/>
          <w:kern w:val="0"/>
          <w:sz w:val="32"/>
          <w:szCs w:val="32"/>
          <w:lang w:val="en-US" w:eastAsia="zh-CN" w:bidi="ar-SA"/>
        </w:rPr>
        <w:t>特色产业园区联动，推动多个创新应用，</w:t>
      </w:r>
      <w:r>
        <w:rPr>
          <w:rFonts w:hint="eastAsia" w:eastAsia="仿宋_GB2312" w:cs="Times New Roman"/>
          <w:color w:val="auto"/>
          <w:kern w:val="0"/>
          <w:sz w:val="32"/>
          <w:szCs w:val="32"/>
          <w:lang w:val="en-US" w:eastAsia="zh-CN" w:bidi="ar-SA"/>
        </w:rPr>
        <w:t>促进土地、资本、劳动力、技术、数据等要素资源高效配置</w:t>
      </w:r>
      <w:r>
        <w:rPr>
          <w:rFonts w:hint="eastAsia" w:ascii="Times New Roman" w:hAnsi="Times New Roman" w:eastAsia="仿宋_GB2312" w:cs="Times New Roman"/>
          <w:b w:val="0"/>
          <w:bCs w:val="0"/>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加快聚集数据资源、技术和应用等数据企业，为企业上云</w:t>
      </w:r>
      <w:r>
        <w:rPr>
          <w:rFonts w:ascii="Times New Roman" w:hAnsi="Times New Roman" w:eastAsia="仿宋_GB2312" w:cs="Times New Roman"/>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用数</w:t>
      </w:r>
      <w:r>
        <w:rPr>
          <w:rFonts w:ascii="Times New Roman" w:hAnsi="Times New Roman" w:eastAsia="仿宋_GB2312" w:cs="Times New Roman"/>
          <w:color w:val="auto"/>
          <w:kern w:val="0"/>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赋智提供政策</w:t>
      </w:r>
      <w:r>
        <w:rPr>
          <w:rFonts w:hint="eastAsia" w:eastAsia="仿宋_GB2312" w:cs="Times New Roman"/>
          <w:color w:val="auto"/>
          <w:kern w:val="0"/>
          <w:sz w:val="32"/>
          <w:szCs w:val="32"/>
          <w:lang w:val="en-US" w:eastAsia="zh-CN" w:bidi="ar-SA"/>
        </w:rPr>
        <w:t>便利</w:t>
      </w:r>
      <w:r>
        <w:rPr>
          <w:rFonts w:hint="eastAsia" w:ascii="Times New Roman" w:hAnsi="Times New Roman" w:eastAsia="仿宋_GB2312" w:cs="Times New Roman"/>
          <w:color w:val="auto"/>
          <w:kern w:val="0"/>
          <w:sz w:val="32"/>
          <w:szCs w:val="32"/>
          <w:lang w:val="en-US" w:eastAsia="zh-CN" w:bidi="ar-SA"/>
        </w:rPr>
        <w:t>，支持数据企业做强做优做大。</w:t>
      </w:r>
      <w:bookmarkEnd w:id="230"/>
      <w:bookmarkEnd w:id="231"/>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ascii="仿宋_GB2312" w:hAnsi="仿宋_GB2312" w:eastAsia="仿宋_GB2312" w:cs="仿宋_GB2312"/>
          <w:color w:val="auto"/>
          <w:sz w:val="32"/>
          <w:szCs w:val="32"/>
        </w:rPr>
      </w:pPr>
      <w:r>
        <w:rPr>
          <w:rFonts w:hint="eastAsia" w:ascii="仿宋_GB2312" w:hAnsi="仿宋_GB2312" w:eastAsia="仿宋_GB2312" w:cs="仿宋_GB2312"/>
          <w:b/>
          <w:bCs/>
          <w:color w:val="auto"/>
          <w:kern w:val="0"/>
          <w:sz w:val="32"/>
          <w:szCs w:val="32"/>
          <w:lang w:val="en-US" w:eastAsia="zh-CN" w:bidi="ar-SA"/>
        </w:rPr>
        <w:t>10.</w:t>
      </w:r>
      <w:r>
        <w:rPr>
          <w:rFonts w:hint="eastAsia" w:ascii="Times New Roman" w:hAnsi="Times New Roman" w:eastAsia="仿宋_GB2312" w:cs="Times New Roman"/>
          <w:b/>
          <w:bCs/>
          <w:color w:val="auto"/>
          <w:sz w:val="32"/>
          <w:szCs w:val="32"/>
          <w:lang w:val="en-US" w:eastAsia="zh-CN" w:bidi="ar-SA"/>
        </w:rPr>
        <w:t>打造数据要素服务体系。</w:t>
      </w:r>
      <w:r>
        <w:rPr>
          <w:rFonts w:hint="eastAsia" w:ascii="仿宋_GB2312" w:hAnsi="仿宋_GB2312" w:eastAsia="仿宋_GB2312" w:cs="仿宋_GB2312"/>
          <w:b w:val="0"/>
          <w:bCs w:val="0"/>
          <w:color w:val="auto"/>
          <w:sz w:val="32"/>
          <w:szCs w:val="32"/>
          <w:lang w:val="en-US" w:eastAsia="zh-CN" w:bidi="ar-SA"/>
        </w:rPr>
        <w:t>培育数据经纪商和第三方服务机构，提供确权估值、登记结算、交易撮合、数据经纪、数据托管、数据金融、资本运营、安全保护、合规咨询、争议仲裁等专业服务。设立数据要素服务窗口，</w:t>
      </w:r>
      <w:r>
        <w:rPr>
          <w:rFonts w:hint="eastAsia" w:ascii="Times New Roman" w:hAnsi="Times New Roman" w:eastAsia="仿宋_GB2312" w:cs="Times New Roman"/>
          <w:color w:val="auto"/>
          <w:kern w:val="0"/>
          <w:sz w:val="32"/>
          <w:szCs w:val="32"/>
          <w:lang w:val="en-US" w:eastAsia="zh-CN" w:bidi="ar-SA"/>
        </w:rPr>
        <w:t>依托数据（数字）资产流通创新中心，</w:t>
      </w:r>
      <w:r>
        <w:rPr>
          <w:rFonts w:hint="eastAsia" w:ascii="仿宋_GB2312" w:hAnsi="仿宋_GB2312" w:eastAsia="仿宋_GB2312" w:cs="仿宋_GB2312"/>
          <w:b w:val="0"/>
          <w:bCs w:val="0"/>
          <w:color w:val="auto"/>
          <w:sz w:val="32"/>
          <w:szCs w:val="32"/>
          <w:lang w:val="en-US" w:eastAsia="zh-CN" w:bidi="ar-SA"/>
        </w:rPr>
        <w:t>加强数据要素宣传培训，提供数据要素综合性服务</w:t>
      </w:r>
      <w:r>
        <w:rPr>
          <w:rFonts w:ascii="仿宋_GB2312" w:hAnsi="仿宋_GB2312" w:eastAsia="仿宋_GB2312" w:cs="仿宋_GB2312"/>
          <w:b w:val="0"/>
          <w:bCs w:val="0"/>
          <w:color w:val="auto"/>
          <w:sz w:val="32"/>
          <w:szCs w:val="32"/>
          <w:lang w:val="en-US" w:eastAsia="zh-CN" w:bidi="ar-SA"/>
        </w:rPr>
        <w:t>，</w:t>
      </w:r>
      <w:r>
        <w:rPr>
          <w:rFonts w:hint="eastAsia" w:ascii="Times New Roman" w:hAnsi="Times New Roman" w:eastAsia="仿宋_GB2312" w:cs="Times New Roman"/>
          <w:color w:val="auto"/>
          <w:kern w:val="0"/>
          <w:sz w:val="32"/>
          <w:szCs w:val="32"/>
          <w:lang w:val="en-US" w:eastAsia="zh-CN" w:bidi="ar-SA"/>
        </w:rPr>
        <w:t>引导企业</w:t>
      </w:r>
      <w:r>
        <w:rPr>
          <w:rFonts w:ascii="Times New Roman" w:hAnsi="Times New Roman" w:eastAsia="仿宋_GB2312" w:cs="Times New Roman"/>
          <w:color w:val="auto"/>
          <w:kern w:val="0"/>
          <w:sz w:val="32"/>
          <w:szCs w:val="32"/>
          <w:lang w:val="en-US" w:eastAsia="zh-CN" w:bidi="ar-SA"/>
        </w:rPr>
        <w:t>探索</w:t>
      </w:r>
      <w:r>
        <w:rPr>
          <w:rFonts w:hint="eastAsia" w:ascii="Times New Roman" w:hAnsi="Times New Roman" w:eastAsia="仿宋_GB2312" w:cs="Times New Roman"/>
          <w:color w:val="auto"/>
          <w:kern w:val="0"/>
          <w:sz w:val="32"/>
          <w:szCs w:val="32"/>
          <w:lang w:val="en-US" w:eastAsia="zh-CN" w:bidi="ar-SA"/>
        </w:rPr>
        <w:t>数据</w:t>
      </w:r>
      <w:r>
        <w:rPr>
          <w:rFonts w:hint="eastAsia" w:ascii="仿宋_GB2312" w:hAnsi="仿宋_GB2312" w:eastAsia="仿宋_GB2312" w:cs="仿宋_GB2312"/>
          <w:b w:val="0"/>
          <w:bCs w:val="0"/>
          <w:i w:val="0"/>
          <w:iCs w:val="0"/>
          <w:caps w:val="0"/>
          <w:smallCaps w:val="0"/>
          <w:color w:val="auto"/>
          <w:spacing w:val="0"/>
          <w:sz w:val="32"/>
          <w:szCs w:val="32"/>
        </w:rPr>
        <w:t>资产化和价值化路径</w:t>
      </w:r>
      <w:r>
        <w:rPr>
          <w:rFonts w:ascii="仿宋_GB2312" w:hAnsi="仿宋_GB2312" w:eastAsia="仿宋_GB2312" w:cs="仿宋_GB2312"/>
          <w:color w:val="auto"/>
          <w:sz w:val="32"/>
          <w:szCs w:val="32"/>
        </w:rPr>
        <w:t>。</w:t>
      </w:r>
    </w:p>
    <w:bookmarkEnd w:id="145"/>
    <w:bookmarkEnd w:id="146"/>
    <w:bookmarkEnd w:id="147"/>
    <w:bookmarkEnd w:id="148"/>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val="0"/>
          <w:color w:val="auto"/>
          <w:kern w:val="0"/>
          <w:sz w:val="32"/>
          <w:szCs w:val="32"/>
          <w:lang w:val="en-US" w:eastAsia="zh-CN" w:bidi="zh-CN"/>
        </w:rPr>
      </w:pPr>
      <w:bookmarkStart w:id="232" w:name="_Toc18267"/>
      <w:bookmarkStart w:id="233" w:name="_Toc30557"/>
      <w:bookmarkStart w:id="234" w:name="_Toc28418"/>
      <w:bookmarkStart w:id="235" w:name="_Toc1095"/>
      <w:bookmarkStart w:id="236" w:name="_Toc62413987"/>
      <w:bookmarkStart w:id="237" w:name="_Toc14163"/>
      <w:bookmarkStart w:id="238" w:name="_Toc18738"/>
      <w:bookmarkStart w:id="239" w:name="_Toc23322"/>
      <w:bookmarkStart w:id="240" w:name="_Toc28469"/>
      <w:bookmarkStart w:id="241" w:name="_Toc20076"/>
      <w:r>
        <w:rPr>
          <w:rFonts w:hint="eastAsia" w:ascii="黑体" w:hAnsi="黑体" w:eastAsia="黑体" w:cs="黑体"/>
          <w:b w:val="0"/>
          <w:bCs w:val="0"/>
          <w:color w:val="auto"/>
          <w:kern w:val="0"/>
          <w:sz w:val="32"/>
          <w:szCs w:val="32"/>
          <w:lang w:val="en-US" w:eastAsia="zh-CN" w:bidi="zh-CN"/>
        </w:rPr>
        <w:t>推进城市数智化建设</w:t>
      </w:r>
      <w:bookmarkEnd w:id="232"/>
      <w:bookmarkEnd w:id="233"/>
      <w:bookmarkEnd w:id="234"/>
      <w:bookmarkEnd w:id="235"/>
      <w:bookmarkEnd w:id="236"/>
      <w:bookmarkEnd w:id="237"/>
      <w:bookmarkEnd w:id="238"/>
      <w:bookmarkEnd w:id="239"/>
      <w:bookmarkEnd w:id="240"/>
      <w:bookmarkEnd w:id="241"/>
    </w:p>
    <w:p>
      <w:pPr>
        <w:keepNext w:val="0"/>
        <w:keepLines w:val="0"/>
        <w:pageBreakBefore w:val="0"/>
        <w:widowControl w:val="0"/>
        <w:kinsoku/>
        <w:wordWrap w:val="0"/>
        <w:overflowPunct/>
        <w:topLinePunct w:val="0"/>
        <w:autoSpaceDE/>
        <w:autoSpaceDN/>
        <w:bidi w:val="0"/>
        <w:adjustRightInd/>
        <w:snapToGrid/>
        <w:spacing w:line="560" w:lineRule="exact"/>
        <w:ind w:left="0" w:firstLine="640" w:firstLineChars="200"/>
        <w:jc w:val="both"/>
        <w:textAlignment w:val="auto"/>
        <w:outlineLvl w:val="9"/>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充分发挥数智技术和数据要素在城市全域数字化转型中的促进作用，完善区</w:t>
      </w:r>
      <w:r>
        <w:rPr>
          <w:rFonts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街</w:t>
      </w:r>
      <w:r>
        <w:rPr>
          <w:rFonts w:ascii="仿宋_GB2312" w:hAnsi="仿宋_GB2312" w:eastAsia="仿宋_GB2312" w:cs="仿宋_GB2312"/>
          <w:color w:val="auto"/>
          <w:kern w:val="2"/>
          <w:sz w:val="32"/>
          <w:szCs w:val="32"/>
          <w:lang w:val="en-US" w:eastAsia="zh-CN" w:bidi="ar-SA"/>
        </w:rPr>
        <w:t>、社区三</w:t>
      </w:r>
      <w:r>
        <w:rPr>
          <w:rFonts w:hint="eastAsia" w:ascii="仿宋_GB2312" w:hAnsi="仿宋_GB2312" w:eastAsia="仿宋_GB2312" w:cs="仿宋_GB2312"/>
          <w:color w:val="auto"/>
          <w:kern w:val="2"/>
          <w:sz w:val="32"/>
          <w:szCs w:val="32"/>
          <w:lang w:val="en-US" w:eastAsia="zh-CN" w:bidi="ar-SA"/>
        </w:rPr>
        <w:t>级数智治理体系，全面提升党建统领、经济发展、城市治理、公共服务、生态环境和数字机关六大领域数智化能力。</w:t>
      </w:r>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242" w:name="_Toc6544"/>
      <w:bookmarkStart w:id="243" w:name="_Toc23513"/>
      <w:bookmarkStart w:id="244" w:name="_Toc25364"/>
      <w:bookmarkStart w:id="245" w:name="_Toc697"/>
      <w:bookmarkStart w:id="246" w:name="_Toc28720"/>
      <w:bookmarkStart w:id="247" w:name="_Toc29517"/>
      <w:bookmarkStart w:id="248" w:name="_Toc26649"/>
      <w:bookmarkStart w:id="249" w:name="_Toc62413988"/>
      <w:bookmarkStart w:id="250" w:name="_Toc30285"/>
      <w:bookmarkStart w:id="251" w:name="_Toc15695"/>
      <w:bookmarkStart w:id="252" w:name="_Toc21337"/>
      <w:bookmarkStart w:id="253" w:name="_Toc23182"/>
      <w:bookmarkStart w:id="254" w:name="_Toc24675"/>
      <w:bookmarkStart w:id="255" w:name="_Toc30999"/>
      <w:r>
        <w:rPr>
          <w:rFonts w:hint="eastAsia" w:ascii="楷体_GB2312" w:hAnsi="楷体" w:eastAsia="楷体_GB2312" w:cs="宋体"/>
          <w:b w:val="0"/>
          <w:bCs w:val="0"/>
          <w:color w:val="auto"/>
          <w:spacing w:val="2"/>
          <w:w w:val="99"/>
          <w:kern w:val="0"/>
          <w:sz w:val="32"/>
          <w:szCs w:val="32"/>
          <w:lang w:val="en-US" w:eastAsia="zh-CN" w:bidi="zh-CN"/>
        </w:rPr>
        <w:t>完善</w:t>
      </w:r>
      <w:bookmarkEnd w:id="242"/>
      <w:bookmarkEnd w:id="243"/>
      <w:bookmarkEnd w:id="244"/>
      <w:bookmarkEnd w:id="245"/>
      <w:r>
        <w:rPr>
          <w:rFonts w:hint="eastAsia" w:ascii="楷体_GB2312" w:hAnsi="楷体" w:eastAsia="楷体_GB2312" w:cs="宋体"/>
          <w:b w:val="0"/>
          <w:bCs w:val="0"/>
          <w:color w:val="auto"/>
          <w:spacing w:val="2"/>
          <w:w w:val="99"/>
          <w:kern w:val="0"/>
          <w:sz w:val="32"/>
          <w:szCs w:val="32"/>
          <w:lang w:val="en-US" w:eastAsia="zh-CN" w:bidi="zh-CN"/>
        </w:rPr>
        <w:t>数智治理体系建设</w:t>
      </w:r>
      <w:bookmarkEnd w:id="246"/>
      <w:bookmarkEnd w:id="247"/>
      <w:bookmarkEnd w:id="248"/>
      <w:bookmarkEnd w:id="249"/>
      <w:bookmarkEnd w:id="250"/>
      <w:bookmarkEnd w:id="251"/>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11.强化区数智中心平台中枢功能</w:t>
      </w:r>
      <w:r>
        <w:rPr>
          <w:rFonts w:hint="eastAsia" w:ascii="仿宋_GB2312" w:hAnsi="仿宋_GB2312" w:eastAsia="仿宋_GB2312" w:cs="仿宋_GB2312"/>
          <w:color w:val="auto"/>
          <w:kern w:val="0"/>
          <w:sz w:val="32"/>
          <w:szCs w:val="32"/>
          <w:lang w:val="en-US" w:eastAsia="zh-CN" w:bidi="ar-SA"/>
        </w:rPr>
        <w:t>。强化区数智中心平台</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kern w:val="0"/>
          <w:sz w:val="32"/>
          <w:szCs w:val="32"/>
          <w:lang w:val="en-US" w:eastAsia="zh-CN" w:bidi="ar-SA"/>
        </w:rPr>
        <w:t>动态感知、预警分析、高效处置、监督评价、复盘改进</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kern w:val="0"/>
          <w:sz w:val="32"/>
          <w:szCs w:val="32"/>
          <w:lang w:val="en-US" w:eastAsia="zh-CN" w:bidi="ar-SA"/>
        </w:rPr>
        <w:t>核心作用，推动城市大脑迭代升级，向上对接北京市</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kern w:val="0"/>
          <w:sz w:val="32"/>
          <w:szCs w:val="32"/>
          <w:lang w:val="en-US" w:eastAsia="zh-CN" w:bidi="ar-SA"/>
        </w:rPr>
        <w:t>京智</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kern w:val="0"/>
          <w:sz w:val="32"/>
          <w:szCs w:val="32"/>
          <w:lang w:val="en-US" w:eastAsia="zh-CN" w:bidi="ar-SA"/>
        </w:rPr>
        <w:t>平台，向下贯通街道数智分中心平台。聚焦党建统领、经济发展、城市管理、公共服务、生态文明、数字机关等重点领域，围绕高频次、多跨域、紧急类、重要性任务推进应用贯通，</w:t>
      </w:r>
      <w:r>
        <w:rPr>
          <w:rFonts w:hint="eastAsia" w:ascii="仿宋_GB2312" w:hAnsi="仿宋_GB2312" w:eastAsia="仿宋_GB2312" w:cs="仿宋_GB2312"/>
          <w:color w:val="auto"/>
          <w:spacing w:val="-2"/>
          <w:sz w:val="32"/>
          <w:szCs w:val="32"/>
          <w:lang w:val="en-US" w:eastAsia="zh-CN"/>
        </w:rPr>
        <w:t>实现城市设施联通、数据资源融通、平台系统互通、业务流程贯通</w:t>
      </w:r>
      <w:r>
        <w:rPr>
          <w:rFonts w:hint="eastAsia" w:ascii="仿宋_GB2312" w:hAnsi="仿宋_GB2312" w:eastAsia="仿宋_GB2312" w:cs="仿宋_GB2312"/>
          <w:color w:val="auto"/>
          <w:kern w:val="0"/>
          <w:sz w:val="32"/>
          <w:szCs w:val="32"/>
          <w:lang w:val="en-US" w:eastAsia="zh-CN" w:bidi="ar-SA"/>
        </w:rPr>
        <w:t>，推动决策模式从“被动看数”向“智能问数”“智能研判”转变，打造智慧城市发展样板。</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b/>
          <w:bCs/>
          <w:color w:val="auto"/>
          <w:sz w:val="32"/>
          <w:szCs w:val="32"/>
          <w:lang w:val="en-US" w:eastAsia="zh-CN" w:bidi="ar-SA"/>
        </w:rPr>
      </w:pPr>
      <w:bookmarkStart w:id="256" w:name="_Toc7264"/>
      <w:bookmarkStart w:id="257" w:name="_Toc15333"/>
      <w:r>
        <w:rPr>
          <w:rFonts w:hint="eastAsia" w:ascii="仿宋_GB2312" w:hAnsi="仿宋_GB2312" w:eastAsia="仿宋_GB2312" w:cs="仿宋_GB2312"/>
          <w:b/>
          <w:bCs/>
          <w:color w:val="auto"/>
          <w:kern w:val="0"/>
          <w:sz w:val="32"/>
          <w:szCs w:val="32"/>
          <w:lang w:val="en-US" w:eastAsia="zh-CN" w:bidi="ar-SA"/>
        </w:rPr>
        <w:t>1</w:t>
      </w:r>
      <w:r>
        <w:rPr>
          <w:rFonts w:ascii="仿宋_GB2312" w:hAnsi="仿宋_GB2312" w:eastAsia="仿宋_GB2312" w:cs="仿宋_GB2312"/>
          <w:b/>
          <w:bCs/>
          <w:color w:val="auto"/>
          <w:kern w:val="0"/>
          <w:sz w:val="32"/>
          <w:szCs w:val="32"/>
          <w:lang w:val="en-US" w:eastAsia="zh-CN" w:bidi="ar-SA"/>
        </w:rPr>
        <w:t>2</w:t>
      </w:r>
      <w:r>
        <w:rPr>
          <w:rFonts w:hint="eastAsia" w:ascii="仿宋_GB2312" w:hAnsi="仿宋_GB2312" w:eastAsia="仿宋_GB2312" w:cs="仿宋_GB2312"/>
          <w:b/>
          <w:bCs/>
          <w:color w:val="auto"/>
          <w:kern w:val="0"/>
          <w:sz w:val="32"/>
          <w:szCs w:val="32"/>
          <w:lang w:val="en-US" w:eastAsia="zh-CN" w:bidi="ar-SA"/>
        </w:rPr>
        <w:t>.加强街道数智分中心平台运营</w:t>
      </w:r>
      <w:r>
        <w:rPr>
          <w:rFonts w:hint="eastAsia" w:ascii="仿宋_GB2312" w:hAnsi="仿宋_GB2312" w:eastAsia="仿宋_GB2312" w:cs="仿宋_GB2312"/>
          <w:color w:val="auto"/>
          <w:kern w:val="0"/>
          <w:sz w:val="32"/>
          <w:szCs w:val="32"/>
          <w:lang w:val="en-US" w:eastAsia="zh-CN" w:bidi="ar-SA"/>
        </w:rPr>
        <w:t>。构建横向协同、纵向贯通的数智赋能基层工作体系，完善基层数据采集和市区数据回流的上下行通道，持续迭代街道数智分中心平台，促进基层数据融通共享、智慧应用提质增效。深耕基层特色应用场景，落地特殊群体主动关爱、消防通道管控、电动自行车规范管理、文化活动智能运营、社区积分激励治理等场景，全面提升街道、社区数智化治理效能，实现辖区运行态势动态监测、风险智能预警、数据综合研判。完善社区级智慧平台，夯实基层一线工作支撑，切实强化基层治理“最后一公里”服务能力。</w:t>
      </w:r>
      <w:bookmarkEnd w:id="256"/>
      <w:bookmarkEnd w:id="257"/>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258" w:name="_Toc25063"/>
      <w:bookmarkStart w:id="259" w:name="_Toc13761"/>
      <w:bookmarkStart w:id="260" w:name="_Toc62413989"/>
      <w:bookmarkStart w:id="261" w:name="_Toc1947"/>
      <w:bookmarkStart w:id="262" w:name="_Toc9424"/>
      <w:bookmarkStart w:id="263" w:name="_Toc19323"/>
      <w:r>
        <w:rPr>
          <w:rFonts w:hint="eastAsia" w:ascii="楷体_GB2312" w:hAnsi="楷体" w:eastAsia="楷体_GB2312" w:cs="宋体"/>
          <w:b w:val="0"/>
          <w:bCs w:val="0"/>
          <w:color w:val="auto"/>
          <w:spacing w:val="2"/>
          <w:w w:val="99"/>
          <w:kern w:val="0"/>
          <w:sz w:val="32"/>
          <w:szCs w:val="32"/>
          <w:lang w:val="en-US" w:eastAsia="zh-CN" w:bidi="zh-CN"/>
        </w:rPr>
        <w:t>开启“整体智治”的党建统领新篇章</w:t>
      </w:r>
      <w:bookmarkEnd w:id="252"/>
      <w:bookmarkEnd w:id="253"/>
      <w:bookmarkEnd w:id="254"/>
      <w:bookmarkEnd w:id="255"/>
      <w:bookmarkEnd w:id="258"/>
      <w:bookmarkEnd w:id="259"/>
      <w:bookmarkEnd w:id="260"/>
      <w:bookmarkEnd w:id="261"/>
      <w:bookmarkEnd w:id="262"/>
      <w:bookmarkEnd w:id="263"/>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Times New Roman" w:hAnsi="Times New Roman" w:eastAsia="仿宋_GB2312" w:cs="Times New Roman"/>
          <w:color w:val="auto"/>
          <w:kern w:val="0"/>
          <w:sz w:val="32"/>
          <w:szCs w:val="32"/>
          <w:lang w:val="en-US" w:eastAsia="zh-CN" w:bidi="ar-SA"/>
        </w:rPr>
      </w:pPr>
      <w:bookmarkStart w:id="264" w:name="_Toc2331"/>
      <w:bookmarkStart w:id="265" w:name="_Toc26138"/>
      <w:r>
        <w:rPr>
          <w:rFonts w:ascii="仿宋_GB2312" w:hAnsi="仿宋_GB2312" w:eastAsia="仿宋_GB2312" w:cs="仿宋_GB2312"/>
          <w:b/>
          <w:bCs/>
          <w:color w:val="auto"/>
          <w:kern w:val="0"/>
          <w:sz w:val="32"/>
          <w:szCs w:val="32"/>
          <w:lang w:val="en-US" w:eastAsia="zh-CN" w:bidi="ar-SA"/>
        </w:rPr>
        <w:t>13</w:t>
      </w:r>
      <w:r>
        <w:rPr>
          <w:rFonts w:hint="eastAsia" w:ascii="仿宋_GB2312" w:hAnsi="仿宋_GB2312" w:eastAsia="仿宋_GB2312" w:cs="仿宋_GB2312"/>
          <w:b/>
          <w:bCs/>
          <w:color w:val="auto"/>
          <w:kern w:val="0"/>
          <w:sz w:val="32"/>
          <w:szCs w:val="32"/>
          <w:lang w:val="en-US" w:eastAsia="zh-CN" w:bidi="ar-SA"/>
        </w:rPr>
        <w:t>.提升</w:t>
      </w:r>
      <w:r>
        <w:rPr>
          <w:rFonts w:hint="eastAsia" w:ascii="Times New Roman" w:hAnsi="Times New Roman" w:eastAsia="仿宋_GB2312" w:cs="Times New Roman"/>
          <w:b/>
          <w:bCs/>
          <w:color w:val="auto"/>
          <w:kern w:val="0"/>
          <w:sz w:val="32"/>
          <w:szCs w:val="32"/>
          <w:lang w:val="en-US" w:eastAsia="zh-CN" w:bidi="ar-SA"/>
        </w:rPr>
        <w:t>党建统领数智化水平。</w:t>
      </w:r>
      <w:bookmarkStart w:id="266" w:name="_Toc30066"/>
      <w:r>
        <w:rPr>
          <w:rFonts w:hint="eastAsia" w:eastAsia="仿宋_GB2312" w:cs="Times New Roman"/>
          <w:color w:val="auto"/>
          <w:kern w:val="0"/>
          <w:sz w:val="32"/>
          <w:szCs w:val="32"/>
          <w:lang w:val="en-US" w:eastAsia="zh-CN" w:bidi="ar-SA"/>
        </w:rPr>
        <w:t>加强社会治安综合治理中心规范化建设，</w:t>
      </w:r>
      <w:r>
        <w:rPr>
          <w:rFonts w:hint="eastAsia" w:eastAsia="仿宋_GB2312" w:cs="Times New Roman"/>
          <w:b w:val="0"/>
          <w:bCs w:val="0"/>
          <w:color w:val="auto"/>
          <w:kern w:val="0"/>
          <w:sz w:val="32"/>
          <w:szCs w:val="32"/>
          <w:lang w:val="en-US" w:eastAsia="zh-CN" w:bidi="ar-SA"/>
        </w:rPr>
        <w:t>完善“云上综治”数字化综合治理平台</w:t>
      </w:r>
      <w:r>
        <w:rPr>
          <w:rFonts w:hint="eastAsia" w:ascii="Times New Roman" w:hAnsi="Times New Roman" w:eastAsia="仿宋_GB2312" w:cs="Times New Roman"/>
          <w:b w:val="0"/>
          <w:bCs w:val="0"/>
          <w:color w:val="auto"/>
          <w:kern w:val="0"/>
          <w:sz w:val="32"/>
          <w:szCs w:val="32"/>
          <w:lang w:val="en-US" w:eastAsia="zh-CN" w:bidi="ar-SA"/>
        </w:rPr>
        <w:t>，</w:t>
      </w:r>
      <w:r>
        <w:rPr>
          <w:rFonts w:ascii="Times New Roman" w:hAnsi="Times New Roman" w:eastAsia="仿宋_GB2312" w:cs="Times New Roman"/>
          <w:color w:val="auto"/>
          <w:kern w:val="0"/>
          <w:sz w:val="32"/>
          <w:szCs w:val="32"/>
          <w:lang w:val="en-US" w:eastAsia="zh-CN" w:bidi="ar-SA"/>
        </w:rPr>
        <w:t>加强</w:t>
      </w:r>
      <w:r>
        <w:rPr>
          <w:rFonts w:hint="eastAsia" w:ascii="Times New Roman" w:hAnsi="Times New Roman" w:eastAsia="仿宋_GB2312" w:cs="Times New Roman"/>
          <w:color w:val="auto"/>
          <w:kern w:val="0"/>
          <w:sz w:val="32"/>
          <w:szCs w:val="32"/>
          <w:lang w:val="en-US" w:eastAsia="zh-CN" w:bidi="ar-SA"/>
        </w:rPr>
        <w:t>多源数据汇聚、</w:t>
      </w:r>
      <w:r>
        <w:rPr>
          <w:rFonts w:ascii="Times New Roman" w:hAnsi="Times New Roman" w:eastAsia="仿宋_GB2312" w:cs="Times New Roman"/>
          <w:color w:val="auto"/>
          <w:kern w:val="0"/>
          <w:sz w:val="32"/>
          <w:szCs w:val="32"/>
          <w:lang w:val="en-US" w:eastAsia="zh-CN" w:bidi="ar-SA"/>
        </w:rPr>
        <w:t>提升社会治安防控</w:t>
      </w:r>
      <w:r>
        <w:rPr>
          <w:rFonts w:hint="eastAsia" w:ascii="Times New Roman" w:hAnsi="Times New Roman" w:eastAsia="仿宋_GB2312" w:cs="Times New Roman"/>
          <w:color w:val="auto"/>
          <w:kern w:val="0"/>
          <w:sz w:val="32"/>
          <w:szCs w:val="32"/>
          <w:lang w:val="en-US" w:eastAsia="zh-CN" w:bidi="ar-SA"/>
        </w:rPr>
        <w:t>风险研判</w:t>
      </w:r>
      <w:r>
        <w:rPr>
          <w:rFonts w:ascii="Times New Roman" w:hAnsi="Times New Roman" w:eastAsia="仿宋_GB2312" w:cs="Times New Roman"/>
          <w:color w:val="auto"/>
          <w:kern w:val="0"/>
          <w:sz w:val="32"/>
          <w:szCs w:val="32"/>
          <w:lang w:val="en-US" w:eastAsia="zh-CN" w:bidi="ar-SA"/>
        </w:rPr>
        <w:t>水平</w:t>
      </w:r>
      <w:r>
        <w:rPr>
          <w:rFonts w:hint="eastAsia" w:ascii="Times New Roman" w:hAnsi="Times New Roman" w:eastAsia="仿宋_GB2312" w:cs="Times New Roman"/>
          <w:color w:val="auto"/>
          <w:kern w:val="0"/>
          <w:sz w:val="32"/>
          <w:szCs w:val="32"/>
          <w:lang w:val="en-US" w:eastAsia="zh-CN" w:bidi="ar-SA"/>
        </w:rPr>
        <w:t>。</w:t>
      </w:r>
      <w:r>
        <w:rPr>
          <w:rFonts w:hint="eastAsia" w:eastAsia="仿宋_GB2312" w:cs="Times New Roman"/>
          <w:color w:val="auto"/>
          <w:kern w:val="0"/>
          <w:sz w:val="32"/>
          <w:szCs w:val="32"/>
          <w:lang w:val="en-US" w:eastAsia="zh-CN" w:bidi="ar-SA"/>
        </w:rPr>
        <w:t>用好“石时解纷</w:t>
      </w:r>
      <w:r>
        <w:rPr>
          <w:rFonts w:hint="eastAsia" w:ascii="Times New Roman" w:hAnsi="Times New Roman" w:eastAsia="仿宋_GB2312" w:cs="Times New Roman"/>
          <w:color w:val="auto"/>
          <w:kern w:val="0"/>
          <w:sz w:val="32"/>
          <w:szCs w:val="32"/>
          <w:lang w:val="en-US" w:eastAsia="zh-CN" w:bidi="ar-SA"/>
        </w:rPr>
        <w:t>”矛盾纠纷多元</w:t>
      </w:r>
      <w:r>
        <w:rPr>
          <w:rFonts w:hint="eastAsia" w:eastAsia="仿宋_GB2312" w:cs="Times New Roman"/>
          <w:color w:val="auto"/>
          <w:kern w:val="0"/>
          <w:sz w:val="32"/>
          <w:szCs w:val="32"/>
          <w:lang w:val="en-US" w:eastAsia="zh-CN" w:bidi="ar-SA"/>
        </w:rPr>
        <w:t>化解</w:t>
      </w:r>
      <w:r>
        <w:rPr>
          <w:rFonts w:hint="eastAsia" w:ascii="Times New Roman" w:hAnsi="Times New Roman" w:eastAsia="仿宋_GB2312" w:cs="Times New Roman"/>
          <w:color w:val="auto"/>
          <w:kern w:val="0"/>
          <w:sz w:val="32"/>
          <w:szCs w:val="32"/>
          <w:lang w:val="en-US" w:eastAsia="zh-CN" w:bidi="ar-SA"/>
        </w:rPr>
        <w:t>平台，构建信访数据分析模型，提高信访工作数智化水平。</w:t>
      </w:r>
      <w:bookmarkEnd w:id="266"/>
      <w:r>
        <w:rPr>
          <w:rFonts w:hint="eastAsia" w:ascii="Times New Roman" w:hAnsi="Times New Roman" w:eastAsia="仿宋_GB2312" w:cs="Times New Roman"/>
          <w:color w:val="auto"/>
          <w:kern w:val="0"/>
          <w:sz w:val="32"/>
          <w:szCs w:val="32"/>
          <w:lang w:val="en-US" w:eastAsia="zh-CN" w:bidi="ar-SA"/>
        </w:rPr>
        <w:t>开展“智网实格+”行动，提升基层治理和服务能力，打造一批“智网实格”示范社区。</w:t>
      </w:r>
      <w:bookmarkEnd w:id="264"/>
      <w:bookmarkStart w:id="267" w:name="_Toc26539"/>
      <w:r>
        <w:rPr>
          <w:rFonts w:hint="eastAsia" w:ascii="Times New Roman" w:hAnsi="Times New Roman" w:eastAsia="仿宋_GB2312" w:cs="Times New Roman"/>
          <w:color w:val="auto"/>
          <w:kern w:val="0"/>
          <w:sz w:val="32"/>
          <w:szCs w:val="32"/>
          <w:lang w:val="en-US" w:eastAsia="zh-CN" w:bidi="ar-SA"/>
        </w:rPr>
        <w:t>建立基层报表数据“只报一次”工作机制，构建基层报表数据资源底池，</w:t>
      </w:r>
      <w:r>
        <w:rPr>
          <w:rFonts w:hint="eastAsia" w:ascii="仿宋_GB2312" w:hAnsi="仿宋_GB2312" w:eastAsia="仿宋_GB2312" w:cs="仿宋_GB2312"/>
          <w:color w:val="auto"/>
          <w:sz w:val="32"/>
          <w:szCs w:val="32"/>
        </w:rPr>
        <w:t>畅通区内数据共享渠道</w:t>
      </w:r>
      <w:r>
        <w:rPr>
          <w:rFonts w:hint="eastAsia" w:ascii="Times New Roman" w:hAnsi="Times New Roman" w:eastAsia="仿宋_GB2312" w:cs="Times New Roman"/>
          <w:color w:val="auto"/>
          <w:kern w:val="0"/>
          <w:sz w:val="32"/>
          <w:szCs w:val="32"/>
          <w:lang w:val="en-US" w:eastAsia="zh-CN" w:bidi="ar-SA"/>
        </w:rPr>
        <w:t>。提高宣传教育数</w:t>
      </w:r>
      <w:r>
        <w:rPr>
          <w:rFonts w:hint="eastAsia" w:eastAsia="仿宋_GB2312" w:cs="Times New Roman"/>
          <w:color w:val="auto"/>
          <w:kern w:val="0"/>
          <w:sz w:val="32"/>
          <w:szCs w:val="32"/>
          <w:lang w:val="en-US" w:eastAsia="zh-CN" w:bidi="ar-SA"/>
        </w:rPr>
        <w:t>智</w:t>
      </w:r>
      <w:r>
        <w:rPr>
          <w:rFonts w:hint="eastAsia" w:ascii="Times New Roman" w:hAnsi="Times New Roman" w:eastAsia="仿宋_GB2312" w:cs="Times New Roman"/>
          <w:color w:val="auto"/>
          <w:kern w:val="0"/>
          <w:sz w:val="32"/>
          <w:szCs w:val="32"/>
          <w:lang w:val="en-US" w:eastAsia="zh-CN" w:bidi="ar-SA"/>
        </w:rPr>
        <w:t>化水平，加强新型广电网络建设，提升超高清内容制播能力。开展党员教育培训，提高党建工作质效。</w:t>
      </w:r>
      <w:bookmarkEnd w:id="265"/>
      <w:bookmarkEnd w:id="267"/>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268" w:name="_Toc15405"/>
      <w:bookmarkStart w:id="269" w:name="_Toc11420"/>
      <w:bookmarkStart w:id="270" w:name="_Toc15629"/>
      <w:bookmarkStart w:id="271" w:name="_Toc62413990"/>
      <w:bookmarkStart w:id="272" w:name="_Toc29359"/>
      <w:bookmarkStart w:id="273" w:name="_Toc6213"/>
      <w:bookmarkStart w:id="274" w:name="_Toc28460"/>
      <w:bookmarkStart w:id="275" w:name="_Toc22984"/>
      <w:bookmarkStart w:id="276" w:name="_Toc7409"/>
      <w:bookmarkStart w:id="277" w:name="_Toc20319"/>
      <w:r>
        <w:rPr>
          <w:rFonts w:hint="eastAsia" w:ascii="楷体_GB2312" w:hAnsi="楷体" w:eastAsia="楷体_GB2312" w:cs="宋体"/>
          <w:b w:val="0"/>
          <w:bCs w:val="0"/>
          <w:color w:val="auto"/>
          <w:spacing w:val="2"/>
          <w:w w:val="99"/>
          <w:kern w:val="0"/>
          <w:sz w:val="32"/>
          <w:szCs w:val="32"/>
          <w:lang w:val="en-US" w:eastAsia="zh-CN" w:bidi="zh-CN"/>
        </w:rPr>
        <w:t>构筑“实数融合”的经济发展新优势</w:t>
      </w:r>
      <w:bookmarkEnd w:id="268"/>
      <w:bookmarkEnd w:id="269"/>
      <w:bookmarkEnd w:id="270"/>
      <w:bookmarkEnd w:id="271"/>
      <w:bookmarkEnd w:id="272"/>
      <w:bookmarkEnd w:id="273"/>
      <w:bookmarkEnd w:id="274"/>
      <w:bookmarkEnd w:id="275"/>
      <w:bookmarkEnd w:id="276"/>
      <w:bookmarkEnd w:id="277"/>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kern w:val="0"/>
          <w:sz w:val="32"/>
          <w:szCs w:val="32"/>
          <w:lang w:val="en-US" w:eastAsia="zh-CN" w:bidi="ar-SA"/>
        </w:rPr>
      </w:pPr>
      <w:bookmarkStart w:id="278" w:name="_Toc28451"/>
      <w:bookmarkStart w:id="279" w:name="_Toc10270"/>
      <w:r>
        <w:rPr>
          <w:rFonts w:hint="eastAsia" w:ascii="仿宋_GB2312" w:hAnsi="仿宋_GB2312" w:eastAsia="仿宋_GB2312" w:cs="仿宋_GB2312"/>
          <w:b/>
          <w:bCs/>
          <w:color w:val="auto"/>
          <w:kern w:val="0"/>
          <w:sz w:val="32"/>
          <w:szCs w:val="32"/>
          <w:lang w:val="en-US" w:eastAsia="zh-CN" w:bidi="ar-SA"/>
        </w:rPr>
        <w:t>1</w:t>
      </w:r>
      <w:r>
        <w:rPr>
          <w:rFonts w:ascii="仿宋_GB2312" w:hAnsi="仿宋_GB2312" w:eastAsia="仿宋_GB2312" w:cs="仿宋_GB2312"/>
          <w:b/>
          <w:bCs/>
          <w:color w:val="auto"/>
          <w:kern w:val="0"/>
          <w:sz w:val="32"/>
          <w:szCs w:val="32"/>
          <w:lang w:val="en-US" w:eastAsia="zh-CN" w:bidi="ar-SA"/>
        </w:rPr>
        <w:t>4</w:t>
      </w:r>
      <w:r>
        <w:rPr>
          <w:rFonts w:hint="eastAsia" w:ascii="仿宋_GB2312" w:hAnsi="仿宋_GB2312" w:eastAsia="仿宋_GB2312" w:cs="仿宋_GB2312"/>
          <w:b/>
          <w:bCs/>
          <w:color w:val="auto"/>
          <w:kern w:val="0"/>
          <w:sz w:val="32"/>
          <w:szCs w:val="32"/>
          <w:lang w:val="en-US" w:eastAsia="zh-CN" w:bidi="ar-SA"/>
        </w:rPr>
        <w:t>.数据驱动经济决策精准化。</w:t>
      </w:r>
      <w:r>
        <w:rPr>
          <w:rFonts w:hint="eastAsia" w:ascii="仿宋_GB2312" w:hAnsi="仿宋_GB2312" w:eastAsia="仿宋_GB2312" w:cs="仿宋_GB2312"/>
          <w:color w:val="auto"/>
          <w:kern w:val="0"/>
          <w:sz w:val="32"/>
          <w:szCs w:val="32"/>
          <w:lang w:val="en-US" w:eastAsia="zh-CN" w:bidi="ar-SA"/>
        </w:rPr>
        <w:t>升级改造区经济运行平台，推进经济数据整合汇聚，加强经济监测预测预警，为行业管理、经济调度等提供有力支撑。建设招商服务一体化线上平台，贯通线索发现、项目落地、企业服务全链条。依托“京策”推行惠企政策全程网办、直达快享。持续完善产业载体地图和数字孪生的楼宇信息系统，整合企业数据与产业链图谱，为楼宇空间利用、重点产业强链延链补链及招优引强提供决策参考。</w:t>
      </w:r>
      <w:bookmarkEnd w:id="278"/>
      <w:r>
        <w:rPr>
          <w:rFonts w:hint="eastAsia" w:ascii="仿宋_GB2312" w:hAnsi="仿宋_GB2312" w:eastAsia="仿宋_GB2312" w:cs="仿宋_GB2312"/>
          <w:color w:val="auto"/>
          <w:kern w:val="0"/>
          <w:sz w:val="32"/>
          <w:szCs w:val="32"/>
          <w:lang w:val="en-US" w:eastAsia="zh-CN" w:bidi="ar-SA"/>
        </w:rPr>
        <w:t>完善金融风险监测预警机制，综合运用“冒烟指数”等技术手段，提升监测预警水平。</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kern w:val="0"/>
          <w:sz w:val="32"/>
          <w:szCs w:val="32"/>
          <w:lang w:val="en-US" w:eastAsia="zh-CN" w:bidi="ar-SA"/>
        </w:rPr>
      </w:pPr>
      <w:bookmarkStart w:id="280" w:name="_Toc2305"/>
      <w:r>
        <w:rPr>
          <w:rFonts w:hint="eastAsia" w:ascii="仿宋_GB2312" w:hAnsi="仿宋_GB2312" w:eastAsia="仿宋_GB2312" w:cs="仿宋_GB2312"/>
          <w:b/>
          <w:bCs/>
          <w:color w:val="auto"/>
          <w:kern w:val="0"/>
          <w:sz w:val="32"/>
          <w:szCs w:val="32"/>
          <w:lang w:val="en-US" w:eastAsia="zh-CN" w:bidi="ar-SA"/>
        </w:rPr>
        <w:t>1</w:t>
      </w:r>
      <w:r>
        <w:rPr>
          <w:rFonts w:ascii="仿宋_GB2312" w:hAnsi="仿宋_GB2312" w:eastAsia="仿宋_GB2312" w:cs="仿宋_GB2312"/>
          <w:b/>
          <w:bCs/>
          <w:color w:val="auto"/>
          <w:kern w:val="0"/>
          <w:sz w:val="32"/>
          <w:szCs w:val="32"/>
          <w:lang w:val="en-US" w:eastAsia="zh-CN" w:bidi="ar-SA"/>
        </w:rPr>
        <w:t>5</w:t>
      </w:r>
      <w:r>
        <w:rPr>
          <w:rFonts w:hint="eastAsia" w:ascii="仿宋_GB2312" w:hAnsi="仿宋_GB2312" w:eastAsia="仿宋_GB2312" w:cs="仿宋_GB2312"/>
          <w:b/>
          <w:bCs/>
          <w:color w:val="auto"/>
          <w:kern w:val="0"/>
          <w:sz w:val="32"/>
          <w:szCs w:val="32"/>
          <w:lang w:val="en-US" w:eastAsia="zh-CN" w:bidi="ar-SA"/>
        </w:rPr>
        <w:t>.推动特色数字产业集群化</w:t>
      </w:r>
      <w:r>
        <w:rPr>
          <w:rFonts w:hint="eastAsia" w:ascii="仿宋_GB2312" w:hAnsi="仿宋_GB2312" w:eastAsia="仿宋_GB2312" w:cs="仿宋_GB2312"/>
          <w:color w:val="auto"/>
          <w:kern w:val="0"/>
          <w:sz w:val="32"/>
          <w:szCs w:val="32"/>
          <w:lang w:val="en-US" w:eastAsia="zh-CN" w:bidi="ar-SA"/>
        </w:rPr>
        <w:t>。紧抓北京未来数字空间创新试验区、北京数据基础制度先行区（石景山片区）建设契机，建成全市数字经济创新发展实践主阵地。加快具身智能数据要素产业园、人形机器人数据训练中心三期融合赋能，推动发展“设计型”数字产品制造业；推动虚拟现实、人工智能、元宇宙、卫星网络等具备“硬科技”属性的产业特色化发展，壮大支柱型数字技术应用业；支持数字金融、数字内容、数据服务等产业加快数据要素赋能，打造数字要素驱动业。依托北京未来数字空间创新试验区建设，建成科幻世界的创作中心、虚实交互的体验世界、数实共生的创新基地。</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kern w:val="0"/>
          <w:sz w:val="32"/>
          <w:szCs w:val="32"/>
          <w:highlight w:val="none"/>
          <w:lang w:val="en-US" w:eastAsia="zh-CN" w:bidi="ar-SA"/>
        </w:rPr>
      </w:pPr>
      <w:r>
        <w:rPr>
          <w:rFonts w:hint="eastAsia" w:ascii="仿宋_GB2312" w:hAnsi="仿宋_GB2312" w:eastAsia="仿宋_GB2312" w:cs="仿宋_GB2312"/>
          <w:b/>
          <w:bCs/>
          <w:color w:val="auto"/>
          <w:kern w:val="0"/>
          <w:sz w:val="32"/>
          <w:szCs w:val="32"/>
          <w:lang w:val="en-US" w:eastAsia="zh-CN" w:bidi="ar-SA"/>
        </w:rPr>
        <w:t>1</w:t>
      </w:r>
      <w:r>
        <w:rPr>
          <w:rFonts w:ascii="仿宋_GB2312" w:hAnsi="仿宋_GB2312" w:eastAsia="仿宋_GB2312" w:cs="仿宋_GB2312"/>
          <w:b/>
          <w:bCs/>
          <w:color w:val="auto"/>
          <w:kern w:val="0"/>
          <w:sz w:val="32"/>
          <w:szCs w:val="32"/>
          <w:lang w:val="en-US" w:eastAsia="zh-CN" w:bidi="ar-SA"/>
        </w:rPr>
        <w:t>6</w:t>
      </w:r>
      <w:r>
        <w:rPr>
          <w:rFonts w:hint="eastAsia" w:ascii="仿宋_GB2312" w:hAnsi="仿宋_GB2312" w:eastAsia="仿宋_GB2312" w:cs="仿宋_GB2312"/>
          <w:b/>
          <w:bCs/>
          <w:color w:val="auto"/>
          <w:kern w:val="0"/>
          <w:sz w:val="32"/>
          <w:szCs w:val="32"/>
          <w:lang w:val="en-US" w:eastAsia="zh-CN" w:bidi="ar-SA"/>
        </w:rPr>
        <w:t>.激发数字经济发展生态化</w:t>
      </w:r>
      <w:r>
        <w:rPr>
          <w:rFonts w:hint="eastAsia" w:ascii="仿宋_GB2312" w:hAnsi="仿宋_GB2312" w:eastAsia="仿宋_GB2312" w:cs="仿宋_GB2312"/>
          <w:color w:val="auto"/>
          <w:kern w:val="0"/>
          <w:sz w:val="32"/>
          <w:szCs w:val="32"/>
          <w:lang w:val="en-US" w:eastAsia="zh-CN" w:bidi="ar-SA"/>
        </w:rPr>
        <w:t>。</w:t>
      </w:r>
      <w:r>
        <w:rPr>
          <w:rFonts w:hint="eastAsia" w:ascii="Times New Roman" w:hAnsi="Times New Roman" w:eastAsia="仿宋_GB2312" w:cs="Times New Roman"/>
          <w:color w:val="auto"/>
          <w:sz w:val="32"/>
          <w:szCs w:val="32"/>
          <w:lang w:eastAsia="zh-CN"/>
        </w:rPr>
        <w:t>深化产学研融合创新发展，</w:t>
      </w:r>
      <w:r>
        <w:rPr>
          <w:rFonts w:hint="eastAsia" w:ascii="Times New Roman" w:hAnsi="Times New Roman" w:eastAsia="仿宋_GB2312" w:cs="Times New Roman"/>
          <w:color w:val="auto"/>
          <w:sz w:val="32"/>
          <w:szCs w:val="32"/>
        </w:rPr>
        <w:t>打通基础研究、概念验证、中试验证、成果转化的创新链条</w:t>
      </w:r>
      <w:r>
        <w:rPr>
          <w:rFonts w:hint="eastAsia" w:ascii="Times New Roman" w:hAnsi="Times New Roman" w:eastAsia="仿宋_GB2312" w:cs="Times New Roman"/>
          <w:color w:val="auto"/>
          <w:sz w:val="32"/>
          <w:szCs w:val="36"/>
          <w:lang w:eastAsia="zh-CN"/>
        </w:rPr>
        <w:t>。</w:t>
      </w:r>
      <w:bookmarkEnd w:id="279"/>
      <w:bookmarkEnd w:id="280"/>
      <w:bookmarkStart w:id="281" w:name="_Toc25542"/>
      <w:bookmarkStart w:id="282" w:name="_Toc200711476"/>
      <w:bookmarkStart w:id="283" w:name="_Toc11744"/>
      <w:bookmarkStart w:id="284" w:name="_Hlk196830078"/>
      <w:bookmarkStart w:id="285" w:name="_Toc10227"/>
      <w:bookmarkStart w:id="286" w:name="_Toc2488"/>
      <w:r>
        <w:rPr>
          <w:rFonts w:hint="eastAsia" w:ascii="仿宋_GB2312" w:eastAsia="仿宋_GB2312"/>
          <w:color w:val="auto"/>
          <w:sz w:val="32"/>
          <w:szCs w:val="32"/>
        </w:rPr>
        <w:t>加快推进金融业数字化转型，</w:t>
      </w:r>
      <w:r>
        <w:rPr>
          <w:rFonts w:hint="eastAsia" w:ascii="仿宋_GB2312" w:hAnsi="Verdana" w:eastAsia="仿宋_GB2312" w:cs="Times New Roman"/>
          <w:color w:val="auto"/>
          <w:sz w:val="32"/>
          <w:szCs w:val="32"/>
        </w:rPr>
        <w:t>释放“数字金融港”创新孵化平台效能</w:t>
      </w:r>
      <w:r>
        <w:rPr>
          <w:rFonts w:hint="eastAsia" w:ascii="仿宋_GB2312" w:hAnsi="Verdana" w:eastAsia="仿宋_GB2312" w:cs="Times New Roman"/>
          <w:color w:val="auto"/>
          <w:sz w:val="32"/>
          <w:szCs w:val="32"/>
          <w:lang w:eastAsia="zh-CN"/>
        </w:rPr>
        <w:t>，</w:t>
      </w:r>
      <w:r>
        <w:rPr>
          <w:rFonts w:hint="eastAsia" w:ascii="仿宋_GB2312" w:eastAsia="仿宋_GB2312"/>
          <w:color w:val="auto"/>
          <w:sz w:val="32"/>
          <w:szCs w:val="32"/>
        </w:rPr>
        <w:t>推进</w:t>
      </w:r>
      <w:r>
        <w:rPr>
          <w:rFonts w:hint="eastAsia" w:ascii="仿宋_GB2312" w:hAnsi="Verdana" w:eastAsia="仿宋_GB2312" w:cs="Times New Roman"/>
          <w:color w:val="auto"/>
          <w:sz w:val="32"/>
          <w:szCs w:val="32"/>
        </w:rPr>
        <w:t>“全球供应商数字化服务平台”基础设施建设</w:t>
      </w:r>
      <w:r>
        <w:rPr>
          <w:rFonts w:hint="eastAsia" w:ascii="仿宋_GB2312" w:hAnsi="Verdana" w:eastAsia="仿宋_GB2312" w:cs="Times New Roman"/>
          <w:color w:val="auto"/>
          <w:sz w:val="32"/>
          <w:szCs w:val="32"/>
          <w:lang w:eastAsia="zh-CN"/>
        </w:rPr>
        <w:t>。</w:t>
      </w:r>
      <w:bookmarkEnd w:id="281"/>
      <w:bookmarkEnd w:id="282"/>
      <w:bookmarkEnd w:id="283"/>
      <w:bookmarkEnd w:id="284"/>
      <w:bookmarkEnd w:id="285"/>
      <w:r>
        <w:rPr>
          <w:rFonts w:hint="eastAsia" w:ascii="仿宋_GB2312" w:eastAsia="仿宋_GB2312"/>
          <w:color w:val="auto"/>
          <w:sz w:val="32"/>
          <w:szCs w:val="32"/>
        </w:rPr>
        <w:t>深化数字人民币跨境支付应用场景</w:t>
      </w:r>
      <w:r>
        <w:rPr>
          <w:rFonts w:hint="eastAsia" w:ascii="仿宋_GB2312" w:eastAsia="仿宋_GB2312"/>
          <w:color w:val="auto"/>
          <w:sz w:val="32"/>
          <w:szCs w:val="32"/>
          <w:lang w:eastAsia="zh-CN"/>
        </w:rPr>
        <w:t>。</w:t>
      </w:r>
      <w:r>
        <w:rPr>
          <w:rFonts w:hint="eastAsia" w:ascii="仿宋_GB2312" w:eastAsia="仿宋_GB2312"/>
          <w:color w:val="auto"/>
          <w:sz w:val="32"/>
          <w:szCs w:val="32"/>
        </w:rPr>
        <w:t>探索发行全市首单数字人民币知识产权</w:t>
      </w:r>
      <w:r>
        <w:rPr>
          <w:rFonts w:ascii="Times New Roman" w:hAnsi="Times New Roman" w:eastAsia="仿宋_GB2312" w:cs="Times New Roman"/>
          <w:color w:val="auto"/>
          <w:sz w:val="32"/>
          <w:szCs w:val="32"/>
        </w:rPr>
        <w:t>ABS</w:t>
      </w:r>
      <w:r>
        <w:rPr>
          <w:rFonts w:hint="eastAsia" w:ascii="仿宋_GB2312" w:eastAsia="仿宋_GB2312"/>
          <w:color w:val="auto"/>
          <w:sz w:val="32"/>
          <w:szCs w:val="32"/>
        </w:rPr>
        <w:t>产品。</w:t>
      </w:r>
      <w:r>
        <w:rPr>
          <w:rFonts w:hint="eastAsia" w:ascii="Times New Roman" w:hAnsi="Times New Roman" w:eastAsia="仿宋_GB2312" w:cs="Times New Roman"/>
          <w:color w:val="auto"/>
          <w:sz w:val="32"/>
          <w:szCs w:val="36"/>
          <w:highlight w:val="none"/>
        </w:rPr>
        <w:t>支持区内人工智能、游戏电竞等领域企业加强国际合作，参与国</w:t>
      </w:r>
      <w:r>
        <w:rPr>
          <w:rFonts w:hint="eastAsia" w:ascii="仿宋_GB2312" w:hAnsi="仿宋_GB2312" w:eastAsia="仿宋_GB2312" w:cs="仿宋_GB2312"/>
          <w:color w:val="auto"/>
          <w:kern w:val="0"/>
          <w:sz w:val="32"/>
          <w:szCs w:val="32"/>
          <w:highlight w:val="none"/>
          <w:lang w:val="en-US" w:eastAsia="zh-CN" w:bidi="ar-SA"/>
        </w:rPr>
        <w:t>际性科研合作项目，加快融入全球产业布局。</w:t>
      </w:r>
    </w:p>
    <w:bookmarkEnd w:id="286"/>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287" w:name="_Toc62413991"/>
      <w:bookmarkStart w:id="288" w:name="_Toc11948"/>
      <w:bookmarkStart w:id="289" w:name="_Toc26317"/>
      <w:bookmarkStart w:id="290" w:name="_Toc14514"/>
      <w:bookmarkStart w:id="291" w:name="_Toc19993"/>
      <w:bookmarkStart w:id="292" w:name="_Toc27707"/>
      <w:bookmarkStart w:id="293" w:name="_Toc25018"/>
      <w:bookmarkStart w:id="294" w:name="_Toc27486"/>
      <w:bookmarkStart w:id="295" w:name="_Toc27745"/>
      <w:bookmarkStart w:id="296" w:name="_Toc7312"/>
      <w:r>
        <w:rPr>
          <w:rFonts w:hint="eastAsia" w:ascii="楷体_GB2312" w:hAnsi="楷体" w:eastAsia="楷体_GB2312" w:cs="宋体"/>
          <w:b w:val="0"/>
          <w:bCs w:val="0"/>
          <w:color w:val="auto"/>
          <w:spacing w:val="2"/>
          <w:w w:val="99"/>
          <w:kern w:val="0"/>
          <w:sz w:val="32"/>
          <w:szCs w:val="32"/>
          <w:lang w:val="en-US" w:eastAsia="zh-CN" w:bidi="zh-CN"/>
        </w:rPr>
        <w:t>打造“一网统管”的城市治理新格局</w:t>
      </w:r>
      <w:bookmarkEnd w:id="287"/>
      <w:bookmarkEnd w:id="288"/>
      <w:bookmarkEnd w:id="289"/>
      <w:bookmarkEnd w:id="290"/>
      <w:bookmarkEnd w:id="291"/>
      <w:bookmarkEnd w:id="292"/>
      <w:bookmarkEnd w:id="293"/>
      <w:bookmarkEnd w:id="294"/>
      <w:bookmarkEnd w:id="295"/>
      <w:bookmarkEnd w:id="296"/>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ascii="仿宋_GB2312" w:hAnsi="仿宋_GB2312" w:eastAsia="仿宋_GB2312" w:cs="仿宋_GB2312"/>
          <w:b w:val="0"/>
          <w:bCs w:val="0"/>
          <w:color w:val="auto"/>
          <w:kern w:val="0"/>
          <w:sz w:val="32"/>
          <w:szCs w:val="32"/>
          <w:lang w:val="en-US" w:eastAsia="zh-CN" w:bidi="ar-SA"/>
        </w:rPr>
      </w:pPr>
      <w:r>
        <w:rPr>
          <w:rFonts w:hint="eastAsia" w:ascii="仿宋_GB2312" w:hAnsi="仿宋_GB2312" w:eastAsia="仿宋_GB2312" w:cs="仿宋_GB2312"/>
          <w:b/>
          <w:bCs/>
          <w:color w:val="auto"/>
          <w:kern w:val="0"/>
          <w:sz w:val="32"/>
          <w:szCs w:val="32"/>
          <w:lang w:val="en-US" w:eastAsia="zh-CN" w:bidi="ar-SA"/>
        </w:rPr>
        <w:t>1</w:t>
      </w:r>
      <w:r>
        <w:rPr>
          <w:rFonts w:ascii="仿宋_GB2312" w:hAnsi="仿宋_GB2312" w:eastAsia="仿宋_GB2312" w:cs="仿宋_GB2312"/>
          <w:b/>
          <w:bCs/>
          <w:color w:val="auto"/>
          <w:kern w:val="0"/>
          <w:sz w:val="32"/>
          <w:szCs w:val="32"/>
          <w:lang w:val="en-US" w:eastAsia="zh-CN" w:bidi="ar-SA"/>
        </w:rPr>
        <w:t>7</w:t>
      </w:r>
      <w:r>
        <w:rPr>
          <w:rFonts w:hint="eastAsia" w:ascii="仿宋_GB2312" w:hAnsi="仿宋_GB2312" w:eastAsia="仿宋_GB2312" w:cs="仿宋_GB2312"/>
          <w:b/>
          <w:bCs/>
          <w:color w:val="auto"/>
          <w:kern w:val="0"/>
          <w:sz w:val="32"/>
          <w:szCs w:val="32"/>
          <w:lang w:val="en-US" w:eastAsia="zh-CN" w:bidi="ar-SA"/>
        </w:rPr>
        <w:t>.</w:t>
      </w:r>
      <w:r>
        <w:rPr>
          <w:rFonts w:hint="eastAsia" w:ascii="仿宋_GB2312" w:hAnsi="仿宋_GB2312" w:eastAsia="仿宋_GB2312" w:cs="仿宋_GB2312"/>
          <w:b/>
          <w:bCs/>
          <w:color w:val="auto"/>
          <w:kern w:val="0"/>
          <w:sz w:val="32"/>
          <w:szCs w:val="32"/>
          <w:lang w:val="en-US" w:eastAsia="zh-CN" w:bidi="ar-SA"/>
        </w:rPr>
        <w:fldChar w:fldCharType="begin"/>
      </w:r>
      <w:r>
        <w:instrText xml:space="preserve">HYPERLINK "http://www.baidu.com/link?url=XwXNyZQ21ha_RxW7ZRZnNYoIsEDWcpD5PAcJ8nIIlekZCgo011WTrSzvDhhr5A8LGGNItgQ0ftI9Lg0waUwahq"</w:instrText>
      </w:r>
      <w:r>
        <w:rPr>
          <w:rFonts w:hint="eastAsia" w:ascii="仿宋_GB2312" w:hAnsi="仿宋_GB2312" w:eastAsia="仿宋_GB2312" w:cs="仿宋_GB2312"/>
          <w:b/>
          <w:bCs/>
          <w:color w:val="auto"/>
          <w:kern w:val="0"/>
          <w:sz w:val="32"/>
          <w:szCs w:val="32"/>
          <w:lang w:val="en-US" w:eastAsia="zh-CN" w:bidi="ar-SA"/>
        </w:rPr>
        <w:fldChar w:fldCharType="separate"/>
      </w:r>
      <w:bookmarkStart w:id="297" w:name="_Toc1928"/>
      <w:bookmarkStart w:id="298" w:name="_Toc11391"/>
      <w:bookmarkStart w:id="299" w:name="_Toc2851"/>
      <w:r>
        <w:rPr>
          <w:rFonts w:hint="eastAsia" w:ascii="仿宋_GB2312" w:hAnsi="仿宋_GB2312" w:eastAsia="仿宋_GB2312" w:cs="仿宋_GB2312"/>
          <w:b/>
          <w:bCs/>
          <w:color w:val="auto"/>
          <w:kern w:val="0"/>
          <w:sz w:val="32"/>
          <w:szCs w:val="32"/>
          <w:lang w:val="en-US" w:eastAsia="zh-CN" w:bidi="ar-SA"/>
        </w:rPr>
        <w:t>提高城市运行精细化治理水平</w:t>
      </w:r>
      <w:r>
        <w:rPr>
          <w:rFonts w:hint="eastAsia" w:ascii="仿宋_GB2312" w:hAnsi="仿宋_GB2312" w:eastAsia="仿宋_GB2312" w:cs="仿宋_GB2312"/>
          <w:color w:val="auto"/>
          <w:kern w:val="0"/>
          <w:sz w:val="32"/>
          <w:szCs w:val="32"/>
          <w:lang w:val="en-US" w:eastAsia="zh-CN" w:bidi="ar-SA"/>
        </w:rPr>
        <w:t>。</w:t>
      </w:r>
      <w:r>
        <w:rPr>
          <w:rFonts w:hint="eastAsia" w:ascii="仿宋_GB2312" w:hAnsi="仿宋_GB2312" w:eastAsia="仿宋_GB2312" w:cs="仿宋_GB2312"/>
          <w:b/>
          <w:bCs/>
          <w:color w:val="auto"/>
          <w:kern w:val="0"/>
          <w:sz w:val="32"/>
          <w:szCs w:val="32"/>
          <w:lang w:val="en-US" w:eastAsia="zh-CN" w:bidi="ar-SA"/>
        </w:rPr>
        <w:fldChar w:fldCharType="end"/>
      </w:r>
      <w:r>
        <w:rPr>
          <w:rFonts w:ascii="仿宋_GB2312" w:hAnsi="仿宋_GB2312" w:eastAsia="仿宋_GB2312" w:cs="仿宋_GB2312"/>
          <w:b w:val="0"/>
          <w:bCs w:val="0"/>
          <w:color w:val="auto"/>
          <w:kern w:val="0"/>
          <w:sz w:val="32"/>
          <w:szCs w:val="32"/>
          <w:lang w:val="en-US" w:eastAsia="zh-CN" w:bidi="ar-SA"/>
        </w:rPr>
        <w:t>强化</w:t>
      </w:r>
      <w:r>
        <w:rPr>
          <w:rFonts w:hint="eastAsia" w:ascii="仿宋_GB2312" w:hAnsi="仿宋_GB2312" w:eastAsia="仿宋_GB2312" w:cs="仿宋_GB2312"/>
          <w:b w:val="0"/>
          <w:bCs w:val="0"/>
          <w:color w:val="auto"/>
          <w:sz w:val="32"/>
          <w:szCs w:val="32"/>
          <w:lang w:val="en-US" w:eastAsia="zh-CN" w:bidi="ar-SA"/>
        </w:rPr>
        <w:t>城市体检数据</w:t>
      </w:r>
      <w:r>
        <w:rPr>
          <w:rFonts w:ascii="仿宋_GB2312" w:hAnsi="仿宋_GB2312" w:eastAsia="仿宋_GB2312" w:cs="仿宋_GB2312"/>
          <w:b w:val="0"/>
          <w:bCs w:val="0"/>
          <w:color w:val="auto"/>
          <w:sz w:val="32"/>
          <w:szCs w:val="32"/>
          <w:lang w:val="en-US" w:eastAsia="zh-CN" w:bidi="ar-SA"/>
        </w:rPr>
        <w:t>分析</w:t>
      </w:r>
      <w:r>
        <w:rPr>
          <w:rFonts w:hint="eastAsia" w:ascii="仿宋_GB2312" w:hAnsi="仿宋_GB2312" w:eastAsia="仿宋_GB2312" w:cs="仿宋_GB2312"/>
          <w:b w:val="0"/>
          <w:bCs w:val="0"/>
          <w:color w:val="auto"/>
          <w:sz w:val="32"/>
          <w:szCs w:val="32"/>
          <w:lang w:val="en-US" w:eastAsia="zh-CN" w:bidi="ar-SA"/>
        </w:rPr>
        <w:t>，</w:t>
      </w:r>
      <w:r>
        <w:rPr>
          <w:rFonts w:ascii="仿宋_GB2312" w:hAnsi="仿宋_GB2312" w:eastAsia="仿宋_GB2312" w:cs="仿宋_GB2312"/>
          <w:b w:val="0"/>
          <w:bCs w:val="0"/>
          <w:color w:val="auto"/>
          <w:sz w:val="32"/>
          <w:szCs w:val="32"/>
          <w:lang w:val="en-US" w:eastAsia="zh-CN" w:bidi="ar-SA"/>
        </w:rPr>
        <w:t>推动</w:t>
      </w:r>
      <w:r>
        <w:rPr>
          <w:rFonts w:hint="eastAsia" w:ascii="仿宋_GB2312" w:hAnsi="仿宋_GB2312" w:eastAsia="仿宋_GB2312" w:cs="仿宋_GB2312"/>
          <w:color w:val="auto"/>
          <w:kern w:val="0"/>
          <w:sz w:val="32"/>
          <w:szCs w:val="32"/>
          <w:lang w:val="en-US" w:eastAsia="zh-CN" w:bidi="ar-SA"/>
        </w:rPr>
        <w:t>“多码合一、一码互联”。加强房屋、工程全生命周期数字化管理，推动建筑产业数字化、智能化转型。</w:t>
      </w:r>
      <w:bookmarkEnd w:id="297"/>
      <w:bookmarkEnd w:id="298"/>
      <w:bookmarkEnd w:id="299"/>
      <w:bookmarkStart w:id="300" w:name="_Toc30857"/>
      <w:bookmarkStart w:id="301" w:name="_Toc30769"/>
      <w:r>
        <w:rPr>
          <w:rFonts w:hint="eastAsia" w:ascii="仿宋_GB2312" w:hAnsi="仿宋_GB2312" w:eastAsia="仿宋_GB2312" w:cs="仿宋_GB2312"/>
          <w:color w:val="auto"/>
          <w:kern w:val="0"/>
          <w:sz w:val="32"/>
          <w:szCs w:val="32"/>
          <w:lang w:val="en-US" w:eastAsia="zh-CN" w:bidi="ar-SA"/>
        </w:rPr>
        <w:t>创新城市治理示范应用，实现“高效处置一件事”覆盖城市运行重点事件。</w:t>
      </w:r>
      <w:r>
        <w:rPr>
          <w:rFonts w:ascii="仿宋_GB2312" w:hAnsi="仿宋_GB2312" w:eastAsia="仿宋_GB2312" w:cs="仿宋_GB2312"/>
          <w:b w:val="0"/>
          <w:bCs w:val="0"/>
          <w:color w:val="auto"/>
          <w:kern w:val="0"/>
          <w:sz w:val="32"/>
          <w:szCs w:val="32"/>
          <w:lang w:val="en-US" w:eastAsia="zh-CN" w:bidi="ar-SA"/>
        </w:rPr>
        <w:t>开展城市管理一体化平台建设，推动城市管理领域事件集约化管理</w:t>
      </w:r>
      <w:r>
        <w:rPr>
          <w:rFonts w:hint="eastAsia" w:ascii="仿宋_GB2312" w:hAnsi="仿宋_GB2312" w:eastAsia="仿宋_GB2312" w:cs="仿宋_GB2312"/>
          <w:b w:val="0"/>
          <w:bCs w:val="0"/>
          <w:color w:val="auto"/>
          <w:kern w:val="0"/>
          <w:sz w:val="32"/>
          <w:szCs w:val="32"/>
          <w:lang w:val="en-US" w:eastAsia="zh-CN" w:bidi="ar-SA"/>
        </w:rPr>
        <w:t>、风险预警预测、</w:t>
      </w:r>
      <w:r>
        <w:rPr>
          <w:rFonts w:ascii="仿宋_GB2312" w:hAnsi="仿宋_GB2312" w:eastAsia="仿宋_GB2312" w:cs="仿宋_GB2312"/>
          <w:b w:val="0"/>
          <w:bCs w:val="0"/>
          <w:color w:val="auto"/>
          <w:kern w:val="0"/>
          <w:sz w:val="32"/>
          <w:szCs w:val="32"/>
          <w:lang w:val="en-US" w:eastAsia="zh-CN" w:bidi="ar-SA"/>
        </w:rPr>
        <w:t>业务流程高效协同。</w:t>
      </w:r>
      <w:r>
        <w:rPr>
          <w:rFonts w:hint="eastAsia" w:ascii="仿宋_GB2312" w:hAnsi="仿宋_GB2312" w:eastAsia="仿宋_GB2312" w:cs="仿宋_GB2312"/>
          <w:color w:val="auto"/>
          <w:kern w:val="0"/>
          <w:sz w:val="32"/>
          <w:szCs w:val="32"/>
          <w:lang w:val="en-US" w:eastAsia="zh-CN" w:bidi="ar-SA"/>
        </w:rPr>
        <w:t>构建热线“接、派、办、评、报”数智化能力体系，运用区、街两级智能统计分析模型，提升突发紧急诉求、高频共性难点诉求的分析和应对能力。</w:t>
      </w:r>
      <w:bookmarkEnd w:id="300"/>
      <w:bookmarkStart w:id="302" w:name="_Toc25976"/>
      <w:r>
        <w:rPr>
          <w:rFonts w:hint="eastAsia" w:ascii="仿宋_GB2312" w:hAnsi="仿宋_GB2312" w:eastAsia="仿宋_GB2312" w:cs="仿宋_GB2312"/>
          <w:color w:val="auto"/>
          <w:kern w:val="0"/>
          <w:sz w:val="32"/>
          <w:szCs w:val="32"/>
          <w:lang w:val="en-US" w:eastAsia="zh-CN" w:bidi="ar-SA"/>
        </w:rPr>
        <w:t>推进餐饮业食品安全智慧监管，</w:t>
      </w:r>
      <w:r>
        <w:rPr>
          <w:rFonts w:hint="eastAsia" w:ascii="仿宋_GB2312" w:hAnsi="仿宋_GB2312" w:eastAsia="仿宋_GB2312" w:cs="仿宋_GB2312"/>
          <w:color w:val="auto"/>
          <w:sz w:val="32"/>
          <w:szCs w:val="32"/>
          <w:lang w:val="en-US" w:eastAsia="zh-CN" w:bidi="ar-SA"/>
        </w:rPr>
        <w:t>加快药品数字化追溯体系建设，</w:t>
      </w:r>
      <w:r>
        <w:rPr>
          <w:rFonts w:hint="eastAsia" w:ascii="仿宋_GB2312" w:hAnsi="仿宋_GB2312" w:eastAsia="仿宋_GB2312" w:cs="仿宋_GB2312"/>
          <w:b w:val="0"/>
          <w:bCs w:val="0"/>
          <w:color w:val="auto"/>
          <w:kern w:val="0"/>
          <w:sz w:val="32"/>
          <w:szCs w:val="32"/>
          <w:lang w:val="en-US" w:eastAsia="zh-CN" w:bidi="ar-SA"/>
        </w:rPr>
        <w:t>非现场检查量占比达到80%以上。</w:t>
      </w:r>
      <w:bookmarkEnd w:id="301"/>
      <w:bookmarkEnd w:id="302"/>
      <w:r>
        <w:rPr>
          <w:rFonts w:hint="eastAsia" w:ascii="仿宋_GB2312" w:hAnsi="仿宋_GB2312" w:eastAsia="仿宋_GB2312" w:cs="仿宋_GB2312"/>
          <w:color w:val="auto"/>
          <w:kern w:val="0"/>
          <w:sz w:val="32"/>
          <w:szCs w:val="32"/>
          <w:lang w:val="en-US" w:eastAsia="zh-CN" w:bidi="ar-SA"/>
        </w:rPr>
        <w:t>完善道路停车电子收费前端设备建设</w:t>
      </w:r>
      <w:r>
        <w:rPr>
          <w:rFonts w:hint="eastAsia" w:ascii="仿宋_GB2312" w:hAnsi="仿宋_GB2312" w:eastAsia="仿宋_GB2312" w:cs="仿宋_GB2312"/>
          <w:b w:val="0"/>
          <w:bCs w:val="0"/>
          <w:color w:val="auto"/>
          <w:kern w:val="0"/>
          <w:sz w:val="32"/>
          <w:szCs w:val="32"/>
          <w:lang w:val="en-US" w:eastAsia="zh-CN" w:bidi="ar-SA"/>
        </w:rPr>
        <w:t>。推动无人驾驶技术在非现场执法领域的实践创新，加强重大安保活动交通服务保障。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宋体" w:eastAsia="仿宋_GB2312" w:cs="仿宋_GB2312"/>
          <w:color w:val="auto"/>
          <w:sz w:val="32"/>
        </w:rPr>
      </w:pPr>
      <w:r>
        <w:rPr>
          <w:rFonts w:hint="eastAsia" w:ascii="仿宋_GB2312" w:hAnsi="仿宋_GB2312" w:eastAsia="仿宋_GB2312" w:cs="仿宋_GB2312"/>
          <w:b/>
          <w:bCs/>
          <w:color w:val="auto"/>
          <w:kern w:val="0"/>
          <w:sz w:val="32"/>
          <w:szCs w:val="32"/>
          <w:lang w:val="en-US" w:eastAsia="zh-CN" w:bidi="ar-SA"/>
        </w:rPr>
        <w:t>18.加快建设安全高效的韧性城市</w:t>
      </w:r>
      <w:r>
        <w:rPr>
          <w:rFonts w:hint="eastAsia" w:ascii="仿宋_GB2312" w:hAnsi="仿宋_GB2312" w:eastAsia="仿宋_GB2312" w:cs="仿宋_GB2312"/>
          <w:b w:val="0"/>
          <w:bCs w:val="0"/>
          <w:color w:val="auto"/>
          <w:kern w:val="0"/>
          <w:sz w:val="32"/>
          <w:szCs w:val="32"/>
          <w:lang w:val="en-US" w:eastAsia="zh-CN" w:bidi="ar-SA"/>
        </w:rPr>
        <w:t>。发挥区应急智慧平台作用，构建自然灾害风险数据库，完善直达基层网格责任人的预警响应机制，提升应急救援处置数智化能力。实施气象灾害预报预警能力提升工程，推进区应急广播建设，完善灾害预警应急广播服务体系。</w:t>
      </w:r>
      <w:r>
        <w:rPr>
          <w:rFonts w:hint="eastAsia" w:ascii="仿宋_GB2312" w:hAnsi="仿宋_GB2312" w:eastAsia="仿宋_GB2312" w:cs="仿宋_GB2312"/>
          <w:b w:val="0"/>
          <w:bCs w:val="0"/>
          <w:color w:val="auto"/>
          <w:sz w:val="32"/>
          <w:szCs w:val="32"/>
          <w:lang w:val="en-US" w:eastAsia="zh-CN" w:bidi="ar-SA"/>
        </w:rPr>
        <w:t>打造电网数智化智能化示范场景，</w:t>
      </w:r>
      <w:r>
        <w:rPr>
          <w:rFonts w:hint="eastAsia" w:ascii="仿宋_GB2312" w:hAnsi="仿宋_GB2312" w:eastAsia="仿宋_GB2312" w:cs="仿宋_GB2312"/>
          <w:b w:val="0"/>
          <w:bCs w:val="0"/>
          <w:color w:val="auto"/>
          <w:kern w:val="0"/>
          <w:sz w:val="32"/>
          <w:szCs w:val="32"/>
          <w:lang w:val="en-US" w:eastAsia="zh-CN" w:bidi="ar-SA"/>
        </w:rPr>
        <w:t>强化</w:t>
      </w:r>
      <w:r>
        <w:rPr>
          <w:rFonts w:hint="eastAsia" w:ascii="仿宋_GB2312" w:hAnsi="仿宋_GB2312" w:eastAsia="仿宋_GB2312" w:cs="仿宋_GB2312"/>
          <w:b w:val="0"/>
          <w:bCs w:val="0"/>
          <w:color w:val="auto"/>
          <w:kern w:val="0"/>
          <w:sz w:val="32"/>
          <w:szCs w:val="32"/>
          <w:u w:val="none"/>
          <w:lang w:val="en-US" w:eastAsia="zh-CN"/>
        </w:rPr>
        <w:t>燃气</w:t>
      </w:r>
      <w:r>
        <w:rPr>
          <w:rFonts w:hint="eastAsia" w:ascii="仿宋_GB2312" w:hAnsi="仿宋_GB2312" w:eastAsia="仿宋_GB2312" w:cs="仿宋_GB2312"/>
          <w:b w:val="0"/>
          <w:bCs w:val="0"/>
          <w:color w:val="auto"/>
          <w:kern w:val="0"/>
          <w:sz w:val="32"/>
          <w:szCs w:val="32"/>
          <w:lang w:val="en-US" w:eastAsia="zh-CN" w:bidi="ar-SA"/>
        </w:rPr>
        <w:t>设备</w:t>
      </w:r>
      <w:r>
        <w:rPr>
          <w:rFonts w:hint="eastAsia" w:ascii="仿宋_GB2312" w:hAnsi="仿宋_GB2312" w:eastAsia="仿宋_GB2312" w:cs="仿宋_GB2312"/>
          <w:b w:val="0"/>
          <w:bCs w:val="0"/>
          <w:color w:val="auto"/>
          <w:kern w:val="0"/>
          <w:sz w:val="32"/>
          <w:szCs w:val="32"/>
          <w:u w:val="none"/>
          <w:lang w:val="en-US" w:eastAsia="zh-CN"/>
        </w:rPr>
        <w:t>、</w:t>
      </w:r>
      <w:r>
        <w:rPr>
          <w:rFonts w:hint="eastAsia" w:ascii="仿宋_GB2312" w:hAnsi="仿宋_GB2312" w:eastAsia="仿宋_GB2312" w:cs="仿宋_GB2312"/>
          <w:b w:val="0"/>
          <w:bCs w:val="0"/>
          <w:color w:val="auto"/>
          <w:kern w:val="0"/>
          <w:sz w:val="32"/>
          <w:szCs w:val="32"/>
          <w:u w:val="none"/>
        </w:rPr>
        <w:t>加油站</w:t>
      </w:r>
      <w:r>
        <w:rPr>
          <w:rFonts w:hint="eastAsia" w:ascii="仿宋_GB2312" w:hAnsi="仿宋_GB2312" w:eastAsia="仿宋_GB2312" w:cs="仿宋_GB2312"/>
          <w:b w:val="0"/>
          <w:bCs w:val="0"/>
          <w:color w:val="auto"/>
          <w:kern w:val="0"/>
          <w:sz w:val="32"/>
          <w:szCs w:val="32"/>
          <w:lang w:val="en-US" w:eastAsia="zh-CN" w:bidi="ar-SA"/>
        </w:rPr>
        <w:t>、人防工程</w:t>
      </w:r>
      <w:r>
        <w:rPr>
          <w:rFonts w:hint="eastAsia" w:ascii="仿宋_GB2312" w:hAnsi="仿宋_GB2312" w:eastAsia="仿宋_GB2312" w:cs="仿宋_GB2312"/>
          <w:b w:val="0"/>
          <w:bCs w:val="0"/>
          <w:color w:val="auto"/>
          <w:kern w:val="0"/>
          <w:sz w:val="32"/>
          <w:szCs w:val="32"/>
          <w:u w:val="none"/>
          <w:lang w:val="en-US" w:eastAsia="zh-CN"/>
        </w:rPr>
        <w:t>等重点领域智能化监控</w:t>
      </w:r>
      <w:r>
        <w:rPr>
          <w:rFonts w:hint="eastAsia" w:ascii="仿宋_GB2312" w:hAnsi="仿宋_GB2312" w:eastAsia="仿宋_GB2312" w:cs="仿宋_GB2312"/>
          <w:b w:val="0"/>
          <w:bCs w:val="0"/>
          <w:color w:val="auto"/>
          <w:kern w:val="0"/>
          <w:sz w:val="32"/>
          <w:szCs w:val="32"/>
          <w:lang w:val="en-US" w:eastAsia="zh-CN" w:bidi="ar-SA"/>
        </w:rPr>
        <w:t>，实施地下管网数智化改造，完善地下水监测系统，推动居民小区地下管线数字孪生技术应用场景建设。加强智慧平安小区等安防单元与网格化管理体系相融合，开展区公共安全视频联网应用，提升学校、医院、商超、景区等重点场所安全防控能力</w:t>
      </w:r>
      <w:r>
        <w:rPr>
          <w:rFonts w:hint="eastAsia" w:ascii="仿宋_GB2312" w:hAnsi="仿宋_GB2312" w:eastAsia="仿宋_GB2312" w:cs="仿宋_GB2312"/>
          <w:b w:val="0"/>
          <w:bCs w:val="0"/>
          <w:color w:val="auto"/>
          <w:kern w:val="0"/>
          <w:sz w:val="32"/>
          <w:szCs w:val="32"/>
          <w:u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hint="eastAsia" w:ascii="仿宋_GB2312" w:hAnsi="仿宋_GB2312" w:eastAsia="仿宋_GB2312" w:cs="仿宋_GB2312"/>
          <w:b/>
          <w:bCs/>
          <w:color w:val="auto"/>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19.深化</w:t>
      </w:r>
      <w:bookmarkStart w:id="303" w:name="突出显示"/>
      <w:r>
        <w:rPr>
          <w:rFonts w:hint="eastAsia" w:ascii="仿宋_GB2312" w:hAnsi="仿宋_GB2312" w:eastAsia="仿宋_GB2312" w:cs="仿宋_GB2312"/>
          <w:b/>
          <w:bCs/>
          <w:color w:val="auto"/>
          <w:kern w:val="2"/>
          <w:sz w:val="32"/>
          <w:szCs w:val="32"/>
          <w:lang w:val="en-US" w:eastAsia="zh-CN" w:bidi="ar-SA"/>
        </w:rPr>
        <w:t>首钢</w:t>
      </w:r>
      <w:bookmarkEnd w:id="303"/>
      <w:r>
        <w:rPr>
          <w:rFonts w:hint="eastAsia" w:ascii="仿宋_GB2312" w:hAnsi="仿宋_GB2312" w:eastAsia="仿宋_GB2312" w:cs="仿宋_GB2312"/>
          <w:b/>
          <w:bCs/>
          <w:color w:val="auto"/>
          <w:kern w:val="2"/>
          <w:sz w:val="32"/>
          <w:szCs w:val="32"/>
          <w:lang w:val="en-US" w:eastAsia="zh-CN" w:bidi="ar-SA"/>
        </w:rPr>
        <w:t>园数智园区建设。</w:t>
      </w:r>
      <w:r>
        <w:rPr>
          <w:rFonts w:hint="eastAsia" w:ascii="仿宋_GB2312" w:hAnsi="仿宋_GB2312" w:eastAsia="仿宋_GB2312" w:cs="仿宋_GB2312"/>
          <w:b w:val="0"/>
          <w:bCs w:val="0"/>
          <w:color w:val="auto"/>
          <w:kern w:val="2"/>
          <w:sz w:val="32"/>
          <w:szCs w:val="32"/>
          <w:lang w:val="en-US" w:eastAsia="zh-CN" w:bidi="ar-SA"/>
        </w:rPr>
        <w:t>完善数智中心平台</w:t>
      </w:r>
      <w:bookmarkStart w:id="304" w:name="突出显示"/>
      <w:r>
        <w:rPr>
          <w:rFonts w:hint="eastAsia" w:ascii="仿宋_GB2312" w:hAnsi="仿宋_GB2312" w:eastAsia="仿宋_GB2312" w:cs="仿宋_GB2312"/>
          <w:b w:val="0"/>
          <w:bCs w:val="0"/>
          <w:color w:val="auto"/>
          <w:kern w:val="2"/>
          <w:sz w:val="32"/>
          <w:szCs w:val="32"/>
          <w:lang w:val="en-US" w:eastAsia="zh-CN" w:bidi="ar-SA"/>
        </w:rPr>
        <w:t>首钢</w:t>
      </w:r>
      <w:bookmarkEnd w:id="304"/>
      <w:r>
        <w:rPr>
          <w:rFonts w:hint="eastAsia" w:ascii="仿宋_GB2312" w:hAnsi="仿宋_GB2312" w:eastAsia="仿宋_GB2312" w:cs="仿宋_GB2312"/>
          <w:b w:val="0"/>
          <w:bCs w:val="0"/>
          <w:color w:val="auto"/>
          <w:kern w:val="2"/>
          <w:sz w:val="32"/>
          <w:szCs w:val="32"/>
          <w:lang w:val="en-US" w:eastAsia="zh-CN" w:bidi="ar-SA"/>
        </w:rPr>
        <w:t>园专题，建立健全人、地、物、事、防、组织全要素台账，构建</w:t>
      </w:r>
      <w:bookmarkStart w:id="305" w:name="突出显示"/>
      <w:r>
        <w:rPr>
          <w:rFonts w:hint="eastAsia" w:ascii="仿宋_GB2312" w:hAnsi="仿宋_GB2312" w:eastAsia="仿宋_GB2312" w:cs="仿宋_GB2312"/>
          <w:b w:val="0"/>
          <w:bCs w:val="0"/>
          <w:color w:val="auto"/>
          <w:kern w:val="2"/>
          <w:sz w:val="32"/>
          <w:szCs w:val="32"/>
          <w:lang w:val="en-US" w:eastAsia="zh-CN" w:bidi="ar-SA"/>
        </w:rPr>
        <w:t>首钢</w:t>
      </w:r>
      <w:bookmarkEnd w:id="305"/>
      <w:r>
        <w:rPr>
          <w:rFonts w:hint="eastAsia" w:ascii="仿宋_GB2312" w:hAnsi="仿宋_GB2312" w:eastAsia="仿宋_GB2312" w:cs="仿宋_GB2312"/>
          <w:b w:val="0"/>
          <w:bCs w:val="0"/>
          <w:color w:val="auto"/>
          <w:kern w:val="2"/>
          <w:sz w:val="32"/>
          <w:szCs w:val="32"/>
          <w:lang w:val="en-US" w:eastAsia="zh-CN" w:bidi="ar-SA"/>
        </w:rPr>
        <w:t>园综合运营监测体系。打造重大活动保障、车路云服务等应用场景，融合安保、消防、医疗、交通等政企数据，数智技术赋能场馆运营全方位升级，健全园区一体化常态运营管理机制。加快推动零售商业设施改造升级，培育多元业态融合、优质资源集聚的标志性商圈，打造沉浸式、虚实融合的特色数字街区。</w:t>
      </w:r>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306" w:name="_Toc11595"/>
      <w:bookmarkStart w:id="307" w:name="_Toc16865"/>
      <w:bookmarkStart w:id="308" w:name="_Toc1332"/>
      <w:bookmarkStart w:id="309" w:name="_Toc62413992"/>
      <w:bookmarkStart w:id="310" w:name="_Toc18747"/>
      <w:bookmarkStart w:id="311" w:name="_Toc3862"/>
      <w:bookmarkStart w:id="312" w:name="_Toc8508"/>
      <w:bookmarkStart w:id="313" w:name="_Toc3931"/>
      <w:bookmarkStart w:id="314" w:name="_Toc25654"/>
      <w:bookmarkStart w:id="315" w:name="_Toc23747"/>
      <w:r>
        <w:rPr>
          <w:rFonts w:hint="eastAsia" w:ascii="楷体_GB2312" w:hAnsi="楷体" w:eastAsia="楷体_GB2312" w:cs="宋体"/>
          <w:b w:val="0"/>
          <w:bCs w:val="0"/>
          <w:color w:val="auto"/>
          <w:spacing w:val="2"/>
          <w:w w:val="99"/>
          <w:kern w:val="0"/>
          <w:sz w:val="32"/>
          <w:szCs w:val="32"/>
          <w:lang w:val="en-US" w:eastAsia="zh-CN" w:bidi="zh-CN"/>
        </w:rPr>
        <w:t>提升“普惠便捷”的公共服务新品质</w:t>
      </w:r>
      <w:bookmarkEnd w:id="306"/>
      <w:bookmarkEnd w:id="307"/>
      <w:bookmarkEnd w:id="308"/>
      <w:bookmarkEnd w:id="309"/>
      <w:bookmarkEnd w:id="310"/>
      <w:bookmarkEnd w:id="311"/>
      <w:bookmarkEnd w:id="312"/>
      <w:bookmarkEnd w:id="313"/>
      <w:bookmarkEnd w:id="314"/>
      <w:bookmarkEnd w:id="315"/>
    </w:p>
    <w:p>
      <w:pPr>
        <w:keepNext w:val="0"/>
        <w:keepLines w:val="0"/>
        <w:pageBreakBefore w:val="0"/>
        <w:widowControl w:val="0"/>
        <w:kinsoku/>
        <w:wordWrap w:val="0"/>
        <w:overflowPunct/>
        <w:topLinePunct w:val="0"/>
        <w:autoSpaceDE/>
        <w:autoSpaceDN/>
        <w:bidi w:val="0"/>
        <w:adjustRightInd/>
        <w:snapToGrid/>
        <w:spacing w:line="560" w:lineRule="exact"/>
        <w:ind w:left="0" w:firstLine="643" w:firstLineChars="200"/>
        <w:jc w:val="both"/>
        <w:textAlignment w:val="auto"/>
        <w:outlineLvl w:val="2"/>
        <w:rPr>
          <w:rFonts w:hint="eastAsia" w:ascii="仿宋_GB2312" w:hAnsi="仿宋_GB2312" w:eastAsia="仿宋_GB2312" w:cs="仿宋_GB2312"/>
          <w:b/>
          <w:bCs/>
          <w:color w:val="auto"/>
          <w:sz w:val="32"/>
          <w:szCs w:val="32"/>
          <w:highlight w:val="none"/>
          <w:lang w:val="en-US" w:eastAsia="zh-CN" w:bidi="ar-SA"/>
        </w:rPr>
      </w:pPr>
      <w:bookmarkStart w:id="316" w:name="_Toc8350"/>
      <w:r>
        <w:rPr>
          <w:rFonts w:hint="eastAsia" w:ascii="仿宋_GB2312" w:hAnsi="仿宋_GB2312" w:eastAsia="仿宋_GB2312" w:cs="仿宋_GB2312"/>
          <w:b/>
          <w:bCs/>
          <w:color w:val="auto"/>
          <w:sz w:val="32"/>
          <w:szCs w:val="32"/>
          <w:lang w:val="en-US" w:eastAsia="zh-CN" w:bidi="ar-SA"/>
        </w:rPr>
        <w:t>20.优化政务服务便民场景体验。</w:t>
      </w:r>
      <w:r>
        <w:rPr>
          <w:rFonts w:hint="eastAsia" w:ascii="仿宋_GB2312" w:hAnsi="仿宋_GB2312" w:eastAsia="仿宋_GB2312" w:cs="仿宋_GB2312"/>
          <w:b w:val="0"/>
          <w:bCs w:val="0"/>
          <w:color w:val="auto"/>
          <w:sz w:val="32"/>
          <w:szCs w:val="32"/>
          <w:lang w:val="en-US" w:eastAsia="zh-CN" w:bidi="ar-SA"/>
        </w:rPr>
        <w:t>深化行政审批制度改革，常态化推进“高效办成一件事”改革，推动更多体现区域特点的集成办事场景落地见效。推行</w:t>
      </w:r>
      <w:r>
        <w:rPr>
          <w:rFonts w:hint="eastAsia" w:ascii="仿宋_GB2312" w:hAnsi="仿宋_GB2312" w:eastAsia="仿宋_GB2312" w:cs="仿宋_GB2312"/>
          <w:b w:val="0"/>
          <w:bCs w:val="0"/>
          <w:color w:val="auto"/>
          <w:kern w:val="2"/>
          <w:sz w:val="32"/>
          <w:szCs w:val="32"/>
          <w:lang w:val="en-US" w:eastAsia="zh-CN" w:bidi="ar-SA"/>
        </w:rPr>
        <w:t>政务服务质效监测评价，推进高频事项网上办、掌上办、一次办，实现从网上可办向好办易办转变。丰富京通石景山</w:t>
      </w:r>
      <w:r>
        <w:rPr>
          <w:rFonts w:hint="eastAsia" w:ascii="仿宋_GB2312" w:hAnsi="仿宋_GB2312" w:eastAsia="仿宋_GB2312" w:cs="仿宋_GB2312"/>
          <w:b w:val="0"/>
          <w:bCs w:val="0"/>
          <w:color w:val="auto"/>
          <w:kern w:val="2"/>
          <w:sz w:val="32"/>
          <w:szCs w:val="32"/>
          <w:highlight w:val="none"/>
          <w:lang w:val="en-US" w:eastAsia="zh-CN" w:bidi="ar-SA"/>
        </w:rPr>
        <w:t>旗舰店</w:t>
      </w:r>
      <w:r>
        <w:rPr>
          <w:rFonts w:hint="eastAsia" w:ascii="仿宋_GB2312" w:hAnsi="仿宋_GB2312" w:eastAsia="仿宋_GB2312" w:cs="仿宋_GB2312"/>
          <w:b w:val="0"/>
          <w:bCs w:val="0"/>
          <w:color w:val="auto"/>
          <w:sz w:val="32"/>
          <w:szCs w:val="32"/>
          <w:highlight w:val="none"/>
          <w:lang w:val="en-US" w:eastAsia="zh-CN" w:bidi="ar-SA"/>
        </w:rPr>
        <w:t>服务</w:t>
      </w:r>
      <w:r>
        <w:rPr>
          <w:rFonts w:hint="eastAsia" w:ascii="仿宋_GB2312" w:hAnsi="仿宋_GB2312" w:eastAsia="仿宋_GB2312" w:cs="仿宋_GB2312"/>
          <w:b/>
          <w:bCs/>
          <w:color w:val="auto"/>
          <w:sz w:val="32"/>
          <w:szCs w:val="32"/>
          <w:lang w:val="en-US" w:eastAsia="zh-CN" w:bidi="ar-SA"/>
        </w:rPr>
        <w:t>，</w:t>
      </w:r>
      <w:r>
        <w:rPr>
          <w:rFonts w:hint="eastAsia" w:ascii="仿宋_GB2312" w:hAnsi="仿宋_GB2312" w:eastAsia="仿宋_GB2312" w:cs="仿宋_GB2312"/>
          <w:b w:val="0"/>
          <w:bCs w:val="0"/>
          <w:color w:val="auto"/>
          <w:sz w:val="32"/>
          <w:szCs w:val="32"/>
          <w:lang w:val="en-US" w:eastAsia="zh-CN" w:bidi="ar-SA"/>
        </w:rPr>
        <w:t>设立便民惠企服务专区，推进公共服务“一张图”建设，提升公共服务精准化、智能化水平。</w:t>
      </w:r>
      <w:r>
        <w:rPr>
          <w:rFonts w:hint="eastAsia" w:ascii="仿宋_GB2312" w:hAnsi="仿宋_GB2312" w:eastAsia="仿宋_GB2312" w:cs="仿宋_GB2312"/>
          <w:b w:val="0"/>
          <w:bCs w:val="0"/>
          <w:color w:val="auto"/>
          <w:sz w:val="32"/>
          <w:szCs w:val="32"/>
          <w:highlight w:val="none"/>
          <w:lang w:val="en-US" w:eastAsia="zh-CN" w:bidi="ar-SA"/>
        </w:rPr>
        <w:t>加快推进视频办事服务全域覆盖，创新“边聊边办”服务模式。深化电子证照“亮证即办”应用。</w:t>
      </w:r>
      <w:r>
        <w:rPr>
          <w:rFonts w:hint="eastAsia" w:ascii="仿宋_GB2312" w:hAnsi="仿宋_GB2312" w:eastAsia="仿宋_GB2312" w:cs="仿宋_GB2312"/>
          <w:b w:val="0"/>
          <w:bCs w:val="0"/>
          <w:color w:val="auto"/>
          <w:kern w:val="2"/>
          <w:sz w:val="32"/>
          <w:szCs w:val="32"/>
          <w:highlight w:val="none"/>
          <w:lang w:val="en-US" w:eastAsia="zh-CN" w:bidi="ar-SA"/>
        </w:rPr>
        <w:t>推动高频政务服务事项“同事同标”、资质互认和“跨省通办”，持续优化营商环境。</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21.</w:t>
      </w:r>
      <w:r>
        <w:rPr>
          <w:rFonts w:hint="eastAsia" w:ascii="仿宋_GB2312" w:hAnsi="仿宋_GB2312" w:eastAsia="仿宋_GB2312" w:cs="仿宋_GB2312"/>
          <w:b/>
          <w:bCs/>
          <w:color w:val="auto"/>
          <w:sz w:val="32"/>
          <w:szCs w:val="32"/>
          <w:lang w:val="en-US" w:eastAsia="zh-CN" w:bidi="ar-SA"/>
        </w:rPr>
        <w:t>丰富数智教育服务供给。</w:t>
      </w:r>
      <w:r>
        <w:rPr>
          <w:rFonts w:hint="eastAsia" w:ascii="仿宋_GB2312" w:hAnsi="仿宋_GB2312" w:eastAsia="仿宋_GB2312" w:cs="仿宋_GB2312"/>
          <w:b w:val="0"/>
          <w:bCs w:val="0"/>
          <w:color w:val="auto"/>
          <w:sz w:val="32"/>
          <w:szCs w:val="32"/>
          <w:lang w:val="en-US" w:eastAsia="zh-CN" w:bidi="ar-SA"/>
        </w:rPr>
        <w:t>实施教育数智化战略，</w:t>
      </w:r>
      <w:r>
        <w:rPr>
          <w:rFonts w:hint="eastAsia" w:ascii="仿宋_GB2312" w:hAnsi="仿宋_GB2312" w:eastAsia="仿宋_GB2312" w:cs="仿宋_GB2312"/>
          <w:color w:val="auto"/>
          <w:kern w:val="0"/>
          <w:sz w:val="32"/>
          <w:szCs w:val="32"/>
          <w:lang w:val="en-US" w:eastAsia="zh-CN" w:bidi="ar-SA"/>
        </w:rPr>
        <w:t>推进“数智校园+”行动。</w:t>
      </w:r>
      <w:r>
        <w:rPr>
          <w:rFonts w:hint="eastAsia" w:ascii="仿宋_GB2312" w:hAnsi="仿宋_GB2312" w:eastAsia="仿宋_GB2312" w:cs="仿宋_GB2312"/>
          <w:b w:val="0"/>
          <w:bCs w:val="0"/>
          <w:color w:val="auto"/>
          <w:sz w:val="32"/>
          <w:szCs w:val="32"/>
          <w:lang w:val="en-US" w:eastAsia="zh-CN" w:bidi="ar-SA"/>
        </w:rPr>
        <w:t>打造区级数智教育基座，构建“人、事、物”一体化数据归集与管理体系，</w:t>
      </w:r>
      <w:r>
        <w:rPr>
          <w:rFonts w:hint="eastAsia" w:ascii="仿宋_GB2312" w:hAnsi="仿宋_GB2312" w:eastAsia="仿宋_GB2312" w:cs="仿宋_GB2312"/>
          <w:color w:val="auto"/>
          <w:kern w:val="0"/>
          <w:sz w:val="32"/>
          <w:szCs w:val="32"/>
          <w:lang w:val="en-US" w:eastAsia="zh-CN" w:bidi="ar-SA"/>
        </w:rPr>
        <w:t>实现教师</w:t>
      </w:r>
      <w:r>
        <w:rPr>
          <w:rFonts w:hint="eastAsia" w:ascii="仿宋_GB2312" w:hAnsi="仿宋_GB2312" w:eastAsia="仿宋_GB2312" w:cs="仿宋_GB2312"/>
          <w:color w:val="auto"/>
          <w:kern w:val="2"/>
          <w:sz w:val="32"/>
          <w:szCs w:val="32"/>
          <w:lang w:val="en-US" w:eastAsia="zh-CN" w:bidi="ar-SA"/>
        </w:rPr>
        <w:t>、学生精准画像</w:t>
      </w:r>
      <w:r>
        <w:rPr>
          <w:rFonts w:hint="eastAsia" w:ascii="仿宋_GB2312" w:hAnsi="仿宋_GB2312" w:eastAsia="仿宋_GB2312" w:cs="仿宋_GB2312"/>
          <w:color w:val="auto"/>
          <w:kern w:val="0"/>
          <w:sz w:val="32"/>
          <w:szCs w:val="32"/>
          <w:lang w:val="en-US" w:eastAsia="zh-CN" w:bidi="ar-SA"/>
        </w:rPr>
        <w:t>，实现教育资源互联互通和安全共享</w:t>
      </w:r>
      <w:r>
        <w:rPr>
          <w:rFonts w:hint="eastAsia" w:ascii="仿宋_GB2312" w:hAnsi="仿宋_GB2312" w:eastAsia="仿宋_GB2312" w:cs="仿宋_GB2312"/>
          <w:color w:val="auto"/>
          <w:kern w:val="2"/>
          <w:sz w:val="32"/>
          <w:szCs w:val="32"/>
          <w:lang w:val="en-US" w:eastAsia="zh-CN" w:bidi="ar-SA"/>
        </w:rPr>
        <w:t>。建成数字教育资源平台，聚焦学位预测、招生入学、教学质量、办学资源布局等教育热点难点问题，推动数据驱动的教育科学决策和精准治理，支持校企合作开发教育应用场景</w:t>
      </w:r>
      <w:bookmarkEnd w:id="316"/>
      <w:bookmarkStart w:id="317" w:name="_Toc20063"/>
      <w:r>
        <w:rPr>
          <w:rFonts w:hint="eastAsia" w:ascii="仿宋_GB2312" w:hAnsi="仿宋_GB2312" w:eastAsia="仿宋_GB2312" w:cs="仿宋_GB2312"/>
          <w:color w:val="auto"/>
          <w:kern w:val="2"/>
          <w:sz w:val="32"/>
          <w:szCs w:val="32"/>
          <w:lang w:val="en-US" w:eastAsia="zh-CN" w:bidi="ar-SA"/>
        </w:rPr>
        <w:t>。</w:t>
      </w:r>
    </w:p>
    <w:bookmarkEnd w:id="317"/>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b w:val="0"/>
          <w:bCs w:val="0"/>
          <w:color w:val="auto"/>
          <w:sz w:val="32"/>
          <w:szCs w:val="32"/>
          <w:lang w:val="en-US" w:eastAsia="zh-CN" w:bidi="ar-SA"/>
        </w:rPr>
      </w:pPr>
      <w:bookmarkStart w:id="318" w:name="_Toc30911"/>
      <w:r>
        <w:rPr>
          <w:rFonts w:hint="eastAsia" w:ascii="仿宋_GB2312" w:hAnsi="仿宋_GB2312" w:eastAsia="仿宋_GB2312" w:cs="仿宋_GB2312"/>
          <w:b/>
          <w:bCs/>
          <w:color w:val="auto"/>
          <w:kern w:val="2"/>
          <w:sz w:val="32"/>
          <w:szCs w:val="32"/>
          <w:lang w:val="en-US" w:eastAsia="zh-CN" w:bidi="ar-SA"/>
        </w:rPr>
        <w:t>22.推动医疗服务数智化</w:t>
      </w:r>
      <w:r>
        <w:rPr>
          <w:rFonts w:hint="eastAsia" w:ascii="仿宋_GB2312" w:hAnsi="仿宋_GB2312" w:eastAsia="仿宋_GB2312" w:cs="仿宋_GB2312"/>
          <w:b/>
          <w:bCs/>
          <w:color w:val="auto"/>
          <w:kern w:val="0"/>
          <w:sz w:val="32"/>
          <w:szCs w:val="32"/>
          <w:lang w:val="en-US" w:eastAsia="zh-CN" w:bidi="ar-SA"/>
        </w:rPr>
        <w:t>变革。</w:t>
      </w:r>
      <w:r>
        <w:rPr>
          <w:rFonts w:hint="eastAsia" w:ascii="仿宋_GB2312" w:hAnsi="仿宋_GB2312" w:eastAsia="仿宋_GB2312" w:cs="仿宋_GB2312"/>
          <w:b w:val="0"/>
          <w:bCs w:val="0"/>
          <w:color w:val="auto"/>
          <w:kern w:val="0"/>
          <w:sz w:val="32"/>
          <w:szCs w:val="32"/>
          <w:lang w:val="en-US" w:eastAsia="zh-CN" w:bidi="ar-SA"/>
        </w:rPr>
        <w:t>推进全民健康数智化建设，联动</w:t>
      </w:r>
      <w:r>
        <w:rPr>
          <w:rFonts w:hint="eastAsia" w:ascii="仿宋_GB2312" w:hAnsi="仿宋_GB2312" w:eastAsia="仿宋_GB2312" w:cs="仿宋_GB2312"/>
          <w:color w:val="auto"/>
          <w:kern w:val="0"/>
          <w:sz w:val="32"/>
          <w:szCs w:val="32"/>
          <w:lang w:val="en-US" w:eastAsia="zh-CN" w:bidi="ar-SA"/>
        </w:rPr>
        <w:t>基层医院推动“三医”协同和跨部门数据共享。</w:t>
      </w:r>
      <w:r>
        <w:rPr>
          <w:rFonts w:hint="eastAsia" w:ascii="仿宋_GB2312" w:hAnsi="仿宋_GB2312" w:eastAsia="仿宋_GB2312" w:cs="仿宋_GB2312"/>
          <w:color w:val="auto"/>
          <w:sz w:val="32"/>
          <w:szCs w:val="32"/>
          <w:lang w:val="en-US" w:eastAsia="zh-CN" w:bidi="ar-SA"/>
        </w:rPr>
        <w:t>建设“数智家医”，完善家庭医生签约服务机制。</w:t>
      </w:r>
      <w:r>
        <w:rPr>
          <w:rFonts w:hint="eastAsia" w:ascii="仿宋_GB2312" w:hAnsi="仿宋_GB2312" w:eastAsia="仿宋_GB2312" w:cs="仿宋_GB2312"/>
          <w:color w:val="auto"/>
          <w:kern w:val="0"/>
          <w:sz w:val="32"/>
          <w:szCs w:val="32"/>
          <w:lang w:val="en-US" w:eastAsia="zh-CN" w:bidi="ar-SA"/>
        </w:rPr>
        <w:t>推进市区两级平台数据互联互通，</w:t>
      </w:r>
      <w:r>
        <w:rPr>
          <w:rFonts w:hint="eastAsia" w:ascii="仿宋_GB2312" w:hAnsi="仿宋_GB2312" w:eastAsia="仿宋_GB2312" w:cs="仿宋_GB2312"/>
          <w:color w:val="auto"/>
          <w:sz w:val="32"/>
          <w:szCs w:val="32"/>
          <w:lang w:val="en-US" w:eastAsia="zh-CN" w:bidi="ar-SA"/>
        </w:rPr>
        <w:t>规范</w:t>
      </w:r>
      <w:r>
        <w:rPr>
          <w:rFonts w:hint="eastAsia" w:ascii="仿宋_GB2312" w:hAnsi="仿宋_GB2312" w:eastAsia="仿宋_GB2312" w:cs="仿宋_GB2312"/>
          <w:color w:val="auto"/>
          <w:kern w:val="2"/>
          <w:sz w:val="32"/>
          <w:szCs w:val="32"/>
          <w:lang w:val="en-US" w:eastAsia="zh-CN" w:bidi="ar-SA"/>
        </w:rPr>
        <w:t>完善个人健康数据档案</w:t>
      </w:r>
      <w:r>
        <w:rPr>
          <w:rFonts w:hint="eastAsia" w:ascii="仿宋_GB2312" w:hAnsi="仿宋_GB2312" w:eastAsia="仿宋_GB2312" w:cs="仿宋_GB2312"/>
          <w:b w:val="0"/>
          <w:bCs w:val="0"/>
          <w:color w:val="auto"/>
          <w:kern w:val="0"/>
          <w:sz w:val="32"/>
          <w:szCs w:val="32"/>
          <w:lang w:val="en-US" w:eastAsia="zh-CN" w:bidi="ar-SA"/>
        </w:rPr>
        <w:t>，推动检查检验结果互认</w:t>
      </w:r>
      <w:r>
        <w:rPr>
          <w:rFonts w:hint="eastAsia" w:ascii="仿宋_GB2312" w:hAnsi="仿宋_GB2312" w:eastAsia="仿宋_GB2312" w:cs="仿宋_GB2312"/>
          <w:color w:val="auto"/>
          <w:kern w:val="0"/>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创新职业病监测、公共卫生事件预警、</w:t>
      </w:r>
      <w:r>
        <w:rPr>
          <w:rFonts w:hint="eastAsia" w:ascii="仿宋_GB2312" w:hAnsi="仿宋_GB2312" w:eastAsia="仿宋_GB2312" w:cs="仿宋_GB2312"/>
          <w:color w:val="auto"/>
          <w:sz w:val="32"/>
          <w:szCs w:val="32"/>
          <w:lang w:val="en-US" w:eastAsia="zh-CN" w:bidi="ar-SA"/>
        </w:rPr>
        <w:t>应急救治指挥、医疗物资调配</w:t>
      </w:r>
      <w:r>
        <w:rPr>
          <w:rFonts w:hint="eastAsia" w:ascii="仿宋_GB2312" w:hAnsi="仿宋_GB2312" w:eastAsia="仿宋_GB2312" w:cs="仿宋_GB2312"/>
          <w:color w:val="auto"/>
          <w:kern w:val="2"/>
          <w:sz w:val="32"/>
          <w:szCs w:val="32"/>
          <w:lang w:val="en-US" w:eastAsia="zh-CN" w:bidi="ar-SA"/>
        </w:rPr>
        <w:t>等数智化公共卫生应急管理体系</w:t>
      </w:r>
      <w:r>
        <w:rPr>
          <w:rFonts w:hint="eastAsia"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color w:val="auto"/>
          <w:kern w:val="0"/>
          <w:sz w:val="32"/>
          <w:szCs w:val="32"/>
          <w:lang w:val="en-US" w:eastAsia="zh-CN" w:bidi="ar-SA"/>
        </w:rPr>
        <w:t>建设医院一体化信息化系统，</w:t>
      </w:r>
      <w:r>
        <w:rPr>
          <w:rFonts w:hint="eastAsia" w:ascii="仿宋_GB2312" w:hAnsi="仿宋_GB2312" w:eastAsia="仿宋_GB2312" w:cs="仿宋_GB2312"/>
          <w:b w:val="0"/>
          <w:bCs w:val="0"/>
          <w:color w:val="auto"/>
          <w:kern w:val="0"/>
          <w:sz w:val="32"/>
          <w:szCs w:val="32"/>
          <w:lang w:val="en-US" w:eastAsia="zh-CN" w:bidi="ar-SA"/>
        </w:rPr>
        <w:t>发展互联网医疗和移动诊疗服务</w:t>
      </w:r>
      <w:r>
        <w:rPr>
          <w:rFonts w:hint="eastAsia" w:ascii="仿宋_GB2312" w:hAnsi="仿宋_GB2312" w:eastAsia="仿宋_GB2312" w:cs="仿宋_GB2312"/>
          <w:color w:val="auto"/>
          <w:sz w:val="32"/>
          <w:szCs w:val="32"/>
          <w:lang w:val="en-US" w:eastAsia="zh-CN" w:bidi="ar-SA"/>
        </w:rPr>
        <w:t>。</w:t>
      </w:r>
      <w:r>
        <w:rPr>
          <w:rFonts w:hint="eastAsia" w:ascii="仿宋_GB2312" w:hAnsi="仿宋_GB2312" w:eastAsia="仿宋_GB2312" w:cs="仿宋_GB2312"/>
          <w:b w:val="0"/>
          <w:bCs w:val="0"/>
          <w:color w:val="auto"/>
          <w:sz w:val="32"/>
          <w:szCs w:val="32"/>
          <w:lang w:val="en-US" w:eastAsia="zh-CN" w:bidi="ar-SA"/>
        </w:rPr>
        <w:t>建设区级长期护理数据专题库，建成长期护理数智化管理体系。</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23.提升</w:t>
      </w:r>
      <w:r>
        <w:rPr>
          <w:rFonts w:hint="eastAsia" w:ascii="仿宋_GB2312" w:hAnsi="仿宋_GB2312" w:eastAsia="仿宋_GB2312" w:cs="仿宋_GB2312"/>
          <w:b/>
          <w:bCs/>
          <w:color w:val="auto"/>
          <w:kern w:val="0"/>
          <w:sz w:val="32"/>
          <w:szCs w:val="32"/>
          <w:lang w:val="en-US" w:eastAsia="zh-CN" w:bidi="ar-SA"/>
        </w:rPr>
        <w:t>就业服务数智化水平。</w:t>
      </w:r>
      <w:r>
        <w:rPr>
          <w:rFonts w:hint="eastAsia" w:ascii="仿宋_GB2312" w:hAnsi="仿宋_GB2312" w:eastAsia="仿宋_GB2312" w:cs="仿宋_GB2312"/>
          <w:b w:val="0"/>
          <w:bCs w:val="0"/>
          <w:color w:val="auto"/>
          <w:kern w:val="0"/>
          <w:sz w:val="32"/>
          <w:szCs w:val="32"/>
          <w:lang w:val="en-US" w:eastAsia="zh-CN" w:bidi="ar-SA"/>
        </w:rPr>
        <w:t>聚焦高校大学生、登记失业人员等重点群体，整合就业（零工）驿站、零工市场及高校就业驿站资源，实现就业事项一体化办理、精准化服务、智能化监管。健全产业部门协同联动机制，建设区级就业数据调度指挥中枢，提升就业形势分析研判质效。推动“智慧人社”建设、社保“一卡通”服务、“社银合作”优化升级，提升社保经办服务质效。</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kern w:val="0"/>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24.丰富智慧</w:t>
      </w:r>
      <w:r>
        <w:rPr>
          <w:rFonts w:hint="eastAsia" w:ascii="仿宋_GB2312" w:hAnsi="仿宋_GB2312" w:eastAsia="仿宋_GB2312" w:cs="仿宋_GB2312"/>
          <w:b/>
          <w:bCs/>
          <w:color w:val="auto"/>
          <w:kern w:val="0"/>
          <w:sz w:val="32"/>
          <w:szCs w:val="32"/>
          <w:lang w:val="en-US" w:eastAsia="zh-CN" w:bidi="ar-SA"/>
        </w:rPr>
        <w:t>养老服务供给。</w:t>
      </w:r>
      <w:r>
        <w:rPr>
          <w:rFonts w:hint="eastAsia" w:ascii="仿宋_GB2312" w:hAnsi="仿宋_GB2312" w:eastAsia="仿宋_GB2312" w:cs="仿宋_GB2312"/>
          <w:color w:val="auto"/>
          <w:kern w:val="0"/>
          <w:sz w:val="32"/>
          <w:szCs w:val="32"/>
          <w:lang w:val="en-US" w:eastAsia="zh-CN" w:bidi="ar-SA"/>
        </w:rPr>
        <w:t>强化“就近精准”养老服务供给机制，加强公共设施适老化改造，发展智能终端产品和服务。打造智慧养老运营管理中枢，推动养老补贴发放、养老服务供给、行业监督管理全领域信息化建设。构建养老服务精准供给模型，推动养老服务供需精准对接匹配，持续开展“智慧助老”行动。</w:t>
      </w:r>
      <w:bookmarkEnd w:id="318"/>
      <w:bookmarkStart w:id="319" w:name="_Toc29218"/>
      <w:bookmarkStart w:id="320" w:name="_Toc30983"/>
    </w:p>
    <w:bookmarkEnd w:id="319"/>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b/>
          <w:bCs/>
          <w:color w:val="auto"/>
          <w:sz w:val="32"/>
          <w:szCs w:val="32"/>
          <w:lang w:val="en-US" w:eastAsia="zh-CN" w:bidi="ar-SA"/>
        </w:rPr>
      </w:pPr>
      <w:bookmarkStart w:id="321" w:name="_Toc2500"/>
      <w:r>
        <w:rPr>
          <w:rFonts w:hint="eastAsia" w:ascii="仿宋_GB2312" w:hAnsi="仿宋_GB2312" w:eastAsia="仿宋_GB2312" w:cs="仿宋_GB2312"/>
          <w:b/>
          <w:bCs/>
          <w:color w:val="auto"/>
          <w:kern w:val="2"/>
          <w:sz w:val="32"/>
          <w:szCs w:val="32"/>
          <w:lang w:val="en-US" w:eastAsia="zh-CN" w:bidi="ar-SA"/>
        </w:rPr>
        <w:t>25.激活数字消费场景活力</w:t>
      </w:r>
      <w:r>
        <w:rPr>
          <w:rFonts w:hint="eastAsia" w:ascii="仿宋_GB2312" w:hAnsi="仿宋_GB2312" w:eastAsia="仿宋_GB2312" w:cs="仿宋_GB2312"/>
          <w:color w:val="auto"/>
          <w:kern w:val="0"/>
          <w:sz w:val="32"/>
          <w:szCs w:val="32"/>
          <w:lang w:val="en-US" w:eastAsia="zh-CN" w:bidi="ar-SA"/>
        </w:rPr>
        <w:t>。加快推广智能穿戴、家庭服务机器人、无人配送等产品，培育智能文旅、智能医疗等智能消费服务业态。</w:t>
      </w:r>
      <w:bookmarkEnd w:id="320"/>
      <w:bookmarkEnd w:id="321"/>
      <w:bookmarkStart w:id="322" w:name="_Toc15972"/>
      <w:r>
        <w:rPr>
          <w:rFonts w:hint="eastAsia" w:ascii="仿宋_GB2312" w:hAnsi="仿宋_GB2312" w:eastAsia="仿宋_GB2312" w:cs="仿宋_GB2312"/>
          <w:color w:val="auto"/>
          <w:kern w:val="0"/>
          <w:sz w:val="32"/>
          <w:szCs w:val="32"/>
          <w:lang w:val="en-US" w:eastAsia="zh-CN" w:bidi="ar-SA"/>
        </w:rPr>
        <w:t>依托商圈、景区、文化空间、SoReal科幻乐园、融石广场等空间，创建一批“科幻+”等多元消费新场景。鼓励建设智慧商店、智慧街区、智慧商圈，增加健康、养老、医疗、文化、教育以及安全等领域数字消费的有效供给。</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uppressAutoHyphens/>
        <w:kinsoku/>
        <w:wordWrap w:val="0"/>
        <w:overflowPunct/>
        <w:topLinePunct w:val="0"/>
        <w:autoSpaceDE/>
        <w:autoSpaceDN/>
        <w:bidi w:val="0"/>
        <w:adjustRightInd/>
        <w:snapToGrid/>
        <w:spacing w:line="560" w:lineRule="exact"/>
        <w:ind w:left="0" w:firstLine="643" w:firstLineChars="200"/>
        <w:textAlignment w:val="auto"/>
        <w:outlineLvl w:val="2"/>
        <w:rPr>
          <w:rFonts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bCs/>
          <w:color w:val="auto"/>
          <w:kern w:val="2"/>
          <w:sz w:val="32"/>
          <w:szCs w:val="32"/>
          <w:lang w:val="en-US" w:eastAsia="zh-CN" w:bidi="ar-SA"/>
        </w:rPr>
        <w:t>26.打造数智</w:t>
      </w:r>
      <w:r>
        <w:rPr>
          <w:rFonts w:hint="eastAsia" w:ascii="仿宋_GB2312" w:hAnsi="仿宋_GB2312" w:eastAsia="仿宋_GB2312" w:cs="仿宋_GB2312"/>
          <w:b/>
          <w:bCs/>
          <w:color w:val="auto"/>
          <w:kern w:val="0"/>
          <w:sz w:val="32"/>
          <w:szCs w:val="32"/>
          <w:lang w:val="en-US" w:eastAsia="zh-CN" w:bidi="ar-SA"/>
        </w:rPr>
        <w:t>文旅体验高地。</w:t>
      </w:r>
      <w:r>
        <w:rPr>
          <w:rFonts w:hint="eastAsia" w:ascii="仿宋_GB2312" w:hAnsi="仿宋_GB2312" w:eastAsia="仿宋_GB2312" w:cs="仿宋_GB2312"/>
          <w:b w:val="0"/>
          <w:bCs w:val="0"/>
          <w:color w:val="auto"/>
          <w:sz w:val="32"/>
          <w:szCs w:val="32"/>
          <w:lang w:val="en-US" w:eastAsia="zh-CN"/>
        </w:rPr>
        <w:t>完善文物点位安防监控，开展文物数字化采集、修复、检测。建立健全非遗数据库，推动</w:t>
      </w:r>
      <w:r>
        <w:rPr>
          <w:rFonts w:hint="eastAsia" w:ascii="仿宋_GB2312" w:hAnsi="仿宋_GB2312" w:eastAsia="仿宋_GB2312" w:cs="仿宋_GB2312"/>
          <w:color w:val="auto"/>
          <w:kern w:val="0"/>
          <w:sz w:val="32"/>
          <w:szCs w:val="32"/>
          <w:lang w:val="en-US" w:eastAsia="zh-CN" w:bidi="ar-SA"/>
        </w:rPr>
        <w:t>文博数据资源开放开发，</w:t>
      </w:r>
      <w:r>
        <w:rPr>
          <w:rFonts w:hint="eastAsia" w:ascii="仿宋_GB2312" w:hAnsi="仿宋_GB2312" w:eastAsia="仿宋_GB2312" w:cs="仿宋_GB2312"/>
          <w:b w:val="0"/>
          <w:bCs w:val="0"/>
          <w:color w:val="auto"/>
          <w:sz w:val="32"/>
          <w:szCs w:val="32"/>
          <w:lang w:val="en-US" w:eastAsia="zh-CN"/>
        </w:rPr>
        <w:t>推动文博领域IP的保护、价值转化及市场拓展，提升全媒体生产传播数智化水平</w:t>
      </w:r>
      <w:r>
        <w:rPr>
          <w:rFonts w:hint="eastAsia" w:ascii="仿宋_GB2312" w:hAnsi="仿宋_GB2312" w:eastAsia="仿宋_GB2312" w:cs="仿宋_GB2312"/>
          <w:color w:val="auto"/>
          <w:kern w:val="0"/>
          <w:sz w:val="32"/>
          <w:szCs w:val="32"/>
          <w:lang w:val="en-US" w:eastAsia="zh-CN" w:bidi="ar-SA"/>
        </w:rPr>
        <w:t>。</w:t>
      </w:r>
      <w:r>
        <w:rPr>
          <w:rFonts w:hint="eastAsia" w:ascii="仿宋_GB2312" w:hAnsi="仿宋_GB2312" w:eastAsia="仿宋_GB2312" w:cs="仿宋_GB2312"/>
          <w:b w:val="0"/>
          <w:bCs w:val="0"/>
          <w:color w:val="auto"/>
          <w:sz w:val="32"/>
          <w:szCs w:val="32"/>
          <w:lang w:val="en-US" w:eastAsia="zh-CN"/>
        </w:rPr>
        <w:t>打造智慧公共文化空间，推动公共文化设施场馆智能化更新升级，运营好24小时智能书柜，优化“石景山文E”服务功能，完善群众文化需求征集和反馈机制</w:t>
      </w:r>
      <w:r>
        <w:rPr>
          <w:rFonts w:hint="eastAsia" w:ascii="仿宋_GB2312" w:hAnsi="仿宋_GB2312" w:eastAsia="仿宋_GB2312" w:cs="仿宋_GB2312"/>
          <w:color w:val="auto"/>
          <w:sz w:val="32"/>
          <w:szCs w:val="32"/>
          <w:lang w:val="en-US" w:eastAsia="zh-CN" w:bidi="ar-SA"/>
        </w:rPr>
        <w:t>。挖掘双奥之区、百年首钢、西山永定河文化带等</w:t>
      </w:r>
      <w:r>
        <w:rPr>
          <w:rFonts w:hint="eastAsia" w:ascii="仿宋_GB2312" w:hAnsi="仿宋_GB2312" w:eastAsia="仿宋_GB2312" w:cs="仿宋_GB2312"/>
          <w:b w:val="0"/>
          <w:bCs w:val="0"/>
          <w:color w:val="auto"/>
          <w:kern w:val="0"/>
          <w:sz w:val="32"/>
          <w:szCs w:val="32"/>
          <w:lang w:val="en-US" w:eastAsia="zh-CN" w:bidi="ar-SA"/>
        </w:rPr>
        <w:t>文化名片内涵，</w:t>
      </w:r>
      <w:r>
        <w:rPr>
          <w:rFonts w:hint="eastAsia" w:ascii="仿宋_GB2312" w:hAnsi="仿宋_GB2312" w:eastAsia="仿宋_GB2312" w:cs="仿宋_GB2312"/>
          <w:b w:val="0"/>
          <w:bCs w:val="0"/>
          <w:color w:val="auto"/>
          <w:sz w:val="32"/>
          <w:szCs w:val="32"/>
          <w:lang w:val="en-US" w:eastAsia="zh-CN"/>
        </w:rPr>
        <w:t>结合</w:t>
      </w:r>
      <w:r>
        <w:rPr>
          <w:rFonts w:hint="eastAsia" w:ascii="仿宋_GB2312" w:hAnsi="仿宋_GB2312" w:eastAsia="仿宋_GB2312" w:cs="仿宋_GB2312"/>
          <w:color w:val="auto"/>
          <w:kern w:val="0"/>
          <w:sz w:val="32"/>
          <w:szCs w:val="32"/>
          <w:lang w:val="en-US" w:eastAsia="zh-CN" w:bidi="ar-SA"/>
        </w:rPr>
        <w:t>北京未来数字空间创新试验区</w:t>
      </w:r>
      <w:r>
        <w:rPr>
          <w:rFonts w:hint="eastAsia" w:ascii="仿宋_GB2312" w:hAnsi="仿宋_GB2312" w:eastAsia="仿宋_GB2312" w:cs="仿宋_GB2312"/>
          <w:b w:val="0"/>
          <w:bCs w:val="0"/>
          <w:color w:val="auto"/>
          <w:sz w:val="32"/>
          <w:szCs w:val="32"/>
          <w:lang w:val="en-US" w:eastAsia="zh-CN"/>
        </w:rPr>
        <w:t>建设，培育壮大新型文化业态。</w:t>
      </w:r>
    </w:p>
    <w:bookmarkEnd w:id="322"/>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kern w:val="0"/>
          <w:sz w:val="32"/>
          <w:szCs w:val="32"/>
          <w:lang w:val="en-US" w:eastAsia="zh-CN" w:bidi="ar-SA"/>
        </w:rPr>
      </w:pPr>
      <w:bookmarkStart w:id="323" w:name="_Toc13537"/>
      <w:r>
        <w:rPr>
          <w:rFonts w:hint="eastAsia" w:ascii="仿宋_GB2312" w:hAnsi="仿宋_GB2312" w:eastAsia="仿宋_GB2312" w:cs="仿宋_GB2312"/>
          <w:b/>
          <w:bCs/>
          <w:color w:val="auto"/>
          <w:kern w:val="2"/>
          <w:sz w:val="32"/>
          <w:szCs w:val="32"/>
          <w:lang w:val="en-US" w:eastAsia="zh-CN" w:bidi="ar-SA"/>
        </w:rPr>
        <w:t>27.深化交通</w:t>
      </w:r>
      <w:r>
        <w:rPr>
          <w:rFonts w:hint="eastAsia" w:ascii="仿宋_GB2312" w:hAnsi="仿宋_GB2312" w:eastAsia="仿宋_GB2312" w:cs="仿宋_GB2312"/>
          <w:b/>
          <w:bCs/>
          <w:color w:val="auto"/>
          <w:kern w:val="0"/>
          <w:sz w:val="32"/>
          <w:szCs w:val="32"/>
          <w:lang w:val="en-US" w:eastAsia="zh-CN" w:bidi="ar-SA"/>
        </w:rPr>
        <w:t>出行服务场景。</w:t>
      </w:r>
      <w:bookmarkEnd w:id="323"/>
      <w:bookmarkStart w:id="324" w:name="_Toc15075"/>
      <w:r>
        <w:rPr>
          <w:rFonts w:hint="eastAsia" w:ascii="仿宋_GB2312" w:hAnsi="仿宋_GB2312" w:eastAsia="仿宋_GB2312" w:cs="仿宋_GB2312"/>
          <w:color w:val="auto"/>
          <w:kern w:val="0"/>
          <w:sz w:val="32"/>
          <w:szCs w:val="32"/>
          <w:lang w:val="en-US" w:eastAsia="zh-CN" w:bidi="ar-SA"/>
        </w:rPr>
        <w:t>升级优化区级静态交通智慧管理平台，加强智慧信控、智慧养护等场景应用，实现交通出行态势全流程监测、精准分析及科学预判。开展</w:t>
      </w:r>
      <w:r>
        <w:rPr>
          <w:rFonts w:hint="eastAsia" w:ascii="仿宋_GB2312" w:hAnsi="仿宋_GB2312" w:eastAsia="仿宋_GB2312" w:cs="仿宋_GB2312"/>
          <w:color w:val="auto"/>
          <w:sz w:val="32"/>
          <w:szCs w:val="32"/>
          <w:lang w:val="en-US" w:eastAsia="zh-CN" w:bidi="ar-SA"/>
        </w:rPr>
        <w:t>停车场数智化改造，提供预约停车、共享车位等便民服务，实现</w:t>
      </w:r>
      <w:r>
        <w:rPr>
          <w:rFonts w:hint="eastAsia" w:ascii="仿宋_GB2312" w:hAnsi="仿宋_GB2312" w:eastAsia="仿宋_GB2312" w:cs="仿宋_GB2312"/>
          <w:snapToGrid/>
          <w:color w:val="auto"/>
          <w:kern w:val="2"/>
          <w:sz w:val="32"/>
          <w:szCs w:val="32"/>
          <w:lang w:val="en-US" w:eastAsia="zh-CN" w:bidi="ar-SA"/>
        </w:rPr>
        <w:t>停车资源整合共享、动态监测及优化配置</w:t>
      </w:r>
      <w:r>
        <w:rPr>
          <w:rFonts w:hint="eastAsia" w:ascii="仿宋_GB2312" w:hAnsi="仿宋_GB2312" w:eastAsia="仿宋_GB2312" w:cs="仿宋_GB2312"/>
          <w:color w:val="auto"/>
          <w:sz w:val="32"/>
          <w:szCs w:val="32"/>
          <w:lang w:val="en-US" w:eastAsia="zh-CN" w:bidi="ar-SA"/>
        </w:rPr>
        <w:t>。</w:t>
      </w:r>
      <w:r>
        <w:rPr>
          <w:rFonts w:ascii="仿宋_GB2312" w:hAnsi="仿宋_GB2312" w:eastAsia="仿宋_GB2312" w:cs="仿宋_GB2312"/>
          <w:color w:val="auto"/>
          <w:kern w:val="0"/>
          <w:sz w:val="32"/>
          <w:szCs w:val="32"/>
          <w:lang w:val="en-US" w:eastAsia="zh-CN" w:bidi="ar-SA"/>
        </w:rPr>
        <w:t>拓展高级别自动驾驶应用场景建设</w:t>
      </w:r>
      <w:r>
        <w:rPr>
          <w:rFonts w:hint="eastAsia" w:ascii="仿宋_GB2312" w:hAnsi="仿宋_GB2312" w:eastAsia="仿宋_GB2312" w:cs="仿宋_GB2312"/>
          <w:snapToGrid/>
          <w:color w:val="auto"/>
          <w:kern w:val="2"/>
          <w:sz w:val="32"/>
          <w:szCs w:val="32"/>
          <w:lang w:val="en-US" w:eastAsia="zh-CN" w:bidi="ar-SA"/>
        </w:rPr>
        <w:t>，推动智能网联汽车与通信、交通、人工智能等关键领域深度融合发展，加快构建交通出行数智化生态体系。</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28.加强智慧</w:t>
      </w:r>
      <w:r>
        <w:rPr>
          <w:rFonts w:hint="eastAsia" w:ascii="仿宋_GB2312" w:hAnsi="仿宋_GB2312" w:eastAsia="仿宋_GB2312" w:cs="仿宋_GB2312"/>
          <w:b/>
          <w:bCs/>
          <w:color w:val="auto"/>
          <w:kern w:val="0"/>
          <w:sz w:val="32"/>
          <w:szCs w:val="32"/>
          <w:lang w:val="en-US" w:eastAsia="zh-CN" w:bidi="ar-SA"/>
        </w:rPr>
        <w:t>社区服务建设。</w:t>
      </w:r>
      <w:r>
        <w:rPr>
          <w:rFonts w:hint="eastAsia" w:ascii="仿宋_GB2312" w:hAnsi="仿宋_GB2312" w:eastAsia="仿宋_GB2312" w:cs="仿宋_GB2312"/>
          <w:color w:val="auto"/>
          <w:sz w:val="32"/>
          <w:szCs w:val="32"/>
          <w:lang w:val="en-US" w:eastAsia="zh-CN" w:bidi="ar-SA"/>
        </w:rPr>
        <w:t>推进</w:t>
      </w:r>
      <w:r>
        <w:rPr>
          <w:rFonts w:hint="eastAsia" w:ascii="仿宋_GB2312" w:hAnsi="仿宋_GB2312" w:eastAsia="仿宋_GB2312" w:cs="仿宋_GB2312"/>
          <w:b w:val="0"/>
          <w:bCs w:val="0"/>
          <w:color w:val="auto"/>
          <w:sz w:val="32"/>
          <w:szCs w:val="32"/>
          <w:lang w:val="en-US" w:eastAsia="zh-CN" w:bidi="ar-SA"/>
        </w:rPr>
        <w:t>社区开展综合服务设施数智化和适老化改造，推动智能终端全面普及，扩大智能感知设施和技术应用场景建设。</w:t>
      </w:r>
      <w:r>
        <w:rPr>
          <w:rFonts w:hint="eastAsia" w:ascii="仿宋_GB2312" w:hAnsi="仿宋_GB2312" w:eastAsia="仿宋_GB2312" w:cs="仿宋_GB2312"/>
          <w:color w:val="auto"/>
          <w:kern w:val="0"/>
          <w:sz w:val="32"/>
          <w:szCs w:val="32"/>
          <w:lang w:val="en-US" w:eastAsia="zh-CN" w:bidi="ar-SA"/>
        </w:rPr>
        <w:t>加强公共数据与物业、家政等社会数据融合，促进</w:t>
      </w:r>
      <w:r>
        <w:rPr>
          <w:rFonts w:hint="eastAsia" w:ascii="仿宋_GB2312" w:hAnsi="仿宋_GB2312" w:eastAsia="仿宋_GB2312" w:cs="仿宋_GB2312"/>
          <w:color w:val="auto"/>
          <w:sz w:val="32"/>
          <w:szCs w:val="32"/>
          <w:lang w:val="en-US" w:eastAsia="zh-CN" w:bidi="ar-SA"/>
        </w:rPr>
        <w:t>老年人、残疾人等</w:t>
      </w:r>
      <w:r>
        <w:rPr>
          <w:rFonts w:hint="eastAsia" w:ascii="仿宋_GB2312" w:hAnsi="仿宋_GB2312" w:eastAsia="仿宋_GB2312" w:cs="仿宋_GB2312"/>
          <w:b w:val="0"/>
          <w:bCs w:val="0"/>
          <w:color w:val="auto"/>
          <w:sz w:val="32"/>
          <w:szCs w:val="32"/>
          <w:lang w:val="en-US" w:eastAsia="zh-CN" w:bidi="ar-SA"/>
        </w:rPr>
        <w:t>关爱群体</w:t>
      </w:r>
      <w:r>
        <w:rPr>
          <w:rFonts w:hint="eastAsia" w:ascii="仿宋_GB2312" w:hAnsi="仿宋_GB2312" w:eastAsia="仿宋_GB2312" w:cs="仿宋_GB2312"/>
          <w:color w:val="auto"/>
          <w:sz w:val="32"/>
          <w:szCs w:val="32"/>
          <w:lang w:val="en-US" w:eastAsia="zh-CN" w:bidi="ar-SA"/>
        </w:rPr>
        <w:t>与社区党员、社会志愿者等人员的精准匹配，提升社区服务精准化水平。</w:t>
      </w:r>
      <w:r>
        <w:rPr>
          <w:rFonts w:hint="eastAsia" w:ascii="仿宋_GB2312" w:hAnsi="仿宋_GB2312" w:eastAsia="仿宋_GB2312" w:cs="仿宋_GB2312"/>
          <w:b w:val="0"/>
          <w:bCs w:val="0"/>
          <w:color w:val="auto"/>
          <w:sz w:val="32"/>
          <w:szCs w:val="32"/>
          <w:lang w:val="en-US" w:eastAsia="zh-CN" w:bidi="ar-SA"/>
        </w:rPr>
        <w:t>支持企业发展智能监控、智能安防、智能家居、智能穿戴等新一代智能终端，打造家庭一体化全场景覆盖的智能交互环境。</w:t>
      </w:r>
      <w:bookmarkEnd w:id="324"/>
      <w:r>
        <w:rPr>
          <w:rFonts w:hint="eastAsia" w:ascii="仿宋_GB2312" w:hAnsi="仿宋_GB2312" w:eastAsia="仿宋_GB2312" w:cs="仿宋_GB2312"/>
          <w:color w:val="auto"/>
          <w:sz w:val="32"/>
          <w:szCs w:val="32"/>
          <w:lang w:val="en-US" w:eastAsia="zh-CN" w:bidi="ar-SA"/>
        </w:rPr>
        <w:t>推动“一刻钟便民生活圈”扩围升级，构建数智便民服务圈。</w:t>
      </w:r>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325" w:name="_Toc16112"/>
      <w:bookmarkStart w:id="326" w:name="_Toc19768"/>
      <w:bookmarkStart w:id="327" w:name="_Toc15827"/>
      <w:bookmarkStart w:id="328" w:name="_Toc13614"/>
      <w:bookmarkStart w:id="329" w:name="_Toc22288"/>
      <w:bookmarkStart w:id="330" w:name="_Toc23740"/>
      <w:bookmarkStart w:id="331" w:name="_Toc31712"/>
      <w:bookmarkStart w:id="332" w:name="_Toc908"/>
      <w:bookmarkStart w:id="333" w:name="_Toc32350"/>
      <w:bookmarkStart w:id="334" w:name="_Toc62413993"/>
      <w:r>
        <w:rPr>
          <w:rFonts w:hint="eastAsia" w:ascii="楷体_GB2312" w:hAnsi="楷体" w:eastAsia="楷体_GB2312" w:cs="宋体"/>
          <w:b w:val="0"/>
          <w:bCs w:val="0"/>
          <w:color w:val="auto"/>
          <w:spacing w:val="2"/>
          <w:w w:val="99"/>
          <w:kern w:val="0"/>
          <w:sz w:val="32"/>
          <w:szCs w:val="32"/>
          <w:lang w:val="en-US" w:eastAsia="zh-CN" w:bidi="zh-CN"/>
        </w:rPr>
        <w:t>建设“双化协同”的生态环境新</w:t>
      </w:r>
      <w:bookmarkEnd w:id="325"/>
      <w:r>
        <w:rPr>
          <w:rFonts w:hint="eastAsia" w:ascii="楷体_GB2312" w:hAnsi="楷体" w:eastAsia="楷体_GB2312" w:cs="宋体"/>
          <w:b w:val="0"/>
          <w:bCs w:val="0"/>
          <w:color w:val="auto"/>
          <w:spacing w:val="2"/>
          <w:w w:val="99"/>
          <w:kern w:val="0"/>
          <w:sz w:val="32"/>
          <w:szCs w:val="32"/>
          <w:lang w:val="en-US" w:eastAsia="zh-CN" w:bidi="zh-CN"/>
        </w:rPr>
        <w:t>高地</w:t>
      </w:r>
      <w:bookmarkEnd w:id="326"/>
      <w:bookmarkEnd w:id="327"/>
      <w:bookmarkEnd w:id="328"/>
      <w:bookmarkEnd w:id="329"/>
      <w:bookmarkEnd w:id="330"/>
      <w:bookmarkEnd w:id="331"/>
      <w:bookmarkEnd w:id="332"/>
      <w:bookmarkEnd w:id="333"/>
      <w:bookmarkEnd w:id="334"/>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kern w:val="0"/>
          <w:sz w:val="32"/>
          <w:szCs w:val="32"/>
          <w:lang w:val="en-US" w:eastAsia="zh-CN" w:bidi="ar-SA"/>
        </w:rPr>
      </w:pPr>
      <w:bookmarkStart w:id="335" w:name="_Toc2933"/>
      <w:bookmarkStart w:id="336" w:name="_Toc30645"/>
      <w:bookmarkStart w:id="337" w:name="_Toc4662"/>
      <w:bookmarkStart w:id="338" w:name="_Toc30694"/>
      <w:bookmarkStart w:id="339" w:name="_Toc15605"/>
      <w:bookmarkStart w:id="340" w:name="_Toc4750"/>
      <w:r>
        <w:rPr>
          <w:rFonts w:hint="eastAsia" w:ascii="仿宋_GB2312" w:hAnsi="仿宋_GB2312" w:eastAsia="仿宋_GB2312" w:cs="仿宋_GB2312"/>
          <w:b/>
          <w:bCs/>
          <w:color w:val="auto"/>
          <w:kern w:val="0"/>
          <w:sz w:val="32"/>
          <w:szCs w:val="32"/>
          <w:lang w:val="en-US" w:eastAsia="zh-CN" w:bidi="ar-SA"/>
        </w:rPr>
        <w:t>29.健全生态建设数智化体系。</w:t>
      </w:r>
      <w:bookmarkEnd w:id="335"/>
      <w:bookmarkEnd w:id="336"/>
      <w:r>
        <w:rPr>
          <w:rFonts w:hint="eastAsia" w:ascii="仿宋_GB2312" w:hAnsi="仿宋_GB2312" w:eastAsia="仿宋_GB2312" w:cs="仿宋_GB2312"/>
          <w:color w:val="auto"/>
          <w:kern w:val="0"/>
          <w:sz w:val="32"/>
          <w:szCs w:val="32"/>
          <w:lang w:val="en-US" w:eastAsia="zh-CN" w:bidi="ar-SA"/>
        </w:rPr>
        <w:t>以提升生态环境质量指数（EI）为核心，推进城市生态站建设，实现生态建设与城市发展融合。在永定河森林休闲公园、首钢园、南马场水库等关键区域布设监测网络。掌握石景山区重点类群物种多样性的动态变化情况，建立石景山区生物多样性数据集。</w:t>
      </w:r>
      <w:r>
        <w:rPr>
          <w:rFonts w:hint="eastAsia" w:ascii="仿宋_GB2312" w:hAnsi="仿宋_GB2312" w:eastAsia="仿宋_GB2312" w:cs="仿宋_GB2312"/>
          <w:color w:val="auto"/>
          <w:sz w:val="32"/>
          <w:szCs w:val="32"/>
          <w:lang w:bidi="zh-CN"/>
        </w:rPr>
        <w:t>建设智慧园林平台</w:t>
      </w:r>
      <w:r>
        <w:rPr>
          <w:rFonts w:hint="eastAsia" w:ascii="仿宋_GB2312" w:hAnsi="仿宋_GB2312" w:eastAsia="仿宋_GB2312" w:cs="仿宋_GB2312"/>
          <w:color w:val="auto"/>
          <w:sz w:val="32"/>
          <w:szCs w:val="32"/>
          <w:lang w:val="en-US" w:eastAsia="zh-CN" w:bidi="ar-SA"/>
        </w:rPr>
        <w:t>。推进公园数字化改</w:t>
      </w:r>
      <w:r>
        <w:rPr>
          <w:rFonts w:hint="eastAsia" w:ascii="仿宋_GB2312" w:hAnsi="仿宋_GB2312" w:eastAsia="仿宋_GB2312" w:cs="仿宋_GB2312"/>
          <w:color w:val="auto"/>
          <w:kern w:val="0"/>
          <w:sz w:val="32"/>
          <w:szCs w:val="32"/>
          <w:lang w:val="en-US" w:eastAsia="zh-CN" w:bidi="ar-SA"/>
        </w:rPr>
        <w:t>造，融合自然山水、古道村落与文创资源。</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color w:val="auto"/>
          <w:sz w:val="32"/>
          <w:szCs w:val="32"/>
          <w:lang w:val="en-US" w:eastAsia="zh-CN" w:bidi="ar-SA"/>
        </w:rPr>
      </w:pPr>
      <w:bookmarkStart w:id="341" w:name="_Toc5177"/>
      <w:bookmarkStart w:id="342" w:name="_Toc11740"/>
      <w:r>
        <w:rPr>
          <w:rFonts w:hint="eastAsia" w:ascii="仿宋_GB2312" w:hAnsi="仿宋_GB2312" w:eastAsia="仿宋_GB2312" w:cs="仿宋_GB2312"/>
          <w:b/>
          <w:bCs/>
          <w:color w:val="auto"/>
          <w:kern w:val="2"/>
          <w:sz w:val="32"/>
          <w:szCs w:val="32"/>
          <w:lang w:val="en-US" w:eastAsia="zh-CN" w:bidi="ar-SA"/>
        </w:rPr>
        <w:t>30.</w:t>
      </w:r>
      <w:r>
        <w:rPr>
          <w:rFonts w:hint="eastAsia" w:ascii="仿宋_GB2312" w:hAnsi="仿宋_GB2312" w:eastAsia="仿宋_GB2312" w:cs="仿宋_GB2312"/>
          <w:b/>
          <w:bCs/>
          <w:color w:val="auto"/>
          <w:kern w:val="0"/>
          <w:sz w:val="32"/>
          <w:szCs w:val="32"/>
          <w:lang w:val="en-US" w:eastAsia="zh-CN" w:bidi="ar-SA"/>
        </w:rPr>
        <w:t>提高生态监管智能化水平。</w:t>
      </w:r>
      <w:bookmarkEnd w:id="337"/>
      <w:bookmarkEnd w:id="338"/>
      <w:bookmarkEnd w:id="339"/>
      <w:bookmarkEnd w:id="340"/>
      <w:bookmarkEnd w:id="341"/>
      <w:bookmarkEnd w:id="342"/>
      <w:r>
        <w:rPr>
          <w:rFonts w:hint="eastAsia" w:ascii="仿宋_GB2312" w:hAnsi="仿宋_GB2312" w:eastAsia="仿宋_GB2312" w:cs="仿宋_GB2312"/>
          <w:color w:val="auto"/>
          <w:sz w:val="32"/>
          <w:szCs w:val="32"/>
          <w:lang w:val="en-US" w:eastAsia="zh-CN" w:bidi="ar-SA"/>
        </w:rPr>
        <w:t xml:space="preserve">完善大气、水、土壤、噪声等生态环境质量监测，建设高精尖无人化监测实验室。深化智慧生态环境平台建设，构建生态环境数据中心，推动生态环境监测、预警、执法、监管等业务系统一体化集成。构建集数据支撑、智能识别、线索推送、智能派单与办案于一体的智慧执法体系。  </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31.推进</w:t>
      </w:r>
      <w:r>
        <w:rPr>
          <w:rFonts w:hint="eastAsia" w:ascii="仿宋_GB2312" w:hAnsi="仿宋_GB2312" w:eastAsia="仿宋_GB2312" w:cs="仿宋_GB2312"/>
          <w:b/>
          <w:bCs/>
          <w:color w:val="auto"/>
          <w:kern w:val="0"/>
          <w:sz w:val="32"/>
          <w:szCs w:val="32"/>
          <w:lang w:val="en-US" w:eastAsia="zh-CN" w:bidi="ar-SA"/>
        </w:rPr>
        <w:t>生态治理协同化发展</w:t>
      </w:r>
      <w:r>
        <w:rPr>
          <w:rFonts w:hint="eastAsia" w:ascii="仿宋_GB2312" w:hAnsi="仿宋_GB2312" w:eastAsia="仿宋_GB2312" w:cs="仿宋_GB2312"/>
          <w:color w:val="auto"/>
          <w:kern w:val="0"/>
          <w:sz w:val="32"/>
          <w:szCs w:val="32"/>
          <w:lang w:val="en-US" w:eastAsia="zh-CN" w:bidi="ar-SA"/>
        </w:rPr>
        <w:t>。</w:t>
      </w:r>
      <w:r>
        <w:rPr>
          <w:rFonts w:hint="eastAsia" w:ascii="仿宋_GB2312" w:hAnsi="仿宋_GB2312" w:eastAsia="仿宋_GB2312" w:cs="仿宋_GB2312"/>
          <w:color w:val="auto"/>
          <w:kern w:val="2"/>
          <w:sz w:val="32"/>
          <w:szCs w:val="36"/>
          <w:lang w:val="en-US" w:eastAsia="zh-CN" w:bidi="ar-SA"/>
        </w:rPr>
        <w:t>强化新建项目碳排放核算评价与数据跟踪分析工作，引导企业推进节能降碳行动。</w:t>
      </w:r>
      <w:r>
        <w:rPr>
          <w:rFonts w:hint="eastAsia" w:ascii="仿宋_GB2312" w:hAnsi="仿宋_GB2312" w:eastAsia="仿宋_GB2312" w:cs="仿宋_GB2312"/>
          <w:color w:val="auto"/>
          <w:sz w:val="32"/>
          <w:szCs w:val="32"/>
          <w:lang w:val="en-US" w:eastAsia="zh-CN" w:bidi="ar-SA"/>
        </w:rPr>
        <w:t>按照市级要求规范生活垃圾分类收集、运输、处理及资源化利用全链条数据采集和监督管理，推动投放、收运、处置各环节高效衔接。开展危险废物产生单位“五即”规范化建设，推动产废、运输、资源化利用各环节高效衔接</w:t>
      </w:r>
      <w:r>
        <w:rPr>
          <w:rFonts w:hint="eastAsia" w:ascii="仿宋_GB2312" w:hAnsi="仿宋_GB2312" w:eastAsia="仿宋_GB2312" w:cs="仿宋_GB2312"/>
          <w:color w:val="auto"/>
          <w:kern w:val="2"/>
          <w:sz w:val="32"/>
          <w:szCs w:val="36"/>
          <w:lang w:val="en-US" w:eastAsia="zh-CN" w:bidi="ar-SA"/>
        </w:rPr>
        <w:t>。加强绿色低碳生活方式宣传引导，推动市民生活向数字化、绿色化转型。</w:t>
      </w:r>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343" w:name="_Toc21343"/>
      <w:bookmarkStart w:id="344" w:name="_Toc4463"/>
      <w:bookmarkStart w:id="345" w:name="_Toc1523"/>
      <w:bookmarkStart w:id="346" w:name="_Toc1028"/>
      <w:bookmarkStart w:id="347" w:name="_Toc14166"/>
      <w:bookmarkStart w:id="348" w:name="_Toc14887"/>
      <w:bookmarkStart w:id="349" w:name="_Toc62413994"/>
      <w:bookmarkStart w:id="350" w:name="_Toc25335"/>
      <w:bookmarkStart w:id="351" w:name="_Toc19588"/>
      <w:bookmarkStart w:id="352" w:name="_Toc12408"/>
      <w:r>
        <w:rPr>
          <w:rFonts w:hint="eastAsia" w:ascii="楷体_GB2312" w:hAnsi="楷体" w:eastAsia="楷体_GB2312" w:cs="宋体"/>
          <w:b w:val="0"/>
          <w:bCs w:val="0"/>
          <w:color w:val="auto"/>
          <w:spacing w:val="2"/>
          <w:w w:val="99"/>
          <w:kern w:val="0"/>
          <w:sz w:val="32"/>
          <w:szCs w:val="32"/>
          <w:lang w:val="en-US" w:eastAsia="zh-CN" w:bidi="zh-CN"/>
        </w:rPr>
        <w:t>提升“一网协同”的数字机关新体验</w:t>
      </w:r>
      <w:bookmarkEnd w:id="343"/>
      <w:bookmarkEnd w:id="344"/>
      <w:bookmarkEnd w:id="345"/>
      <w:bookmarkEnd w:id="346"/>
      <w:bookmarkEnd w:id="347"/>
      <w:bookmarkEnd w:id="348"/>
      <w:bookmarkEnd w:id="349"/>
      <w:bookmarkEnd w:id="350"/>
      <w:bookmarkEnd w:id="351"/>
      <w:bookmarkEnd w:id="352"/>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Times New Roman" w:hAnsi="Times New Roman" w:eastAsia="仿宋_GB2312" w:cs="Times New Roman"/>
          <w:b/>
          <w:bCs/>
          <w:color w:val="auto"/>
          <w:sz w:val="32"/>
          <w:szCs w:val="32"/>
          <w:lang w:val="en-US" w:eastAsia="zh-CN" w:bidi="ar-SA"/>
        </w:rPr>
      </w:pPr>
      <w:bookmarkStart w:id="353" w:name="_Toc22814"/>
      <w:bookmarkStart w:id="354" w:name="_Toc31360"/>
      <w:r>
        <w:rPr>
          <w:rFonts w:hint="eastAsia" w:ascii="仿宋_GB2312" w:hAnsi="仿宋_GB2312" w:eastAsia="仿宋_GB2312" w:cs="仿宋_GB2312"/>
          <w:b/>
          <w:bCs/>
          <w:color w:val="auto"/>
          <w:kern w:val="2"/>
          <w:sz w:val="32"/>
          <w:szCs w:val="32"/>
          <w:lang w:val="en-US" w:eastAsia="zh-CN" w:bidi="ar-SA"/>
        </w:rPr>
        <w:t>32.</w:t>
      </w:r>
      <w:r>
        <w:rPr>
          <w:rFonts w:hint="eastAsia" w:ascii="Times New Roman" w:hAnsi="Times New Roman" w:eastAsia="仿宋_GB2312" w:cs="Times New Roman"/>
          <w:b/>
          <w:bCs/>
          <w:color w:val="auto"/>
          <w:kern w:val="0"/>
          <w:sz w:val="32"/>
          <w:szCs w:val="32"/>
          <w:lang w:val="en-US" w:eastAsia="zh-CN" w:bidi="ar-SA"/>
        </w:rPr>
        <w:t>提升党政机关数智化水平。</w:t>
      </w:r>
      <w:r>
        <w:rPr>
          <w:rFonts w:hint="eastAsia" w:ascii="Times New Roman" w:hAnsi="Times New Roman" w:eastAsia="仿宋_GB2312" w:cs="Times New Roman"/>
          <w:b w:val="0"/>
          <w:bCs w:val="0"/>
          <w:color w:val="auto"/>
          <w:kern w:val="0"/>
          <w:sz w:val="32"/>
          <w:szCs w:val="32"/>
          <w:lang w:val="en-US" w:eastAsia="zh-CN" w:bidi="ar-SA"/>
        </w:rPr>
        <w:t>围绕建设人民满意的服务型政府总体目标，</w:t>
      </w:r>
      <w:r>
        <w:rPr>
          <w:rFonts w:hint="eastAsia" w:eastAsia="仿宋_GB2312" w:cs="Times New Roman"/>
          <w:b w:val="0"/>
          <w:bCs w:val="0"/>
          <w:color w:val="auto"/>
          <w:kern w:val="0"/>
          <w:sz w:val="32"/>
          <w:szCs w:val="32"/>
          <w:lang w:val="en-US" w:eastAsia="zh-CN" w:bidi="ar-SA"/>
        </w:rPr>
        <w:t>持续</w:t>
      </w:r>
      <w:r>
        <w:rPr>
          <w:rFonts w:hint="eastAsia" w:eastAsia="仿宋_GB2312" w:cs="Times New Roman"/>
          <w:color w:val="auto"/>
          <w:kern w:val="0"/>
          <w:sz w:val="32"/>
          <w:szCs w:val="32"/>
          <w:lang w:val="en-US" w:eastAsia="zh-CN" w:bidi="ar-SA"/>
        </w:rPr>
        <w:t>优化</w:t>
      </w:r>
      <w:r>
        <w:rPr>
          <w:rFonts w:hint="eastAsia" w:ascii="Times New Roman" w:hAnsi="Times New Roman" w:eastAsia="仿宋_GB2312" w:cs="Times New Roman"/>
          <w:color w:val="auto"/>
          <w:kern w:val="0"/>
          <w:sz w:val="32"/>
          <w:szCs w:val="32"/>
          <w:lang w:val="en-US" w:eastAsia="zh-CN" w:bidi="ar-SA"/>
        </w:rPr>
        <w:t>区级协同办公平台，</w:t>
      </w:r>
      <w:r>
        <w:rPr>
          <w:rFonts w:hint="eastAsia" w:eastAsia="仿宋_GB2312" w:cs="Times New Roman"/>
          <w:color w:val="auto"/>
          <w:kern w:val="0"/>
          <w:sz w:val="32"/>
          <w:szCs w:val="32"/>
          <w:lang w:val="en-US" w:eastAsia="zh-CN" w:bidi="ar-SA"/>
        </w:rPr>
        <w:t>推进与“京办”融合发展，全面实现网页端与移动端融合运行。</w:t>
      </w:r>
      <w:r>
        <w:rPr>
          <w:rFonts w:hint="eastAsia" w:ascii="Times New Roman" w:hAnsi="Times New Roman" w:eastAsia="仿宋_GB2312" w:cs="Times New Roman"/>
          <w:color w:val="auto"/>
          <w:kern w:val="0"/>
          <w:sz w:val="32"/>
          <w:szCs w:val="32"/>
          <w:lang w:val="en-US" w:eastAsia="zh-CN" w:bidi="ar-SA"/>
        </w:rPr>
        <w:t>聚焦党政机关</w:t>
      </w:r>
      <w:r>
        <w:rPr>
          <w:rFonts w:hint="eastAsia" w:eastAsia="仿宋_GB2312" w:cs="Times New Roman"/>
          <w:color w:val="auto"/>
          <w:kern w:val="0"/>
          <w:sz w:val="32"/>
          <w:szCs w:val="32"/>
          <w:lang w:val="en-US" w:eastAsia="zh-CN" w:bidi="ar-SA"/>
        </w:rPr>
        <w:t>高频、多跨业务推动“高效办成一件事”场景落地</w:t>
      </w:r>
      <w:r>
        <w:rPr>
          <w:rFonts w:hint="eastAsia" w:ascii="Times New Roman" w:hAnsi="Times New Roman" w:eastAsia="仿宋_GB2312" w:cs="Times New Roman"/>
          <w:color w:val="auto"/>
          <w:kern w:val="0"/>
          <w:sz w:val="32"/>
          <w:szCs w:val="32"/>
          <w:lang w:val="en-US" w:eastAsia="zh-CN" w:bidi="ar-SA"/>
        </w:rPr>
        <w:t>，着力提升机关内部运行</w:t>
      </w:r>
      <w:r>
        <w:rPr>
          <w:rFonts w:hint="eastAsia" w:eastAsia="仿宋_GB2312" w:cs="Times New Roman"/>
          <w:color w:val="auto"/>
          <w:kern w:val="0"/>
          <w:sz w:val="32"/>
          <w:szCs w:val="32"/>
          <w:lang w:val="en-US" w:eastAsia="zh-CN" w:bidi="ar-SA"/>
        </w:rPr>
        <w:t>效能</w:t>
      </w:r>
      <w:r>
        <w:rPr>
          <w:rFonts w:hint="eastAsia" w:ascii="Times New Roman" w:hAnsi="Times New Roman" w:eastAsia="仿宋_GB2312" w:cs="Times New Roman"/>
          <w:color w:val="auto"/>
          <w:kern w:val="0"/>
          <w:sz w:val="32"/>
          <w:szCs w:val="32"/>
          <w:lang w:val="en-US" w:eastAsia="zh-CN" w:bidi="ar-SA"/>
        </w:rPr>
        <w:t>。</w:t>
      </w:r>
      <w:r>
        <w:rPr>
          <w:rFonts w:hint="eastAsia" w:ascii="Times New Roman" w:hAnsi="Times New Roman" w:eastAsia="仿宋_GB2312" w:cs="Times New Roman"/>
          <w:b w:val="0"/>
          <w:bCs w:val="0"/>
          <w:color w:val="auto"/>
          <w:kern w:val="0"/>
          <w:sz w:val="32"/>
          <w:szCs w:val="32"/>
          <w:lang w:val="en-US" w:eastAsia="zh-CN" w:bidi="ar-SA"/>
        </w:rPr>
        <w:t>提升政府绩效管理、</w:t>
      </w:r>
      <w:r>
        <w:rPr>
          <w:rFonts w:hint="eastAsia" w:eastAsia="仿宋_GB2312" w:cs="Times New Roman"/>
          <w:b w:val="0"/>
          <w:bCs w:val="0"/>
          <w:color w:val="auto"/>
          <w:kern w:val="0"/>
          <w:sz w:val="32"/>
          <w:szCs w:val="32"/>
          <w:lang w:val="en-US" w:eastAsia="zh-CN" w:bidi="ar-SA"/>
        </w:rPr>
        <w:t>信息化项目全流程管理、</w:t>
      </w:r>
      <w:r>
        <w:rPr>
          <w:rFonts w:hint="eastAsia" w:ascii="Times New Roman" w:hAnsi="Times New Roman" w:eastAsia="仿宋_GB2312" w:cs="Times New Roman"/>
          <w:b w:val="0"/>
          <w:bCs w:val="0"/>
          <w:color w:val="auto"/>
          <w:kern w:val="0"/>
          <w:sz w:val="32"/>
          <w:szCs w:val="32"/>
          <w:lang w:val="en-US" w:eastAsia="zh-CN" w:bidi="ar-SA"/>
        </w:rPr>
        <w:t>人大建议政协提案办理</w:t>
      </w:r>
      <w:r>
        <w:rPr>
          <w:rFonts w:hint="eastAsia" w:eastAsia="仿宋_GB2312" w:cs="Times New Roman"/>
          <w:b w:val="0"/>
          <w:bCs w:val="0"/>
          <w:color w:val="auto"/>
          <w:kern w:val="0"/>
          <w:sz w:val="32"/>
          <w:szCs w:val="32"/>
          <w:lang w:val="en-US" w:eastAsia="zh-CN" w:bidi="ar-SA"/>
        </w:rPr>
        <w:t>、人事工资管理</w:t>
      </w:r>
      <w:r>
        <w:rPr>
          <w:rFonts w:hint="eastAsia" w:ascii="Times New Roman" w:hAnsi="Times New Roman" w:eastAsia="仿宋_GB2312" w:cs="Times New Roman"/>
          <w:b w:val="0"/>
          <w:bCs w:val="0"/>
          <w:color w:val="auto"/>
          <w:kern w:val="0"/>
          <w:sz w:val="32"/>
          <w:szCs w:val="32"/>
          <w:lang w:val="en-US" w:eastAsia="zh-CN" w:bidi="ar-SA"/>
        </w:rPr>
        <w:t>等应用效能，实现在线化服务</w:t>
      </w:r>
      <w:r>
        <w:rPr>
          <w:rFonts w:hint="eastAsia" w:eastAsia="仿宋_GB2312" w:cs="Times New Roman"/>
          <w:b w:val="0"/>
          <w:bCs w:val="0"/>
          <w:color w:val="auto"/>
          <w:kern w:val="0"/>
          <w:sz w:val="32"/>
          <w:szCs w:val="32"/>
          <w:lang w:val="en-US" w:eastAsia="zh-CN" w:bidi="ar-SA"/>
        </w:rPr>
        <w:t>、</w:t>
      </w:r>
      <w:r>
        <w:rPr>
          <w:rFonts w:hint="eastAsia" w:ascii="Times New Roman" w:hAnsi="Times New Roman" w:eastAsia="仿宋_GB2312" w:cs="Times New Roman"/>
          <w:b w:val="0"/>
          <w:bCs w:val="0"/>
          <w:color w:val="auto"/>
          <w:kern w:val="0"/>
          <w:sz w:val="32"/>
          <w:szCs w:val="32"/>
          <w:lang w:val="en-US" w:eastAsia="zh-CN" w:bidi="ar-SA"/>
        </w:rPr>
        <w:t>数据化决策</w:t>
      </w:r>
      <w:r>
        <w:rPr>
          <w:rFonts w:hint="eastAsia" w:eastAsia="仿宋_GB2312" w:cs="Times New Roman"/>
          <w:b w:val="0"/>
          <w:bCs w:val="0"/>
          <w:color w:val="auto"/>
          <w:kern w:val="0"/>
          <w:sz w:val="32"/>
          <w:szCs w:val="32"/>
          <w:lang w:val="en-US" w:eastAsia="zh-CN" w:bidi="ar-SA"/>
        </w:rPr>
        <w:t>、</w:t>
      </w:r>
      <w:r>
        <w:rPr>
          <w:rFonts w:hint="eastAsia" w:ascii="Times New Roman" w:hAnsi="Times New Roman" w:eastAsia="仿宋_GB2312" w:cs="Times New Roman"/>
          <w:b w:val="0"/>
          <w:bCs w:val="0"/>
          <w:color w:val="auto"/>
          <w:kern w:val="0"/>
          <w:sz w:val="32"/>
          <w:szCs w:val="32"/>
          <w:lang w:val="en-US" w:eastAsia="zh-CN" w:bidi="ar-SA"/>
        </w:rPr>
        <w:t>智能化监管</w:t>
      </w:r>
      <w:r>
        <w:rPr>
          <w:rFonts w:hint="eastAsia" w:eastAsia="仿宋_GB2312" w:cs="Times New Roman"/>
          <w:b w:val="0"/>
          <w:bCs w:val="0"/>
          <w:color w:val="auto"/>
          <w:kern w:val="0"/>
          <w:sz w:val="32"/>
          <w:szCs w:val="32"/>
          <w:lang w:val="en-US" w:eastAsia="zh-CN" w:bidi="ar-SA"/>
        </w:rPr>
        <w:t>，推动党政机关</w:t>
      </w:r>
      <w:r>
        <w:rPr>
          <w:rFonts w:hint="eastAsia" w:ascii="Times New Roman" w:hAnsi="Times New Roman" w:eastAsia="仿宋_GB2312" w:cs="Times New Roman"/>
          <w:b w:val="0"/>
          <w:bCs w:val="0"/>
          <w:color w:val="auto"/>
          <w:kern w:val="0"/>
          <w:sz w:val="32"/>
          <w:szCs w:val="32"/>
          <w:lang w:val="en-US" w:eastAsia="zh-CN" w:bidi="ar-SA"/>
        </w:rPr>
        <w:t>治理现代化。</w:t>
      </w:r>
      <w:bookmarkEnd w:id="353"/>
      <w:r>
        <w:rPr>
          <w:rFonts w:hint="eastAsia" w:ascii="Times New Roman" w:hAnsi="Times New Roman" w:eastAsia="仿宋_GB2312" w:cs="Times New Roman"/>
          <w:color w:val="auto"/>
          <w:kern w:val="0"/>
          <w:sz w:val="32"/>
          <w:szCs w:val="32"/>
          <w:lang w:val="en-US" w:eastAsia="zh-CN" w:bidi="ar-SA"/>
        </w:rPr>
        <w:t>推进</w:t>
      </w:r>
      <w:r>
        <w:rPr>
          <w:rFonts w:ascii="Times New Roman" w:hAnsi="Times New Roman" w:eastAsia="仿宋_GB2312" w:cs="Times New Roman"/>
          <w:color w:val="auto"/>
          <w:kern w:val="0"/>
          <w:sz w:val="32"/>
          <w:szCs w:val="32"/>
          <w:lang w:val="en-US" w:eastAsia="zh-CN" w:bidi="ar-SA"/>
        </w:rPr>
        <w:t>政府</w:t>
      </w:r>
      <w:r>
        <w:rPr>
          <w:rFonts w:hint="eastAsia" w:ascii="Times New Roman" w:hAnsi="Times New Roman" w:eastAsia="仿宋_GB2312" w:cs="Times New Roman"/>
          <w:color w:val="auto"/>
          <w:kern w:val="0"/>
          <w:sz w:val="32"/>
          <w:szCs w:val="32"/>
          <w:lang w:val="en-US" w:eastAsia="zh-CN" w:bidi="ar-SA"/>
        </w:rPr>
        <w:t>门户网站升级迭代，丰富优化网站功能应用。</w:t>
      </w:r>
      <w:bookmarkEnd w:id="354"/>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355" w:name="_Toc20212"/>
      <w:bookmarkStart w:id="356" w:name="_Toc20817"/>
      <w:bookmarkStart w:id="357" w:name="_Toc62413995"/>
      <w:bookmarkStart w:id="358" w:name="_Toc13190"/>
      <w:bookmarkStart w:id="359" w:name="_Toc14625"/>
      <w:bookmarkStart w:id="360" w:name="_Toc9536"/>
      <w:bookmarkStart w:id="361" w:name="_Toc18645"/>
      <w:bookmarkStart w:id="362" w:name="_Toc947"/>
      <w:bookmarkStart w:id="363" w:name="_Toc23775"/>
      <w:r>
        <w:rPr>
          <w:rFonts w:hint="eastAsia" w:ascii="楷体_GB2312" w:hAnsi="楷体" w:eastAsia="楷体_GB2312" w:cs="宋体"/>
          <w:b w:val="0"/>
          <w:bCs w:val="0"/>
          <w:color w:val="auto"/>
          <w:spacing w:val="2"/>
          <w:w w:val="99"/>
          <w:kern w:val="0"/>
          <w:sz w:val="32"/>
          <w:szCs w:val="32"/>
          <w:lang w:val="en-US" w:eastAsia="zh-CN" w:bidi="zh-CN"/>
        </w:rPr>
        <w:t>增强“人工智能+”的创新发展新动能</w:t>
      </w:r>
      <w:bookmarkEnd w:id="355"/>
      <w:bookmarkEnd w:id="356"/>
      <w:bookmarkEnd w:id="357"/>
      <w:bookmarkEnd w:id="358"/>
      <w:bookmarkEnd w:id="359"/>
      <w:bookmarkEnd w:id="360"/>
      <w:bookmarkEnd w:id="361"/>
      <w:bookmarkEnd w:id="362"/>
      <w:bookmarkEnd w:id="363"/>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33.“人工智能+”产业发展。</w:t>
      </w:r>
      <w:r>
        <w:rPr>
          <w:rFonts w:hint="eastAsia" w:ascii="仿宋_GB2312" w:hAnsi="仿宋_GB2312" w:eastAsia="仿宋_GB2312" w:cs="仿宋_GB2312"/>
          <w:b w:val="0"/>
          <w:bCs w:val="0"/>
          <w:color w:val="auto"/>
          <w:kern w:val="2"/>
          <w:sz w:val="32"/>
          <w:szCs w:val="32"/>
          <w:lang w:val="en-US" w:eastAsia="zh-CN" w:bidi="ar-SA"/>
        </w:rPr>
        <w:t>全面实施“人工智能+”行动，以北京未来数字空间创新试验区和北京市人工智能创新街区——文化智境街区建设为抓手，争创国家人工智能+文化应用中试基地，以人工智能引领科研范式变革，全方位赋能千行百业。</w:t>
      </w:r>
      <w:r>
        <w:rPr>
          <w:rFonts w:hint="eastAsia" w:ascii="仿宋_GB2312" w:hAnsi="仿宋_GB2312" w:eastAsia="仿宋_GB2312" w:cs="仿宋_GB2312"/>
          <w:b w:val="0"/>
          <w:bCs w:val="0"/>
          <w:color w:val="auto"/>
          <w:sz w:val="32"/>
          <w:szCs w:val="32"/>
          <w:lang w:val="en-US" w:eastAsia="zh-CN" w:bidi="ar-SA"/>
        </w:rPr>
        <w:t>持续发挥百度智能云千帆大模型产业（北京）创新基地的通用人工智能公共服务引擎作用，探索全新商业模式。</w:t>
      </w:r>
      <w:r>
        <w:rPr>
          <w:rFonts w:hint="eastAsia" w:ascii="仿宋_GB2312" w:hAnsi="仿宋_GB2312" w:eastAsia="仿宋_GB2312" w:cs="仿宋_GB2312"/>
          <w:b w:val="0"/>
          <w:bCs w:val="0"/>
          <w:color w:val="auto"/>
          <w:kern w:val="2"/>
          <w:sz w:val="32"/>
          <w:szCs w:val="32"/>
          <w:lang w:val="en-US" w:eastAsia="zh-CN" w:bidi="ar-SA"/>
        </w:rPr>
        <w:t>重点布局垂直行业大模型研发和创新应用。融入全市科学智能（</w:t>
      </w:r>
      <w:r>
        <w:rPr>
          <w:rFonts w:hint="eastAsia" w:ascii="仿宋_GB2312" w:hAnsi="仿宋_GB2312" w:eastAsia="仿宋_GB2312" w:cs="仿宋_GB2312"/>
          <w:b w:val="0"/>
          <w:bCs w:val="0"/>
          <w:color w:val="auto"/>
          <w:sz w:val="32"/>
          <w:szCs w:val="32"/>
          <w:lang w:val="en-US" w:eastAsia="zh-CN" w:bidi="ar-SA"/>
        </w:rPr>
        <w:t>AI For Science）</w:t>
      </w:r>
      <w:r>
        <w:rPr>
          <w:rFonts w:ascii="Arial" w:hAnsi="Arial" w:eastAsia="仿宋_GB2312" w:cs="Arial"/>
          <w:b w:val="0"/>
          <w:bCs w:val="0"/>
          <w:color w:val="auto"/>
          <w:sz w:val="32"/>
          <w:szCs w:val="32"/>
          <w:lang w:val="en-US" w:eastAsia="zh-CN" w:bidi="ar-SA"/>
        </w:rPr>
        <w:t>，</w:t>
      </w:r>
      <w:r>
        <w:rPr>
          <w:rFonts w:hint="eastAsia" w:ascii="Arial" w:hAnsi="Arial" w:eastAsia="仿宋_GB2312" w:cs="Arial"/>
          <w:b w:val="0"/>
          <w:bCs w:val="0"/>
          <w:color w:val="auto"/>
          <w:sz w:val="32"/>
          <w:szCs w:val="32"/>
          <w:lang w:val="en-US" w:eastAsia="zh-CN" w:bidi="ar-SA"/>
        </w:rPr>
        <w:t>搭建共享技术服务平台，着力打造人工智能驱动新型科研范式，</w:t>
      </w:r>
      <w:r>
        <w:rPr>
          <w:rFonts w:ascii="Arial" w:hAnsi="Arial" w:eastAsia="仿宋_GB2312" w:cs="Arial"/>
          <w:b w:val="0"/>
          <w:bCs w:val="0"/>
          <w:color w:val="auto"/>
          <w:sz w:val="32"/>
          <w:szCs w:val="32"/>
          <w:lang w:val="en-US" w:eastAsia="zh-CN" w:bidi="ar-SA"/>
        </w:rPr>
        <w:t>推动软件产业全要素智能化发展</w:t>
      </w:r>
      <w:r>
        <w:rPr>
          <w:rFonts w:ascii="Arial" w:hAnsi="Arial" w:eastAsia="仿宋_GB2312" w:cs="Arial"/>
          <w:b/>
          <w:bCs/>
          <w:color w:val="auto"/>
          <w:sz w:val="32"/>
          <w:szCs w:val="32"/>
          <w:lang w:val="en-US" w:eastAsia="zh-CN" w:bidi="ar-SA"/>
        </w:rPr>
        <w:t>。</w:t>
      </w:r>
      <w:r>
        <w:rPr>
          <w:rFonts w:hint="eastAsia" w:ascii="Arial" w:hAnsi="Arial" w:eastAsia="仿宋_GB2312" w:cs="Arial"/>
          <w:b w:val="0"/>
          <w:bCs w:val="0"/>
          <w:color w:val="auto"/>
          <w:sz w:val="32"/>
          <w:szCs w:val="32"/>
          <w:lang w:val="en-US" w:eastAsia="zh-CN" w:bidi="ar-SA"/>
        </w:rPr>
        <w:t>发挥</w:t>
      </w:r>
      <w:r>
        <w:rPr>
          <w:rFonts w:ascii="Arial" w:hAnsi="Arial" w:eastAsia="仿宋_GB2312" w:cs="Arial"/>
          <w:b w:val="0"/>
          <w:bCs w:val="0"/>
          <w:color w:val="auto"/>
          <w:sz w:val="32"/>
          <w:szCs w:val="32"/>
          <w:lang w:val="en-US" w:eastAsia="zh-CN" w:bidi="ar-SA"/>
        </w:rPr>
        <w:t>大模型产</w:t>
      </w:r>
      <w:r>
        <w:rPr>
          <w:rFonts w:hint="eastAsia" w:ascii="仿宋_GB2312" w:hAnsi="仿宋_GB2312" w:eastAsia="仿宋_GB2312" w:cs="仿宋_GB2312"/>
          <w:b w:val="0"/>
          <w:bCs w:val="0"/>
          <w:color w:val="auto"/>
          <w:sz w:val="32"/>
          <w:szCs w:val="32"/>
          <w:lang w:val="en-US" w:eastAsia="zh-CN" w:bidi="ar-SA"/>
        </w:rPr>
        <w:t>业服务平台作用，构建政企沟通协同工作矩阵，强化企业数智化转型及人工智能落地实践服务。</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tabs>
          <w:tab w:val="left" w:pos="0"/>
        </w:tabs>
        <w:suppressAutoHyphens w:val="0"/>
        <w:kinsoku/>
        <w:wordWrap/>
        <w:overflowPunct/>
        <w:topLinePunct w:val="0"/>
        <w:autoSpaceDE/>
        <w:autoSpaceDN/>
        <w:bidi w:val="0"/>
        <w:adjustRightInd/>
        <w:snapToGrid/>
        <w:spacing w:line="560" w:lineRule="exact"/>
        <w:ind w:left="0" w:firstLine="643" w:firstLineChars="200"/>
        <w:textAlignment w:val="auto"/>
        <w:outlineLvl w:val="2"/>
        <w:rPr>
          <w:rFonts w:hint="eastAsia" w:ascii="仿宋_GB2312" w:hAnsi="仿宋_GB2312" w:eastAsia="仿宋_GB2312" w:cs="仿宋_GB2312"/>
          <w:b w:val="0"/>
          <w:bCs w:val="0"/>
          <w:color w:val="auto"/>
          <w:sz w:val="32"/>
          <w:szCs w:val="32"/>
          <w:highlight w:val="yellow"/>
          <w:lang w:val="en-US" w:eastAsia="zh-CN" w:bidi="ar-SA"/>
        </w:rPr>
      </w:pPr>
      <w:r>
        <w:rPr>
          <w:rFonts w:hint="eastAsia" w:ascii="仿宋_GB2312" w:hAnsi="仿宋_GB2312" w:eastAsia="仿宋_GB2312" w:cs="仿宋_GB2312"/>
          <w:b/>
          <w:bCs/>
          <w:color w:val="auto"/>
          <w:kern w:val="2"/>
          <w:sz w:val="32"/>
          <w:szCs w:val="32"/>
          <w:lang w:val="en-US" w:eastAsia="zh-CN" w:bidi="ar-SA"/>
        </w:rPr>
        <w:t>34.“人工智能+”民生福祉</w:t>
      </w:r>
      <w:r>
        <w:rPr>
          <w:rFonts w:hint="eastAsia" w:ascii="仿宋_GB2312" w:hAnsi="仿宋_GB2312" w:eastAsia="仿宋_GB2312" w:cs="仿宋_GB2312"/>
          <w:b/>
          <w:bCs/>
          <w:color w:val="auto"/>
          <w:sz w:val="32"/>
          <w:szCs w:val="32"/>
          <w:lang w:val="en-US" w:eastAsia="zh-CN" w:bidi="ar-SA"/>
        </w:rPr>
        <w:t>。</w:t>
      </w:r>
      <w:r>
        <w:rPr>
          <w:rFonts w:hint="eastAsia" w:ascii="仿宋_GB2312" w:hAnsi="仿宋_GB2312" w:eastAsia="仿宋_GB2312" w:cs="仿宋_GB2312"/>
          <w:b w:val="0"/>
          <w:bCs w:val="0"/>
          <w:color w:val="auto"/>
          <w:sz w:val="32"/>
          <w:szCs w:val="32"/>
          <w:lang w:val="en-US" w:eastAsia="zh-CN" w:bidi="ar-SA"/>
        </w:rPr>
        <w:t>探索“无感智办”，打造精准识别需求、主动规划服务、全程智能办理的政务服务新模式。推动人工智能深度赋能教育教学全链条，打造“以智助教、以智助学、以智助研、以智助管、以智助评”人工智能应用场景。打造“人工智能+”辅助诊疗、健康管理、医保服务等应用场景。</w:t>
      </w:r>
      <w:r>
        <w:rPr>
          <w:rFonts w:hint="eastAsia" w:ascii="仿宋_GB2312" w:hAnsi="仿宋_GB2312" w:eastAsia="仿宋_GB2312" w:cs="仿宋_GB2312"/>
          <w:color w:val="auto"/>
          <w:kern w:val="2"/>
          <w:sz w:val="32"/>
          <w:szCs w:val="32"/>
          <w:lang w:val="en-US" w:eastAsia="zh-CN" w:bidi="ar-SA"/>
        </w:rPr>
        <w:t>积极推进人工智能在残疾人康复训练、辅助出行、特殊教育、就业支持等场景应用赋能。</w:t>
      </w:r>
      <w:r>
        <w:rPr>
          <w:rFonts w:hint="eastAsia" w:ascii="仿宋_GB2312" w:hAnsi="仿宋_GB2312" w:eastAsia="仿宋_GB2312" w:cs="仿宋_GB2312"/>
          <w:b w:val="0"/>
          <w:bCs w:val="0"/>
          <w:color w:val="auto"/>
          <w:sz w:val="32"/>
          <w:szCs w:val="32"/>
          <w:lang w:val="en-US" w:eastAsia="zh-CN" w:bidi="ar-SA"/>
        </w:rPr>
        <w:t>建设“AI+养老”智慧服务平台</w:t>
      </w:r>
      <w:r>
        <w:rPr>
          <w:rFonts w:hint="eastAsia" w:ascii="仿宋_GB2312" w:hAnsi="仿宋_GB2312" w:eastAsia="仿宋_GB2312" w:cs="仿宋_GB2312"/>
          <w:color w:val="auto"/>
          <w:kern w:val="2"/>
          <w:sz w:val="32"/>
          <w:szCs w:val="32"/>
          <w:lang w:val="en-US" w:eastAsia="zh-CN" w:bidi="ar-SA"/>
        </w:rPr>
        <w:t>，推动人工智能在安全监护、医疗护理等场景应用，</w:t>
      </w:r>
      <w:r>
        <w:rPr>
          <w:rFonts w:hint="eastAsia" w:ascii="仿宋_GB2312" w:hAnsi="仿宋_GB2312" w:eastAsia="仿宋_GB2312" w:cs="仿宋_GB2312"/>
          <w:b w:val="0"/>
          <w:bCs w:val="0"/>
          <w:color w:val="auto"/>
          <w:sz w:val="32"/>
          <w:szCs w:val="32"/>
          <w:lang w:val="en-US" w:eastAsia="zh-CN" w:bidi="ar-SA"/>
        </w:rPr>
        <w:t>试点AI巴士运营。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suppressAutoHyphens/>
        <w:kinsoku/>
        <w:wordWrap/>
        <w:overflowPunct/>
        <w:topLinePunct w:val="0"/>
        <w:autoSpaceDE/>
        <w:autoSpaceDN/>
        <w:bidi w:val="0"/>
        <w:adjustRightInd/>
        <w:snapToGrid/>
        <w:spacing w:line="560" w:lineRule="exact"/>
        <w:ind w:left="0" w:firstLine="643" w:firstLineChars="200"/>
        <w:jc w:val="left"/>
        <w:textAlignment w:val="auto"/>
        <w:outlineLvl w:val="2"/>
        <w:rPr>
          <w:rFonts w:hint="eastAsia" w:ascii="仿宋_GB2312" w:hAnsi="仿宋_GB2312" w:eastAsia="仿宋_GB2312" w:cs="仿宋_GB2312"/>
          <w:b w:val="0"/>
          <w:bCs w:val="0"/>
          <w:color w:val="auto"/>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35.“人工智能+”治理能力</w:t>
      </w:r>
      <w:r>
        <w:rPr>
          <w:rFonts w:hint="eastAsia" w:ascii="仿宋_GB2312" w:hAnsi="仿宋_GB2312" w:eastAsia="仿宋_GB2312" w:cs="仿宋_GB2312"/>
          <w:b/>
          <w:bCs/>
          <w:color w:val="auto"/>
          <w:sz w:val="32"/>
          <w:szCs w:val="32"/>
          <w:lang w:val="en-US" w:eastAsia="zh-CN" w:bidi="ar-SA"/>
        </w:rPr>
        <w:t>。</w:t>
      </w:r>
      <w:r>
        <w:rPr>
          <w:rFonts w:hint="eastAsia" w:ascii="仿宋_GB2312" w:hAnsi="仿宋_GB2312" w:eastAsia="仿宋_GB2312" w:cs="仿宋_GB2312"/>
          <w:b w:val="0"/>
          <w:bCs w:val="0"/>
          <w:color w:val="auto"/>
          <w:sz w:val="32"/>
          <w:szCs w:val="32"/>
          <w:lang w:val="en-US" w:eastAsia="zh-CN" w:bidi="ar-SA"/>
        </w:rPr>
        <w:t>试点AI大模型技术在社会治理、机关办公、辅助决策等场景中的应用。</w:t>
      </w:r>
      <w:r>
        <w:rPr>
          <w:rFonts w:ascii="仿宋_GB2312" w:hAnsi="仿宋_GB2312" w:eastAsia="仿宋_GB2312" w:cs="仿宋_GB2312"/>
          <w:b w:val="0"/>
          <w:bCs w:val="0"/>
          <w:color w:val="auto"/>
          <w:sz w:val="32"/>
          <w:szCs w:val="32"/>
          <w:lang w:val="en-US" w:eastAsia="zh-CN" w:bidi="ar-SA"/>
        </w:rPr>
        <w:t>增强人工智能</w:t>
      </w:r>
      <w:r>
        <w:rPr>
          <w:rFonts w:hint="eastAsia" w:ascii="仿宋_GB2312" w:hAnsi="仿宋_GB2312" w:eastAsia="仿宋_GB2312" w:cs="仿宋_GB2312"/>
          <w:b w:val="0"/>
          <w:bCs w:val="0"/>
          <w:color w:val="auto"/>
          <w:sz w:val="32"/>
          <w:szCs w:val="32"/>
          <w:lang w:val="en-US" w:eastAsia="zh-CN" w:bidi="ar-SA"/>
        </w:rPr>
        <w:t>在非现场监管方面</w:t>
      </w:r>
      <w:r>
        <w:rPr>
          <w:rFonts w:ascii="仿宋_GB2312" w:hAnsi="仿宋_GB2312" w:eastAsia="仿宋_GB2312" w:cs="仿宋_GB2312"/>
          <w:b w:val="0"/>
          <w:bCs w:val="0"/>
          <w:color w:val="auto"/>
          <w:sz w:val="32"/>
          <w:szCs w:val="32"/>
          <w:lang w:val="en-US" w:eastAsia="zh-CN" w:bidi="ar-SA"/>
        </w:rPr>
        <w:t>应用能力</w:t>
      </w:r>
      <w:r>
        <w:rPr>
          <w:rFonts w:hint="eastAsia" w:ascii="仿宋_GB2312" w:hAnsi="仿宋_GB2312" w:eastAsia="仿宋_GB2312" w:cs="仿宋_GB2312"/>
          <w:b w:val="0"/>
          <w:bCs w:val="0"/>
          <w:color w:val="auto"/>
          <w:sz w:val="32"/>
          <w:szCs w:val="32"/>
          <w:lang w:val="en-US" w:eastAsia="zh-CN" w:bidi="ar-SA"/>
        </w:rPr>
        <w:t>，</w:t>
      </w:r>
      <w:r>
        <w:rPr>
          <w:rFonts w:ascii="仿宋_GB2312" w:hAnsi="仿宋_GB2312" w:eastAsia="仿宋_GB2312" w:cs="仿宋_GB2312"/>
          <w:b w:val="0"/>
          <w:bCs w:val="0"/>
          <w:color w:val="auto"/>
          <w:sz w:val="32"/>
          <w:szCs w:val="32"/>
          <w:lang w:val="en-US" w:eastAsia="zh-CN" w:bidi="ar-SA"/>
        </w:rPr>
        <w:t>提升监测预警、监管执法、指挥决策、现场救援、社会动员等工作水平。</w:t>
      </w:r>
      <w:r>
        <w:rPr>
          <w:rFonts w:hint="eastAsia" w:ascii="仿宋_GB2312" w:hAnsi="仿宋_GB2312" w:eastAsia="仿宋_GB2312" w:cs="仿宋_GB2312"/>
          <w:b w:val="0"/>
          <w:bCs w:val="0"/>
          <w:color w:val="auto"/>
          <w:sz w:val="32"/>
          <w:szCs w:val="32"/>
          <w:lang w:val="en-US" w:eastAsia="zh-CN" w:bidi="ar-SA"/>
        </w:rPr>
        <w:t>提升人工智能驱动的大气、水、土壤等要素监测预测、模拟推演、问题处置等能力。</w:t>
      </w:r>
      <w:r>
        <w:rPr>
          <w:rFonts w:hint="eastAsia" w:ascii="仿宋_GB2312" w:hAnsi="仿宋_GB2312" w:eastAsia="仿宋_GB2312" w:cs="仿宋_GB2312"/>
          <w:color w:val="auto"/>
          <w:kern w:val="2"/>
          <w:sz w:val="32"/>
          <w:szCs w:val="32"/>
          <w:lang w:val="en-US" w:eastAsia="zh-CN" w:bidi="ar-SA"/>
        </w:rPr>
        <w:t>建立务实管用的最高检监督模型，促进法律监督融入精治共治法治化城市治理体系。</w:t>
      </w:r>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textAlignment w:val="auto"/>
        <w:rPr>
          <w:rFonts w:hint="eastAsia" w:ascii="黑体" w:hAnsi="黑体" w:eastAsia="黑体" w:cs="黑体"/>
          <w:b w:val="0"/>
          <w:bCs w:val="0"/>
          <w:color w:val="auto"/>
          <w:kern w:val="0"/>
          <w:sz w:val="32"/>
          <w:szCs w:val="32"/>
          <w:lang w:val="en-US" w:eastAsia="zh-CN" w:bidi="zh-CN"/>
        </w:rPr>
      </w:pPr>
      <w:bookmarkStart w:id="364" w:name="_Toc4942"/>
      <w:bookmarkStart w:id="365" w:name="_Toc29175"/>
      <w:bookmarkStart w:id="366" w:name="_Toc11580"/>
      <w:bookmarkStart w:id="367" w:name="_Toc8023"/>
      <w:bookmarkStart w:id="368" w:name="_Toc8109"/>
      <w:bookmarkStart w:id="369" w:name="_Toc3318"/>
      <w:bookmarkStart w:id="370" w:name="_Toc62413996"/>
      <w:bookmarkStart w:id="371" w:name="_Toc9616"/>
      <w:bookmarkStart w:id="372" w:name="_Toc10018"/>
      <w:bookmarkStart w:id="373" w:name="_Toc32064"/>
      <w:r>
        <w:rPr>
          <w:rFonts w:hint="eastAsia" w:ascii="黑体" w:hAnsi="黑体" w:eastAsia="黑体" w:cs="黑体"/>
          <w:b w:val="0"/>
          <w:bCs w:val="0"/>
          <w:color w:val="auto"/>
          <w:kern w:val="0"/>
          <w:sz w:val="32"/>
          <w:szCs w:val="32"/>
          <w:lang w:val="en-US" w:eastAsia="zh-CN" w:bidi="zh-CN"/>
        </w:rPr>
        <w:t>保障措施</w:t>
      </w:r>
      <w:bookmarkEnd w:id="364"/>
      <w:bookmarkEnd w:id="365"/>
      <w:bookmarkEnd w:id="366"/>
      <w:bookmarkEnd w:id="367"/>
      <w:bookmarkEnd w:id="368"/>
      <w:bookmarkEnd w:id="369"/>
      <w:bookmarkEnd w:id="370"/>
      <w:bookmarkEnd w:id="371"/>
      <w:bookmarkEnd w:id="372"/>
      <w:bookmarkEnd w:id="373"/>
    </w:p>
    <w:p>
      <w:pPr>
        <w:pStyle w:val="2"/>
        <w:keepNext w:val="0"/>
        <w:keepLines w:val="0"/>
        <w:pageBreakBefore w:val="0"/>
        <w:widowControl w:val="0"/>
        <w:numPr>
          <w:ilvl w:val="0"/>
          <w:numId w:val="4"/>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374" w:name="_Toc31860"/>
      <w:bookmarkStart w:id="375" w:name="_Toc17899"/>
      <w:bookmarkStart w:id="376" w:name="_Toc1325"/>
      <w:bookmarkStart w:id="377" w:name="_Toc27310"/>
      <w:bookmarkStart w:id="378" w:name="_Toc243"/>
      <w:bookmarkStart w:id="379" w:name="_Toc26679"/>
      <w:bookmarkStart w:id="380" w:name="_Toc10479"/>
      <w:bookmarkStart w:id="381" w:name="_Toc28581"/>
      <w:bookmarkStart w:id="382" w:name="_Toc62413997"/>
      <w:bookmarkStart w:id="383" w:name="_Toc25800"/>
      <w:bookmarkStart w:id="384" w:name="_Toc5845"/>
      <w:bookmarkStart w:id="385" w:name="_Toc32596"/>
      <w:r>
        <w:rPr>
          <w:rFonts w:hint="eastAsia" w:ascii="楷体_GB2312" w:hAnsi="楷体" w:eastAsia="楷体_GB2312" w:cs="宋体"/>
          <w:b w:val="0"/>
          <w:bCs w:val="0"/>
          <w:color w:val="auto"/>
          <w:spacing w:val="2"/>
          <w:w w:val="99"/>
          <w:kern w:val="0"/>
          <w:sz w:val="32"/>
          <w:szCs w:val="32"/>
          <w:lang w:val="en-US" w:eastAsia="zh-CN" w:bidi="zh-CN"/>
        </w:rPr>
        <w:t>完善组织机制</w:t>
      </w:r>
      <w:bookmarkEnd w:id="374"/>
      <w:bookmarkEnd w:id="375"/>
      <w:bookmarkEnd w:id="376"/>
      <w:bookmarkEnd w:id="377"/>
      <w:bookmarkEnd w:id="378"/>
      <w:bookmarkEnd w:id="379"/>
      <w:bookmarkEnd w:id="380"/>
      <w:bookmarkEnd w:id="381"/>
      <w:bookmarkEnd w:id="382"/>
      <w:bookmarkEnd w:id="383"/>
      <w:bookmarkEnd w:id="384"/>
      <w:bookmarkEnd w:id="385"/>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发挥区大数据工作推进小组领导作用，健全“数智石景山”统筹机制，协调全区数智资源，推动解决重大问题。各单位将“数智石景山”建设作为“一把手工程”，推动智慧城市建设与城市更新、空间优化、产业转型等工作有机衔接。</w:t>
      </w:r>
    </w:p>
    <w:p>
      <w:pPr>
        <w:pStyle w:val="2"/>
        <w:keepNext w:val="0"/>
        <w:keepLines w:val="0"/>
        <w:pageBreakBefore w:val="0"/>
        <w:widowControl w:val="0"/>
        <w:numPr>
          <w:ilvl w:val="0"/>
          <w:numId w:val="4"/>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386" w:name="_Toc10451"/>
      <w:bookmarkStart w:id="387" w:name="_Toc3909"/>
      <w:bookmarkStart w:id="388" w:name="_Toc15296"/>
      <w:bookmarkStart w:id="389" w:name="_Toc25821"/>
      <w:bookmarkStart w:id="390" w:name="_Toc2256"/>
      <w:bookmarkStart w:id="391" w:name="_Toc16933"/>
      <w:bookmarkStart w:id="392" w:name="_Toc62413998"/>
      <w:bookmarkStart w:id="393" w:name="_Toc30110"/>
      <w:bookmarkStart w:id="394" w:name="_Toc4890"/>
      <w:bookmarkStart w:id="395" w:name="_Toc31581"/>
      <w:bookmarkStart w:id="396" w:name="_Toc13359"/>
      <w:bookmarkStart w:id="397" w:name="_Toc15979"/>
      <w:r>
        <w:rPr>
          <w:rFonts w:hint="eastAsia" w:ascii="楷体_GB2312" w:hAnsi="楷体" w:eastAsia="楷体_GB2312" w:cs="宋体"/>
          <w:b w:val="0"/>
          <w:bCs w:val="0"/>
          <w:color w:val="auto"/>
          <w:spacing w:val="2"/>
          <w:w w:val="99"/>
          <w:kern w:val="0"/>
          <w:sz w:val="32"/>
          <w:szCs w:val="32"/>
          <w:lang w:val="en-US" w:eastAsia="zh-CN" w:bidi="zh-CN"/>
        </w:rPr>
        <w:t>筑牢安全保障</w:t>
      </w:r>
      <w:bookmarkEnd w:id="386"/>
      <w:bookmarkEnd w:id="387"/>
      <w:bookmarkEnd w:id="388"/>
      <w:bookmarkEnd w:id="389"/>
      <w:bookmarkEnd w:id="390"/>
      <w:bookmarkEnd w:id="391"/>
      <w:bookmarkEnd w:id="392"/>
      <w:bookmarkEnd w:id="393"/>
      <w:bookmarkEnd w:id="394"/>
      <w:bookmarkEnd w:id="39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加强关键信息基础设施、关键数据资源安全防护，持续开展网络安全等级保护，建立健全网络安全态势感知体系。常态化开展电子政务网络安全检查。推动人工智能安全可靠可控发展，有效防范人工智能模型隐私泄露。强化数据安全态势感知，压实数据安全主体责任，探索“沙盒监管”、触发式监管等新型监管方式。鼓励多种方式保护个人信息，健全投诉渠道，保障个人数据流通安全。</w:t>
      </w:r>
    </w:p>
    <w:p>
      <w:pPr>
        <w:pStyle w:val="2"/>
        <w:keepNext w:val="0"/>
        <w:keepLines w:val="0"/>
        <w:pageBreakBefore w:val="0"/>
        <w:widowControl w:val="0"/>
        <w:numPr>
          <w:ilvl w:val="0"/>
          <w:numId w:val="4"/>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398" w:name="_Toc62413999"/>
      <w:bookmarkStart w:id="399" w:name="_Toc27772"/>
      <w:bookmarkStart w:id="400" w:name="_Toc7787"/>
      <w:bookmarkStart w:id="401" w:name="_Toc3106"/>
      <w:bookmarkStart w:id="402" w:name="_Toc1967"/>
      <w:bookmarkStart w:id="403" w:name="_Toc17915"/>
      <w:bookmarkStart w:id="404" w:name="_Toc30832"/>
      <w:bookmarkStart w:id="405" w:name="_Toc21996"/>
      <w:bookmarkStart w:id="406" w:name="_Toc29541"/>
      <w:bookmarkStart w:id="407" w:name="_Toc30822"/>
      <w:r>
        <w:rPr>
          <w:rFonts w:hint="eastAsia" w:ascii="楷体_GB2312" w:hAnsi="楷体" w:eastAsia="楷体_GB2312" w:cs="宋体"/>
          <w:b w:val="0"/>
          <w:bCs w:val="0"/>
          <w:color w:val="auto"/>
          <w:spacing w:val="2"/>
          <w:w w:val="99"/>
          <w:kern w:val="0"/>
          <w:sz w:val="32"/>
          <w:szCs w:val="32"/>
          <w:lang w:val="en-US" w:eastAsia="zh-CN" w:bidi="zh-CN"/>
        </w:rPr>
        <w:t>健全标准规范</w:t>
      </w:r>
      <w:bookmarkEnd w:id="398"/>
      <w:bookmarkEnd w:id="399"/>
      <w:bookmarkEnd w:id="400"/>
      <w:bookmarkEnd w:id="401"/>
      <w:bookmarkEnd w:id="402"/>
      <w:bookmarkEnd w:id="403"/>
      <w:bookmarkEnd w:id="404"/>
      <w:bookmarkEnd w:id="405"/>
      <w:bookmarkEnd w:id="406"/>
      <w:bookmarkEnd w:id="407"/>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贯彻落实国家、北京市智慧城市领域相关标准规范，制定“十五五”时期“数智石景山”建设要求，修订信息化项目全流程</w:t>
      </w:r>
      <w:r>
        <w:rPr>
          <w:rFonts w:ascii="仿宋_GB2312" w:hAnsi="仿宋_GB2312" w:eastAsia="仿宋_GB2312" w:cs="仿宋_GB2312"/>
          <w:color w:val="auto"/>
          <w:sz w:val="32"/>
          <w:szCs w:val="32"/>
          <w:lang w:val="en-US" w:eastAsia="zh-CN" w:bidi="ar-SA"/>
        </w:rPr>
        <w:t>管理办法</w:t>
      </w:r>
      <w:r>
        <w:rPr>
          <w:rFonts w:hint="eastAsia" w:ascii="仿宋_GB2312" w:hAnsi="仿宋_GB2312" w:eastAsia="仿宋_GB2312" w:cs="仿宋_GB2312"/>
          <w:color w:val="auto"/>
          <w:sz w:val="32"/>
          <w:szCs w:val="32"/>
          <w:lang w:val="en-US" w:eastAsia="zh-CN" w:bidi="ar-SA"/>
        </w:rPr>
        <w:t>及政务数据共享开放管理细则。构建覆盖数据全生命周期的合规标准体系。健全</w:t>
      </w:r>
      <w:r>
        <w:rPr>
          <w:rFonts w:hint="eastAsia" w:ascii="Times New Roman" w:hAnsi="Times New Roman" w:eastAsia="仿宋_GB2312" w:cs="Times New Roman"/>
          <w:b w:val="0"/>
          <w:bCs w:val="0"/>
          <w:color w:val="auto"/>
          <w:sz w:val="32"/>
          <w:szCs w:val="32"/>
          <w:lang w:val="en-US" w:eastAsia="zh-CN"/>
        </w:rPr>
        <w:t>石景山区“城市大脑”标准体系。</w:t>
      </w:r>
      <w:r>
        <w:rPr>
          <w:rFonts w:hint="eastAsia" w:ascii="仿宋_GB2312" w:hAnsi="仿宋_GB2312" w:eastAsia="仿宋_GB2312" w:cs="仿宋_GB2312"/>
          <w:color w:val="auto"/>
          <w:sz w:val="32"/>
          <w:szCs w:val="32"/>
          <w:lang w:val="en-US" w:eastAsia="zh-CN" w:bidi="ar-SA"/>
        </w:rPr>
        <w:t>鼓励行业协会、产业联盟、科研机构、高等院校、企业等多元主体参与数智领域相关标准规范的制定和示范验证。</w:t>
      </w:r>
    </w:p>
    <w:p>
      <w:pPr>
        <w:pStyle w:val="2"/>
        <w:keepNext w:val="0"/>
        <w:keepLines w:val="0"/>
        <w:pageBreakBefore w:val="0"/>
        <w:widowControl w:val="0"/>
        <w:numPr>
          <w:ilvl w:val="0"/>
          <w:numId w:val="4"/>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408" w:name="_Toc19463"/>
      <w:bookmarkStart w:id="409" w:name="_Toc1773"/>
      <w:bookmarkStart w:id="410" w:name="_Toc3221"/>
      <w:bookmarkStart w:id="411" w:name="_Toc603"/>
      <w:bookmarkStart w:id="412" w:name="_Toc6859"/>
      <w:bookmarkStart w:id="413" w:name="_Toc15354"/>
      <w:bookmarkStart w:id="414" w:name="_Toc10106"/>
      <w:bookmarkStart w:id="415" w:name="_Toc438"/>
      <w:bookmarkStart w:id="416" w:name="_Toc31456"/>
      <w:bookmarkStart w:id="417" w:name="_Toc8054"/>
      <w:bookmarkStart w:id="418" w:name="_Toc18110"/>
      <w:bookmarkStart w:id="419" w:name="_Toc62414000"/>
      <w:r>
        <w:rPr>
          <w:rFonts w:hint="eastAsia" w:ascii="楷体_GB2312" w:hAnsi="楷体" w:eastAsia="楷体_GB2312" w:cs="宋体"/>
          <w:b w:val="0"/>
          <w:bCs w:val="0"/>
          <w:color w:val="auto"/>
          <w:spacing w:val="2"/>
          <w:w w:val="99"/>
          <w:kern w:val="0"/>
          <w:sz w:val="32"/>
          <w:szCs w:val="32"/>
          <w:lang w:val="en-US" w:eastAsia="zh-CN" w:bidi="zh-CN"/>
        </w:rPr>
        <w:t>构建创新生态</w:t>
      </w:r>
      <w:bookmarkEnd w:id="408"/>
      <w:bookmarkEnd w:id="409"/>
      <w:bookmarkEnd w:id="410"/>
      <w:bookmarkEnd w:id="411"/>
      <w:bookmarkEnd w:id="412"/>
      <w:bookmarkEnd w:id="413"/>
      <w:bookmarkEnd w:id="414"/>
      <w:bookmarkEnd w:id="415"/>
      <w:bookmarkEnd w:id="416"/>
      <w:bookmarkEnd w:id="417"/>
      <w:bookmarkEnd w:id="418"/>
      <w:bookmarkEnd w:id="419"/>
    </w:p>
    <w:p>
      <w:pPr>
        <w:pStyle w:val="9"/>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b/>
          <w:bCs/>
          <w:color w:val="auto"/>
          <w:sz w:val="32"/>
          <w:szCs w:val="32"/>
          <w:lang w:val="en-US" w:eastAsia="zh-CN" w:bidi="ar-SA"/>
        </w:rPr>
      </w:pPr>
      <w:r>
        <w:rPr>
          <w:rFonts w:hint="eastAsia" w:ascii="仿宋_GB2312" w:hAnsi="仿宋_GB2312" w:eastAsia="仿宋_GB2312" w:cs="仿宋_GB2312"/>
          <w:color w:val="auto"/>
          <w:sz w:val="32"/>
          <w:szCs w:val="32"/>
          <w:lang w:val="en-US" w:eastAsia="zh-CN" w:bidi="ar-SA"/>
        </w:rPr>
        <w:t>统筹财政资金、产业基金利用，保障“数智石景山”建设经费需求。引导社会资本参与“数智石景山”建设，积极争取国家和市级政策支持，</w:t>
      </w:r>
      <w:r>
        <w:rPr>
          <w:rFonts w:hint="eastAsia" w:eastAsia="仿宋_GB2312" w:cs="仿宋_GB2312"/>
          <w:color w:val="auto"/>
          <w:sz w:val="32"/>
          <w:szCs w:val="24"/>
          <w:lang w:eastAsia="zh-CN"/>
        </w:rPr>
        <w:t>鼓励金融机构开发“数据贷”等专属金融产品</w:t>
      </w:r>
      <w:r>
        <w:rPr>
          <w:rFonts w:hint="eastAsia" w:ascii="仿宋_GB2312" w:hAnsi="仿宋_GB2312" w:eastAsia="仿宋_GB2312" w:cs="仿宋_GB2312"/>
          <w:color w:val="auto"/>
          <w:sz w:val="32"/>
          <w:szCs w:val="32"/>
          <w:lang w:val="en-US" w:eastAsia="zh-CN" w:bidi="ar-SA"/>
        </w:rPr>
        <w:t>。巩固数智场景开放创新机制，深化“数据要素×”行动，强化典型案例和试点示范的宣传推广。支持领军企业牵头组建创新联合体，推动政府、企业、科研智库和金融机构等组建“数智石景山”运营生态圈。</w:t>
      </w:r>
      <w:bookmarkEnd w:id="396"/>
      <w:bookmarkEnd w:id="397"/>
    </w:p>
    <w:p>
      <w:pPr>
        <w:pStyle w:val="2"/>
        <w:keepNext w:val="0"/>
        <w:keepLines w:val="0"/>
        <w:pageBreakBefore w:val="0"/>
        <w:widowControl w:val="0"/>
        <w:numPr>
          <w:ilvl w:val="0"/>
          <w:numId w:val="4"/>
        </w:numPr>
        <w:kinsoku/>
        <w:wordWrap/>
        <w:overflowPunct/>
        <w:topLinePunct w:val="0"/>
        <w:autoSpaceDE w:val="0"/>
        <w:autoSpaceDN w:val="0"/>
        <w:bidi w:val="0"/>
        <w:adjustRightInd/>
        <w:snapToGrid/>
        <w:spacing w:after="0" w:line="560" w:lineRule="exact"/>
        <w:ind w:left="-10" w:firstLine="640"/>
        <w:jc w:val="both"/>
        <w:textAlignment w:val="auto"/>
        <w:outlineLvl w:val="1"/>
        <w:rPr>
          <w:rFonts w:hint="eastAsia" w:ascii="楷体_GB2312" w:hAnsi="楷体" w:eastAsia="楷体_GB2312" w:cs="宋体"/>
          <w:b w:val="0"/>
          <w:bCs w:val="0"/>
          <w:color w:val="auto"/>
          <w:spacing w:val="2"/>
          <w:w w:val="99"/>
          <w:kern w:val="0"/>
          <w:sz w:val="32"/>
          <w:szCs w:val="32"/>
          <w:lang w:val="en-US" w:eastAsia="zh-CN" w:bidi="zh-CN"/>
        </w:rPr>
      </w:pPr>
      <w:bookmarkStart w:id="420" w:name="_Toc31673"/>
      <w:bookmarkStart w:id="421" w:name="_Toc12522"/>
      <w:bookmarkStart w:id="422" w:name="_Toc25811"/>
      <w:bookmarkStart w:id="423" w:name="_Toc62414001"/>
      <w:bookmarkStart w:id="424" w:name="_Toc22550"/>
      <w:bookmarkStart w:id="425" w:name="_Toc31039"/>
      <w:bookmarkStart w:id="426" w:name="_Toc19812"/>
      <w:bookmarkStart w:id="427" w:name="_Toc32152"/>
      <w:r>
        <w:rPr>
          <w:rFonts w:hint="eastAsia" w:ascii="楷体_GB2312" w:hAnsi="楷体" w:eastAsia="楷体_GB2312" w:cs="宋体"/>
          <w:b w:val="0"/>
          <w:bCs w:val="0"/>
          <w:color w:val="auto"/>
          <w:spacing w:val="2"/>
          <w:w w:val="99"/>
          <w:kern w:val="0"/>
          <w:sz w:val="32"/>
          <w:szCs w:val="32"/>
          <w:lang w:val="en-US" w:eastAsia="zh-CN" w:bidi="zh-CN"/>
        </w:rPr>
        <w:t>培育数智素养</w:t>
      </w:r>
      <w:bookmarkEnd w:id="420"/>
      <w:bookmarkEnd w:id="421"/>
      <w:bookmarkEnd w:id="422"/>
      <w:bookmarkEnd w:id="423"/>
      <w:bookmarkEnd w:id="424"/>
      <w:bookmarkEnd w:id="425"/>
      <w:bookmarkEnd w:id="426"/>
      <w:bookmarkEnd w:id="427"/>
    </w:p>
    <w:p>
      <w:pPr>
        <w:spacing w:line="560" w:lineRule="exact"/>
        <w:ind w:firstLine="640" w:firstLineChars="200"/>
        <w:outlineLvl w:val="9"/>
        <w:rPr>
          <w:rFonts w:hint="eastAsia" w:ascii="仿宋_GB2312" w:hAnsi="仿宋_GB2312" w:eastAsia="仿宋_GB2312" w:cs="仿宋_GB2312"/>
          <w:b w:val="0"/>
          <w:bCs w:val="0"/>
          <w:color w:val="auto"/>
          <w:sz w:val="32"/>
          <w:szCs w:val="32"/>
          <w:highlight w:val="none"/>
          <w:lang w:val="en-US" w:eastAsia="zh-CN" w:bidi="ar-SA"/>
        </w:rPr>
      </w:pPr>
      <w:bookmarkStart w:id="428" w:name="_Toc37"/>
      <w:r>
        <w:rPr>
          <w:rFonts w:hint="eastAsia" w:ascii="仿宋_GB2312" w:hAnsi="仿宋_GB2312" w:eastAsia="仿宋_GB2312" w:cs="仿宋_GB2312"/>
          <w:b w:val="0"/>
          <w:bCs w:val="0"/>
          <w:color w:val="auto"/>
          <w:sz w:val="32"/>
          <w:szCs w:val="32"/>
          <w:highlight w:val="none"/>
          <w:lang w:val="en-US" w:eastAsia="zh-CN" w:bidi="ar-SA"/>
        </w:rPr>
        <w:t>推广首席数据官制度，增强领导干部和公务员数智思维、数智认知、数智技能，培养既精通业务、又善于运用数智技术开展工作的复合型人才。将数据领域的领军人才、高端人才、急需紧缺人才纳入“景贤人才”政策体系。重点加强基层人员数智技术培训，提升各层级数字服务能力。</w:t>
      </w:r>
      <w:bookmarkEnd w:id="428"/>
      <w:bookmarkStart w:id="429" w:name="_Toc17257"/>
    </w:p>
    <w:bookmarkEnd w:id="429"/>
    <w:p>
      <w:pPr>
        <w:spacing w:line="560" w:lineRule="exact"/>
        <w:ind w:firstLine="0" w:firstLineChars="0"/>
        <w:outlineLvl w:val="9"/>
        <w:rPr>
          <w:color w:val="auto"/>
          <w:lang w:val="en-US" w:eastAsia="zh-CN"/>
        </w:rPr>
      </w:pPr>
    </w:p>
    <w:sectPr>
      <w:footerReference r:id="rId6" w:type="default"/>
      <w:pgSz w:w="11905" w:h="16838"/>
      <w:pgMar w:top="2098" w:right="1474" w:bottom="1984" w:left="1587" w:header="850" w:footer="992" w:gutter="0"/>
      <w:pgNumType w:start="1"/>
      <w:cols w:space="0" w:num="1"/>
      <w:rtlGutter w:val="1"/>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1"/>
    <w:family w:val="auto"/>
    <w:pitch w:val="default"/>
    <w:sig w:usb0="E0000AFF" w:usb1="00007843" w:usb2="00000001" w:usb3="00000000" w:csb0="400001BF" w:csb1="DFF70000"/>
    <w:embedRegular r:id="rId1" w:fontKey="{B61AFBAA-E00A-DB04-5DB0-F2694189C273}"/>
  </w:font>
  <w:font w:name="宋体">
    <w:altName w:val="汉仪书宋二KW"/>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4F05CBF5-4BFE-D883-5DB0-F269F87353BD}"/>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兰亭黑_GBK">
    <w:altName w:val="汉仪中黑KW"/>
    <w:panose1 w:val="02000000000000000000"/>
    <w:charset w:val="86"/>
    <w:family w:val="script"/>
    <w:pitch w:val="default"/>
    <w:sig w:usb0="00000000" w:usb1="00000000" w:usb2="00000016"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3" w:fontKey="{EC9B0126-C867-61EF-5DB0-F269CAFA1A42}"/>
  </w:font>
  <w:font w:name="国标宋体">
    <w:altName w:val="汉仪书宋二KW"/>
    <w:panose1 w:val="02000500000000000000"/>
    <w:charset w:val="86"/>
    <w:family w:val="auto"/>
    <w:pitch w:val="default"/>
    <w:sig w:usb0="00000000" w:usb1="00000000" w:usb2="00000000" w:usb3="00000000" w:csb0="00060007" w:csb1="00000000"/>
  </w:font>
  <w:font w:name="楷体_GB2312">
    <w:altName w:val="汉仪楷体简"/>
    <w:panose1 w:val="02010609030101010101"/>
    <w:charset w:val="86"/>
    <w:family w:val="auto"/>
    <w:pitch w:val="default"/>
    <w:sig w:usb0="00000000" w:usb1="00000000" w:usb2="0000000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仿宋">
    <w:altName w:val="方正仿宋_GBK"/>
    <w:panose1 w:val="02010609060101010101"/>
    <w:charset w:val="86"/>
    <w:family w:val="auto"/>
    <w:pitch w:val="default"/>
    <w:sig w:usb0="00000000" w:usb1="00000000" w:usb2="00000016" w:usb3="00000000" w:csb0="00040001" w:csb1="00000000"/>
  </w:font>
  <w:font w:name="Verdana">
    <w:panose1 w:val="020B0804030504040204"/>
    <w:charset w:val="00"/>
    <w:family w:val="auto"/>
    <w:pitch w:val="default"/>
    <w:sig w:usb0="A10006FF" w:usb1="4000205B" w:usb2="00000010" w:usb3="00000000" w:csb0="2000019F" w:csb1="00000000"/>
    <w:embedRegular r:id="rId4" w:fontKey="{BBAB0F48-3F6A-CEB1-5DB0-F26955F0EC0D}"/>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汉仪楷体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inside" w:y="1"/>
      <w:pBdr>
        <w:top w:val="none" w:color="auto" w:sz="0" w:space="0"/>
        <w:left w:val="none" w:color="auto" w:sz="0" w:space="0"/>
        <w:bottom w:val="none" w:color="auto" w:sz="0" w:space="0"/>
        <w:right w:val="none" w:color="auto" w:sz="0" w:space="0"/>
      </w:pBdr>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pPr>
      <w:pStyle w:val="13"/>
      <w:framePr w:wrap="around" w:vAnchor="text" w:hAnchor="margin" w:xAlign="outside" w:y="1"/>
      <w:pBdr>
        <w:top w:val="none" w:color="auto" w:sz="0" w:space="0"/>
        <w:left w:val="none" w:color="auto" w:sz="0" w:space="0"/>
        <w:bottom w:val="none" w:color="auto" w:sz="0" w:space="0"/>
        <w:right w:val="none" w:color="auto" w:sz="0" w:space="0"/>
      </w:pBdr>
      <w:ind w:firstLine="360"/>
    </w:pPr>
    <w:r>
      <w:rPr>
        <w:rStyle w:val="23"/>
      </w:rPr>
      <w:fldChar w:fldCharType="begin"/>
    </w:r>
    <w:r>
      <w:rPr>
        <w:rStyle w:val="23"/>
      </w:rPr>
      <w:instrText xml:space="preserve">Page</w:instrText>
    </w:r>
    <w:r>
      <w:rPr>
        <w:rStyle w:val="23"/>
      </w:rPr>
      <w:fldChar w:fldCharType="separate"/>
    </w:r>
    <w:r>
      <w:rPr>
        <w:rStyle w:val="23"/>
      </w:rPr>
      <w:t>1</w:t>
    </w:r>
    <w:r>
      <w:rPr>
        <w:rStyle w:val="23"/>
      </w:rPr>
      <w:fldChar w:fldCharType="end"/>
    </w:r>
  </w:p>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noFill/>
                      <a:ln w="6350" cap="flat" cmpd="sng">
                        <a:noFill/>
                        <a:prstDash val="solid"/>
                        <a:round/>
                      </a:ln>
                    </wps:spPr>
                    <wps:txbx>
                      <w:txbxContent>
                        <w:p>
                          <w:pPr>
                            <w:pStyle w:val="13"/>
                            <w:rPr>
                              <w:rFonts w:hint="eastAsia" w:ascii="国标宋体" w:hAnsi="国标宋体" w:eastAsia="国标宋体" w:cs="国标宋体"/>
                              <w:sz w:val="28"/>
                              <w:szCs w:val="28"/>
                            </w:rPr>
                          </w:pP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1</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p>
                      </w:txbxContent>
                    </wps:txbx>
                    <wps:bodyPr vert="horz" wrap="none" lIns="0" tIns="0" rIns="0" bIns="0" anchor="t" anchorCtr="0" upright="0">
                      <a:spAutoFit/>
                    </wps:bodyPr>
                  </wps:wsp>
                </a:graphicData>
              </a:graphic>
            </wp:anchor>
          </w:drawing>
        </mc:Choice>
        <mc:Fallback>
          <w:pict>
            <v:rect id="文本框 4" o:spid="_x0000_s1026" o:spt="1"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nLf9LUAAAABQEAAA8AAAAAAAAA&#10;AQAgAAAAOAAAAGRycy9kb3ducmV2LnhtbFBLAQIUABQAAAAIAIdO4kCKSE92/wEAAPYDAAAOAAAA&#10;AAAAAAEAIAAAADkBAABkcnMvZTJvRG9jLnhtbFBLBQYAAAAABgAGAFkBAACqBQAAAAA=&#10;">
              <v:fill on="f" focussize="0,0"/>
              <v:stroke on="f" weight="0.5pt" joinstyle="round"/>
              <v:imagedata o:title=""/>
              <o:lock v:ext="edit" aspectratio="f"/>
              <v:textbox inset="0mm,0mm,0mm,0mm" style="mso-fit-shape-to-text:t;">
                <w:txbxContent>
                  <w:p>
                    <w:pPr>
                      <w:pStyle w:val="13"/>
                      <w:rPr>
                        <w:rFonts w:hint="eastAsia" w:ascii="国标宋体" w:hAnsi="国标宋体" w:eastAsia="国标宋体" w:cs="国标宋体"/>
                        <w:sz w:val="28"/>
                        <w:szCs w:val="28"/>
                      </w:rPr>
                    </w:pP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1</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614680" cy="231140"/>
              <wp:effectExtent l="0" t="0" r="0" b="0"/>
              <wp:wrapNone/>
              <wp:docPr id="1" name="文本框 1"/>
              <wp:cNvGraphicFramePr/>
              <a:graphic xmlns:a="http://schemas.openxmlformats.org/drawingml/2006/main">
                <a:graphicData uri="http://schemas.microsoft.com/office/word/2010/wordprocessingShape">
                  <wps:wsp>
                    <wps:cNvSpPr/>
                    <wps:spPr>
                      <a:xfrm>
                        <a:off x="0" y="0"/>
                        <a:ext cx="614833" cy="231278"/>
                      </a:xfrm>
                      <a:prstGeom prst="rect">
                        <a:avLst/>
                      </a:prstGeom>
                      <a:noFill/>
                      <a:ln w="6350" cap="flat" cmpd="sng">
                        <a:noFill/>
                        <a:prstDash val="solid"/>
                        <a:round/>
                      </a:ln>
                    </wps:spPr>
                    <wps:txbx>
                      <w:txbxContent>
                        <w:p>
                          <w:pPr>
                            <w:pStyle w:val="13"/>
                            <w:rPr>
                              <w:rFonts w:hint="eastAsia" w:ascii="国标宋体" w:hAnsi="国标宋体" w:eastAsia="国标宋体" w:cs="国标宋体"/>
                              <w:sz w:val="28"/>
                              <w:szCs w:val="28"/>
                            </w:rPr>
                          </w:pP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1</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p>
                      </w:txbxContent>
                    </wps:txbx>
                    <wps:bodyPr vert="horz" wrap="none" lIns="0" tIns="0" rIns="0" bIns="0" anchor="t" anchorCtr="0" upright="0">
                      <a:spAutoFit/>
                    </wps:bodyPr>
                  </wps:wsp>
                </a:graphicData>
              </a:graphic>
            </wp:anchor>
          </w:drawing>
        </mc:Choice>
        <mc:Fallback>
          <w:pict>
            <v:rect id="文本框 1" o:spid="_x0000_s1026" o:spt="1" style="position:absolute;left:0pt;margin-top:0pt;height:18.2pt;width:48.4pt;mso-position-horizontal:inside;mso-position-horizontal-relative:margin;mso-wrap-style:none;z-index:251659264;mso-width-relative:page;mso-height-relative:page;" filled="f" stroked="f" coordsize="21600,21600" o:gfxdata="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7KMcV1wAAAAMBAAAP&#10;AAAAAAAAAAEAIAAAADgAAABkcnMvZG93bnJldi54bWxQSwECFAAUAAAACACHTuJAgNBWhgMCAAD0&#10;AwAADgAAAAAAAAABACAAAAA8AQAAZHJzL2Uyb0RvYy54bWxQSwUGAAAAAAYABgBZAQAAsQUAAAAA&#10;">
              <v:fill on="f" focussize="0,0"/>
              <v:stroke on="f" weight="0.5pt" joinstyle="round"/>
              <v:imagedata o:title=""/>
              <o:lock v:ext="edit" aspectratio="f"/>
              <v:textbox inset="0mm,0mm,0mm,0mm" style="mso-fit-shape-to-text:t;">
                <w:txbxContent>
                  <w:p>
                    <w:pPr>
                      <w:pStyle w:val="13"/>
                      <w:rPr>
                        <w:rFonts w:hint="eastAsia" w:ascii="国标宋体" w:hAnsi="国标宋体" w:eastAsia="国标宋体" w:cs="国标宋体"/>
                        <w:sz w:val="28"/>
                        <w:szCs w:val="28"/>
                      </w:rPr>
                    </w:pPr>
                    <w:r>
                      <w:rPr>
                        <w:rFonts w:hint="eastAsia" w:ascii="国标宋体" w:hAnsi="国标宋体" w:eastAsia="国标宋体" w:cs="国标宋体"/>
                        <w:sz w:val="28"/>
                        <w:szCs w:val="28"/>
                      </w:rPr>
                      <w:t xml:space="preserve">— </w:t>
                    </w:r>
                    <w:r>
                      <w:rPr>
                        <w:rFonts w:hint="eastAsia" w:ascii="国标宋体" w:hAnsi="国标宋体" w:eastAsia="国标宋体" w:cs="国标宋体"/>
                        <w:sz w:val="28"/>
                        <w:szCs w:val="28"/>
                      </w:rPr>
                      <w:fldChar w:fldCharType="begin"/>
                    </w:r>
                    <w:r>
                      <w:rPr>
                        <w:rFonts w:hint="eastAsia" w:ascii="国标宋体" w:hAnsi="国标宋体" w:eastAsia="国标宋体" w:cs="国标宋体"/>
                        <w:sz w:val="28"/>
                        <w:szCs w:val="28"/>
                      </w:rPr>
                      <w:instrText xml:space="preserve"> PAGE  \* MERGEFORMAT </w:instrText>
                    </w:r>
                    <w:r>
                      <w:rPr>
                        <w:rFonts w:hint="eastAsia" w:ascii="国标宋体" w:hAnsi="国标宋体" w:eastAsia="国标宋体" w:cs="国标宋体"/>
                        <w:sz w:val="28"/>
                        <w:szCs w:val="28"/>
                      </w:rPr>
                      <w:fldChar w:fldCharType="separate"/>
                    </w:r>
                    <w:r>
                      <w:rPr>
                        <w:rFonts w:hint="eastAsia" w:ascii="国标宋体" w:hAnsi="国标宋体" w:eastAsia="国标宋体" w:cs="国标宋体"/>
                        <w:sz w:val="28"/>
                        <w:szCs w:val="28"/>
                      </w:rPr>
                      <w:t>1</w:t>
                    </w:r>
                    <w:r>
                      <w:rPr>
                        <w:rFonts w:hint="eastAsia" w:ascii="国标宋体" w:hAnsi="国标宋体" w:eastAsia="国标宋体" w:cs="国标宋体"/>
                        <w:sz w:val="28"/>
                        <w:szCs w:val="28"/>
                      </w:rPr>
                      <w:fldChar w:fldCharType="end"/>
                    </w:r>
                    <w:r>
                      <w:rPr>
                        <w:rFonts w:hint="eastAsia" w:ascii="国标宋体" w:hAnsi="国标宋体" w:eastAsia="国标宋体" w:cs="国标宋体"/>
                        <w:sz w:val="28"/>
                        <w:szCs w:val="28"/>
                      </w:rPr>
                      <w:t xml:space="preserve"> —</w:t>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8BCA5A"/>
    <w:multiLevelType w:val="singleLevel"/>
    <w:tmpl w:val="C18BCA5A"/>
    <w:lvl w:ilvl="0" w:tentative="0">
      <w:start w:val="1"/>
      <w:numFmt w:val="chineseCounting"/>
      <w:suff w:val="nothing"/>
      <w:lvlText w:val="（%1）"/>
      <w:lvlJc w:val="left"/>
      <w:pPr>
        <w:ind w:left="-10" w:firstLine="420"/>
      </w:pPr>
      <w:rPr>
        <w:rFonts w:hint="eastAsia"/>
      </w:rPr>
    </w:lvl>
  </w:abstractNum>
  <w:abstractNum w:abstractNumId="1">
    <w:nsid w:val="CD6C3FD9"/>
    <w:multiLevelType w:val="singleLevel"/>
    <w:tmpl w:val="CD6C3FD9"/>
    <w:lvl w:ilvl="0" w:tentative="0">
      <w:start w:val="1"/>
      <w:numFmt w:val="chineseCounting"/>
      <w:suff w:val="nothing"/>
      <w:lvlText w:val="（%1）"/>
      <w:lvlJc w:val="left"/>
      <w:pPr>
        <w:ind w:left="-10" w:firstLine="420"/>
      </w:pPr>
      <w:rPr>
        <w:rFonts w:hint="eastAsia"/>
      </w:rPr>
    </w:lvl>
  </w:abstractNum>
  <w:abstractNum w:abstractNumId="2">
    <w:nsid w:val="1D804383"/>
    <w:multiLevelType w:val="singleLevel"/>
    <w:tmpl w:val="1D804383"/>
    <w:lvl w:ilvl="0" w:tentative="0">
      <w:start w:val="3"/>
      <w:numFmt w:val="chineseCounting"/>
      <w:suff w:val="nothing"/>
      <w:lvlText w:val="%1、"/>
      <w:lvlJc w:val="left"/>
      <w:rPr>
        <w:rFonts w:hint="eastAsia"/>
      </w:rPr>
    </w:lvl>
  </w:abstractNum>
  <w:abstractNum w:abstractNumId="3">
    <w:nsid w:val="1F757F30"/>
    <w:multiLevelType w:val="singleLevel"/>
    <w:tmpl w:val="1F757F30"/>
    <w:lvl w:ilvl="0" w:tentative="0">
      <w:start w:val="1"/>
      <w:numFmt w:val="chineseCounting"/>
      <w:suff w:val="nothing"/>
      <w:lvlText w:val="（%1）"/>
      <w:lvlJc w:val="left"/>
      <w:pPr>
        <w:ind w:left="0" w:firstLine="42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TrueTypeFonts/>
  <w:saveSubsetFonts/>
  <w:bordersDoNotSurroundHeader w:val="0"/>
  <w:bordersDoNotSurroundFooter w:val="0"/>
  <w:documentProtection w:enforcement="0"/>
  <w:defaultTabStop w:val="420"/>
  <w:drawingGridHorizontalSpacing w:val="105"/>
  <w:drawingGridVerticalSpacing w:val="164"/>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
  <w:docVars>
    <w:docVar w:name="commondata" w:val="eyJoZGlkIjoiOGE2NmYwM2IyYjcyM2ZmMzRmZTg1MGQyYTYyNzZmMDMifQ=="/>
  </w:docVars>
  <w:rsids>
    <w:rsidRoot w:val="00000000"/>
    <w:rsid w:val="06672914"/>
    <w:rsid w:val="0EFE45AD"/>
    <w:rsid w:val="169E7A6F"/>
    <w:rsid w:val="246A6442"/>
    <w:rsid w:val="27AD03A4"/>
    <w:rsid w:val="2BA215B8"/>
    <w:rsid w:val="421B1247"/>
    <w:rsid w:val="434B5F82"/>
    <w:rsid w:val="437F68B8"/>
    <w:rsid w:val="4DC46991"/>
    <w:rsid w:val="50ED4E6B"/>
    <w:rsid w:val="545A09CF"/>
    <w:rsid w:val="621B5D3E"/>
    <w:rsid w:val="6E630967"/>
    <w:rsid w:val="7FFF388A"/>
    <w:rsid w:val="A6EB75FA"/>
    <w:rsid w:val="DFEFAB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pPr>
    <w:rPr>
      <w:rFonts w:ascii="Times New Roman" w:hAnsi="Times New Roman" w:eastAsia="宋体" w:cs="Times New Roman"/>
      <w:kern w:val="2"/>
      <w:sz w:val="21"/>
      <w:szCs w:val="20"/>
      <w:lang w:val="en-US" w:eastAsia="zh-CN" w:bidi="ar-SA"/>
    </w:rPr>
  </w:style>
  <w:style w:type="paragraph" w:styleId="4">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27"/>
    <w:qFormat/>
    <w:uiPriority w:val="0"/>
    <w:pPr>
      <w:keepNext/>
      <w:keepLines/>
      <w:spacing w:before="260" w:after="260" w:line="415" w:lineRule="auto"/>
      <w:outlineLvl w:val="1"/>
    </w:pPr>
    <w:rPr>
      <w:rFonts w:ascii="Times New Roman" w:hAnsi="Times New Roman" w:eastAsia="黑体"/>
      <w:b/>
      <w:bCs/>
      <w:sz w:val="32"/>
      <w:szCs w:val="32"/>
    </w:rPr>
  </w:style>
  <w:style w:type="paragraph" w:styleId="6">
    <w:name w:val="heading 3"/>
    <w:basedOn w:val="1"/>
    <w:next w:val="1"/>
    <w:link w:val="28"/>
    <w:qFormat/>
    <w:uiPriority w:val="0"/>
    <w:pPr>
      <w:keepNext/>
      <w:keepLines/>
      <w:spacing w:before="260" w:after="260" w:line="415" w:lineRule="auto"/>
      <w:outlineLvl w:val="2"/>
    </w:pPr>
    <w:rPr>
      <w:b/>
      <w:bCs/>
      <w:sz w:val="32"/>
      <w:szCs w:val="32"/>
    </w:rPr>
  </w:style>
  <w:style w:type="character" w:default="1" w:styleId="21">
    <w:name w:val="Default Paragraph Font"/>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val="0"/>
      <w:spacing w:after="120"/>
      <w:jc w:val="both"/>
    </w:pPr>
    <w:rPr>
      <w:rFonts w:ascii="Calibri" w:hAnsi="Calibri" w:eastAsia="宋体" w:cs="Arial"/>
      <w:kern w:val="2"/>
      <w:sz w:val="21"/>
      <w:szCs w:val="24"/>
      <w:lang w:val="en-US" w:eastAsia="zh-CN" w:bidi="ar-SA"/>
    </w:rPr>
  </w:style>
  <w:style w:type="paragraph" w:customStyle="1" w:styleId="3">
    <w:name w:val="目录 11"/>
    <w:next w:val="1"/>
    <w:qFormat/>
    <w:uiPriority w:val="0"/>
    <w:pPr>
      <w:wordWrap w:val="0"/>
      <w:jc w:val="both"/>
    </w:pPr>
    <w:rPr>
      <w:rFonts w:ascii="Times New Roman" w:hAnsi="Times New Roman" w:eastAsia="宋体" w:cs="Times New Roman"/>
      <w:sz w:val="21"/>
      <w:szCs w:val="22"/>
      <w:lang w:val="en-US" w:eastAsia="zh-CN" w:bidi="ar-SA"/>
    </w:rPr>
  </w:style>
  <w:style w:type="paragraph" w:styleId="7">
    <w:name w:val="Normal Indent"/>
    <w:basedOn w:val="1"/>
    <w:qFormat/>
    <w:uiPriority w:val="0"/>
    <w:pPr>
      <w:autoSpaceDE w:val="0"/>
      <w:autoSpaceDN w:val="0"/>
      <w:adjustRightInd w:val="0"/>
      <w:ind w:firstLine="420"/>
      <w:jc w:val="left"/>
    </w:pPr>
    <w:rPr>
      <w:rFonts w:ascii="宋体"/>
      <w:kern w:val="0"/>
      <w:sz w:val="24"/>
    </w:rPr>
  </w:style>
  <w:style w:type="paragraph" w:styleId="8">
    <w:name w:val="Document Map"/>
    <w:basedOn w:val="1"/>
    <w:next w:val="9"/>
    <w:qFormat/>
    <w:uiPriority w:val="0"/>
    <w:pPr>
      <w:widowControl w:val="0"/>
      <w:shd w:val="clear" w:color="auto" w:fill="000080"/>
      <w:jc w:val="both"/>
    </w:pPr>
    <w:rPr>
      <w:rFonts w:ascii="方正兰亭黑_GBK" w:hAnsi="Calibri" w:eastAsia="方正兰亭黑_GBK" w:cs="Times New Roman"/>
      <w:kern w:val="2"/>
      <w:sz w:val="23"/>
      <w:szCs w:val="23"/>
      <w:lang w:val="en-US" w:eastAsia="zh-CN" w:bidi="ar-SA"/>
    </w:rPr>
  </w:style>
  <w:style w:type="paragraph" w:styleId="9">
    <w:name w:val="Plain Text"/>
    <w:basedOn w:val="1"/>
    <w:next w:val="1"/>
    <w:qFormat/>
    <w:uiPriority w:val="0"/>
    <w:rPr>
      <w:rFonts w:ascii="宋体" w:hAnsi="Courier New" w:eastAsia="宋体" w:cs="Courier New"/>
      <w:szCs w:val="21"/>
      <w:lang w:bidi="ar-SA"/>
    </w:rPr>
  </w:style>
  <w:style w:type="paragraph" w:styleId="10">
    <w:name w:val="annotation text"/>
    <w:basedOn w:val="1"/>
    <w:qFormat/>
    <w:uiPriority w:val="0"/>
    <w:pPr>
      <w:jc w:val="left"/>
    </w:pPr>
  </w:style>
  <w:style w:type="paragraph" w:styleId="11">
    <w:name w:val="Body Text Indent"/>
    <w:basedOn w:val="1"/>
    <w:qFormat/>
    <w:uiPriority w:val="0"/>
    <w:pPr>
      <w:spacing w:after="120"/>
      <w:ind w:left="200" w:leftChars="200"/>
    </w:pPr>
  </w:style>
  <w:style w:type="paragraph" w:styleId="12">
    <w:name w:val="Body Text Indent 2"/>
    <w:basedOn w:val="1"/>
    <w:qFormat/>
    <w:uiPriority w:val="0"/>
    <w:pPr>
      <w:spacing w:after="120" w:line="480" w:lineRule="auto"/>
      <w:ind w:left="200" w:leftChars="200"/>
    </w:p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0"/>
  </w:style>
  <w:style w:type="paragraph" w:styleId="16">
    <w:name w:val="toc 2"/>
    <w:basedOn w:val="1"/>
    <w:next w:val="1"/>
    <w:qFormat/>
    <w:uiPriority w:val="0"/>
    <w:pPr>
      <w:ind w:left="200" w:leftChars="200"/>
    </w:pPr>
  </w:style>
  <w:style w:type="paragraph" w:styleId="17">
    <w:name w:val="Normal (Web)"/>
    <w:basedOn w:val="1"/>
    <w:qFormat/>
    <w:uiPriority w:val="0"/>
    <w:pPr>
      <w:spacing w:before="0" w:beforeAutospacing="1" w:after="0" w:afterAutospacing="1"/>
      <w:ind w:left="0" w:right="0"/>
      <w:jc w:val="left"/>
    </w:pPr>
    <w:rPr>
      <w:kern w:val="0"/>
      <w:sz w:val="24"/>
      <w:lang w:val="en-US" w:eastAsia="zh-CN"/>
    </w:rPr>
  </w:style>
  <w:style w:type="paragraph" w:styleId="18">
    <w:name w:val="annotation subject"/>
    <w:basedOn w:val="1"/>
    <w:next w:val="10"/>
    <w:qFormat/>
    <w:uiPriority w:val="0"/>
    <w:pPr>
      <w:jc w:val="left"/>
    </w:pPr>
    <w:rPr>
      <w:rFonts w:ascii="Times New Roman" w:hAnsi="Times New Roman" w:eastAsia="宋体" w:cs="Times New Roman"/>
      <w:b/>
      <w:bCs/>
      <w:kern w:val="2"/>
      <w:sz w:val="21"/>
      <w:szCs w:val="20"/>
      <w:lang w:val="en-US" w:eastAsia="zh-CN" w:bidi="ar-SA"/>
    </w:rPr>
  </w:style>
  <w:style w:type="paragraph" w:styleId="19">
    <w:name w:val="Body Text First Indent 2"/>
    <w:basedOn w:val="11"/>
    <w:qFormat/>
    <w:uiPriority w:val="0"/>
    <w:pPr>
      <w:adjustRightInd w:val="0"/>
      <w:snapToGrid w:val="0"/>
      <w:ind w:right="240" w:firstLine="420"/>
    </w:pPr>
    <w:rPr>
      <w:rFonts w:ascii="仿宋_GB2312" w:hAnsi="仿宋_GB2312"/>
      <w:lang w:val="zh-CN" w:eastAsia="zh-CN"/>
    </w:rPr>
  </w:style>
  <w:style w:type="character" w:styleId="22">
    <w:name w:val="Strong"/>
    <w:basedOn w:val="21"/>
    <w:qFormat/>
    <w:uiPriority w:val="0"/>
    <w:rPr>
      <w:b/>
    </w:rPr>
  </w:style>
  <w:style w:type="character" w:styleId="23">
    <w:name w:val="page number"/>
    <w:qFormat/>
    <w:uiPriority w:val="0"/>
  </w:style>
  <w:style w:type="character" w:styleId="24">
    <w:name w:val="Emphasis"/>
    <w:basedOn w:val="21"/>
    <w:qFormat/>
    <w:uiPriority w:val="0"/>
    <w:rPr>
      <w:i/>
    </w:rPr>
  </w:style>
  <w:style w:type="character" w:styleId="25">
    <w:name w:val="Hyperlink"/>
    <w:basedOn w:val="21"/>
    <w:qFormat/>
    <w:uiPriority w:val="0"/>
    <w:rPr>
      <w:color w:val="0000FF"/>
      <w:u w:val="single"/>
    </w:rPr>
  </w:style>
  <w:style w:type="character" w:customStyle="1" w:styleId="26">
    <w:name w:val="heading 1 Char"/>
    <w:basedOn w:val="21"/>
    <w:link w:val="4"/>
    <w:qFormat/>
    <w:uiPriority w:val="0"/>
    <w:rPr>
      <w:rFonts w:ascii="Times New Roman" w:hAnsi="Times New Roman" w:eastAsia="宋体" w:cs="Times New Roman"/>
      <w:b/>
      <w:bCs/>
      <w:kern w:val="44"/>
      <w:sz w:val="44"/>
      <w:szCs w:val="44"/>
      <w:lang w:val="en-US" w:eastAsia="zh-CN" w:bidi="ar-SA"/>
    </w:rPr>
  </w:style>
  <w:style w:type="character" w:customStyle="1" w:styleId="27">
    <w:name w:val="heading 2 Char"/>
    <w:basedOn w:val="21"/>
    <w:link w:val="5"/>
    <w:qFormat/>
    <w:uiPriority w:val="0"/>
    <w:rPr>
      <w:rFonts w:ascii="Times New Roman" w:hAnsi="Times New Roman" w:eastAsia="黑体" w:cs="Times New Roman"/>
      <w:b/>
      <w:bCs/>
      <w:kern w:val="2"/>
      <w:sz w:val="32"/>
      <w:szCs w:val="32"/>
      <w:lang w:val="en-US" w:eastAsia="zh-CN" w:bidi="ar-SA"/>
    </w:rPr>
  </w:style>
  <w:style w:type="character" w:customStyle="1" w:styleId="28">
    <w:name w:val="heading 3 Char"/>
    <w:basedOn w:val="21"/>
    <w:link w:val="6"/>
    <w:qFormat/>
    <w:uiPriority w:val="0"/>
    <w:rPr>
      <w:rFonts w:ascii="Times New Roman" w:hAnsi="Times New Roman" w:eastAsia="宋体" w:cs="Times New Roman"/>
      <w:b/>
      <w:bCs/>
      <w:kern w:val="2"/>
      <w:sz w:val="32"/>
      <w:szCs w:val="32"/>
      <w:lang w:val="en-US" w:eastAsia="zh-CN" w:bidi="ar-SA"/>
    </w:rPr>
  </w:style>
  <w:style w:type="paragraph" w:customStyle="1" w:styleId="29">
    <w:name w:val="Default"/>
    <w:qFormat/>
    <w:uiPriority w:val="0"/>
    <w:pPr>
      <w:widowControl w:val="0"/>
      <w:autoSpaceDE w:val="0"/>
      <w:autoSpaceDN w:val="0"/>
      <w:adjustRightInd w:val="0"/>
    </w:pPr>
    <w:rPr>
      <w:rFonts w:ascii="仿宋_GB2312" w:hAnsi="仿宋_GB2312" w:eastAsia="仿宋_GB2312" w:cs="Times New Roman"/>
      <w:color w:val="000000"/>
      <w:sz w:val="24"/>
      <w:szCs w:val="20"/>
      <w:lang w:val="en-US" w:eastAsia="zh-CN" w:bidi="ar-SA"/>
    </w:rPr>
  </w:style>
  <w:style w:type="character" w:customStyle="1" w:styleId="30">
    <w:name w:val="font31"/>
    <w:basedOn w:val="21"/>
    <w:qFormat/>
    <w:uiPriority w:val="0"/>
    <w:rPr>
      <w:rFonts w:ascii="黑体" w:hAnsi="宋体" w:eastAsia="黑体" w:cs="黑体"/>
      <w:color w:val="000000"/>
      <w:sz w:val="28"/>
      <w:szCs w:val="28"/>
      <w:u w:val="none"/>
    </w:rPr>
  </w:style>
  <w:style w:type="paragraph" w:customStyle="1" w:styleId="31">
    <w:name w:val="PlainText"/>
    <w:basedOn w:val="1"/>
    <w:next w:val="1"/>
    <w:qFormat/>
    <w:uiPriority w:val="0"/>
    <w:rPr>
      <w:rFonts w:ascii="宋体" w:hAnsi="宋体" w:eastAsia="宋体" w:cs="Times New Roman"/>
      <w:color w:val="000000"/>
      <w:szCs w:val="21"/>
      <w:lang w:bidi="ar-SA"/>
    </w:rPr>
  </w:style>
  <w:style w:type="paragraph" w:customStyle="1" w:styleId="32">
    <w:name w:val="*正文"/>
    <w:basedOn w:val="1"/>
    <w:qFormat/>
    <w:uiPriority w:val="0"/>
    <w:pPr>
      <w:widowControl/>
      <w:ind w:firstLine="200"/>
    </w:pPr>
    <w:rPr>
      <w:rFonts w:cs="Times New Roman"/>
    </w:rPr>
  </w:style>
  <w:style w:type="paragraph" w:styleId="33">
    <w:name w:val="List Paragraph"/>
    <w:basedOn w:val="1"/>
    <w:qFormat/>
    <w:uiPriority w:val="0"/>
    <w:pPr>
      <w:widowControl w:val="0"/>
      <w:ind w:firstLine="200" w:firstLineChars="200"/>
      <w:jc w:val="both"/>
    </w:pPr>
    <w:rPr>
      <w:rFonts w:ascii="Times New Roman" w:hAnsi="Times New Roman" w:eastAsia="宋体" w:cs="Times New Roman"/>
      <w:kern w:val="2"/>
      <w:sz w:val="21"/>
      <w:szCs w:val="24"/>
      <w:lang w:val="en-US" w:eastAsia="zh-CN" w:bidi="ar-SA"/>
    </w:rPr>
  </w:style>
  <w:style w:type="character" w:customStyle="1" w:styleId="34">
    <w:name w:val="15"/>
    <w:qFormat/>
    <w:uiPriority w:val="0"/>
    <w:rPr>
      <w:rFonts w:ascii="Times New Roman" w:hAnsi="Times New Roman" w:eastAsia="宋体"/>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
        <a:ea typeface=""/>
        <a:cs typeface=""/>
      </a:majorFont>
      <a:minorFont>
        <a:latin type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ap="flat" cmpd="sng">
          <a:solidFill>
            <a:schemeClr val="phClr"/>
          </a:solidFill>
          <a:prstDash val="solid"/>
          <a:miter/>
        </a:ln>
        <a:ln w="12700" cap="flat" cmpd="sng">
          <a:solidFill>
            <a:schemeClr val="phClr"/>
          </a:solidFill>
          <a:prstDash val="solid"/>
          <a:miter/>
        </a:ln>
        <a:ln w="19050" cap="flat" cmpd="sng">
          <a:solidFill>
            <a:schemeClr val="phClr"/>
          </a:solidFill>
          <a:prstDash val="solid"/>
          <a:miter/>
        </a:ln>
      </a:lnStyleLst>
      <a:effectStyleLst>
        <a:effectStyle>
          <a:effectLst/>
        </a:effectStyle>
        <a:effectStyle>
          <a:effectLst/>
        </a:effectStyle>
        <a:effectStyle>
          <a:effectLst>
            <a:outerShdw blurRad="57150" dist="19050" dir="5400000" rotWithShape="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Lenovo</Company>
  <Pages>28</Pages>
  <Words>443</Words>
  <Characters>468</Characters>
  <Lines>0</Lines>
  <Paragraphs>176</Paragraphs>
  <TotalTime>2</TotalTime>
  <ScaleCrop>false</ScaleCrop>
  <LinksUpToDate>false</LinksUpToDate>
  <CharactersWithSpaces>525</CharactersWithSpaces>
  <Application>WPS Office_6.7.1.8828_F1E327BC-269C-435d-A152-05C5408002CA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2022-01-25T22:26:00Z</dcterms:created>
  <dc:creator>lenovo</dc:creator>
  <cp:lastModifiedBy>Jing</cp:lastModifiedBy>
  <cp:lastPrinted>2026-04-22T06:12:00Z</cp:lastPrinted>
  <dcterms:modified xsi:type="dcterms:W3CDTF">2026-04-30T09:29:01Z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26D2FD771FAB4C575DB0F269911546B7_43</vt:lpwstr>
  </property>
  <property fmtid="{D5CDD505-2E9C-101B-9397-08002B2CF9AE}" pid="4" name="KSOTemplateDocerSaveRecord">
    <vt:lpwstr>eyJoZGlkIjoiODViY2JkMjU3NGYzZTEwMzZmMGFkZWViYmNkYWU3NDIiLCJ1c2VySWQiOiIzOTIyMjk1MDUifQ==</vt:lpwstr>
  </property>
</Properties>
</file>