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CESI黑体-GB2312" w:hAnsi="CESI黑体-GB2312" w:eastAsia="CESI黑体-GB2312" w:cs="CESI黑体-GB2312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A3A36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  <w:t>关于《北京石景山高新技术产业开发区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  <w:t>发展建设规划（2026年—2035年）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3A3A36"/>
          <w:sz w:val="44"/>
          <w:szCs w:val="44"/>
        </w:rPr>
        <w:t>）》的起草说明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color w:val="3A3A3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2月，依据市政府常务会议决议，石景山正式获批设立北京石景山高新技术产业开发区（以下简称“市级高新区”）。为确保市级高新区高水平规划、高标准建设和高质量发展，石景山园管委会区科委立足石景山“三区”定位与西部地区发展实际，系统谋划市级高新区空间承载、功能布局与产业方向，明确发展目标、重点任务和保障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起草了《北京石景山高新技术产业开发区发展建设规划（2026年—2035年）》（征求意见稿）。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《规划》正文涉及总则、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、总体要求、重点任务、保障措施共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18个章节。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第一部分总则中，说明了规划的政策背景、规划的具体地理范围、规划的各阶段期限。在第二部分发展评估中，研究了园区当前用地结构情况、区域协同条件、配套建设进展等基础情况，从国际、国内、区域三个维度分析了园区面临的机遇与挑战。在第三部分总体要求中，明确了规划建设的指导思想、发展原则、规划定位、功能布局、发展目标等重点内容。第四部分共四个章节，第一章节是以绿为底、打造京西发展动力源，包括培育以资源环境与节能环保、数智设计等为优势的研发服务、发展以“254”前沿增量领域为特色的新型高端制造、实施企业梯度培育融通发展、打造高品质的产业空间载体四方面内容；第二章节是产城互促、建设产城融合新样板，包括构建优质均衡的公服配套体系、建立高效便捷的综合交通体系、筑牢安全可靠的市政保障体系、打造文科商旅体展融合服务体系、建设多元融合的全龄友好街区五方面内容；第三章节是内外联动，激发资源统筹新动能，包括深化区内协同以构建产业联动生态、加强区外联动以融入区域发展大局、推动政企互动以激活产学研用动能、优化营商环境以强化要素集聚能力四方面内容；第四章节是机制护航，强化运营管理硬支撑，包括创新管理运营模式、打造智慧园区样板、健全要素配置机制、完善政策支持措施四方面内容。在第五部分保障措施中，提出了构建多元化共治体系、建立全周期动态监测体系、实施园区品牌提升行动等相关举措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3A3A36"/>
          <w:sz w:val="32"/>
          <w:szCs w:val="32"/>
        </w:rPr>
      </w:pPr>
      <w:r>
        <w:rPr>
          <w:rFonts w:hint="eastAsia" w:ascii="黑体" w:hAnsi="黑体" w:eastAsia="黑体" w:cs="黑体"/>
          <w:color w:val="3A3A36"/>
          <w:sz w:val="32"/>
          <w:szCs w:val="32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完成区政府相关审批程序后执行。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04EE"/>
    <w:rsid w:val="031F431D"/>
    <w:rsid w:val="05D21636"/>
    <w:rsid w:val="0CFA59C5"/>
    <w:rsid w:val="0DB851DD"/>
    <w:rsid w:val="0E792D76"/>
    <w:rsid w:val="1C296261"/>
    <w:rsid w:val="1D40607B"/>
    <w:rsid w:val="26DD14C9"/>
    <w:rsid w:val="2EB02911"/>
    <w:rsid w:val="39C257E6"/>
    <w:rsid w:val="3CFB4E20"/>
    <w:rsid w:val="406C1E50"/>
    <w:rsid w:val="42A9596B"/>
    <w:rsid w:val="4D083896"/>
    <w:rsid w:val="51473730"/>
    <w:rsid w:val="598E04EE"/>
    <w:rsid w:val="5CB15336"/>
    <w:rsid w:val="62994EE1"/>
    <w:rsid w:val="65D038A4"/>
    <w:rsid w:val="66313893"/>
    <w:rsid w:val="69877D2E"/>
    <w:rsid w:val="76D01900"/>
    <w:rsid w:val="7CFB7C01"/>
    <w:rsid w:val="7F9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科委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2026-04-20T03:07:00Z</dcterms:created>
  <dc:creator>Administrator</dc:creator>
  <cp:lastModifiedBy>Administrator</cp:lastModifiedBy>
  <cp:lastPrinted>2026-04-20T07:20:00Z</cp:lastPrinted>
  <dcterms:modified xsi:type="dcterms:W3CDTF">2026-04-21T03:35:28Z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