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textAlignment w:val="auto"/>
        <w:rPr>
          <w:rFonts w:hint="eastAsia" w:ascii="Times New Roman" w:hAnsi="Times New Roman" w:eastAsia="方正小标宋简体" w:cs="方正小标宋简体"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CESI黑体-GB2312" w:hAnsi="CESI黑体-GB2312" w:eastAsia="CESI黑体-GB2312" w:cs="CESI黑体-GB2312"/>
          <w:kern w:val="2"/>
          <w:sz w:val="32"/>
          <w:szCs w:val="32"/>
        </w:rPr>
        <w:t>附件</w:t>
      </w:r>
      <w:r>
        <w:rPr>
          <w:rFonts w:hint="eastAsia" w:ascii="CESI黑体-GB2312" w:hAnsi="CESI黑体-GB2312" w:eastAsia="CESI黑体-GB2312" w:cs="CESI黑体-GB2312"/>
          <w:kern w:val="2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 w:val="0"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 w:ascii="Times New Roman" w:hAnsi="Times New Roman" w:eastAsia="方正小标宋简体" w:cs="方正小标宋简体"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 w:val="0"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 w:ascii="Times New Roman" w:hAnsi="Times New Roman" w:eastAsia="方正小标宋简体" w:cs="方正小标宋简体"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 w:val="0"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 w:ascii="Times New Roman" w:hAnsi="Times New Roman" w:eastAsia="方正小标宋简体" w:cs="方正小标宋简体"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142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60" w:line="56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Cs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bCs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  <w:t>北京石景山高新技术产业开发区</w:t>
      </w:r>
    </w:p>
    <w:p>
      <w:pPr>
        <w:keepNext w:val="0"/>
        <w:keepLines w:val="0"/>
        <w:pageBreakBefore w:val="0"/>
        <w:widowControl w:val="0"/>
        <w:tabs>
          <w:tab w:val="left" w:pos="142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60" w:line="56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Cs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bCs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  <w:t>发展建设规划</w:t>
      </w:r>
    </w:p>
    <w:p>
      <w:pPr>
        <w:keepNext w:val="0"/>
        <w:keepLines w:val="0"/>
        <w:pageBreakBefore w:val="0"/>
        <w:widowControl w:val="0"/>
        <w:tabs>
          <w:tab w:val="left" w:pos="142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60" w:line="56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Cs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bCs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  <w:t>（2026年—2035年）</w:t>
      </w:r>
    </w:p>
    <w:p>
      <w:pPr>
        <w:jc w:val="center"/>
        <w:outlineLvl w:val="9"/>
        <w:rPr>
          <w:rFonts w:hint="eastAsia"/>
          <w:color w:val="auto"/>
          <w:sz w:val="32"/>
          <w:szCs w:val="40"/>
          <w:lang w:eastAsia="zh-CN"/>
        </w:rPr>
      </w:pP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 w:val="0"/>
        <w:autoSpaceDN/>
        <w:bidi w:val="0"/>
        <w:spacing w:line="560" w:lineRule="exact"/>
        <w:ind w:firstLine="0" w:firstLineChars="0"/>
        <w:jc w:val="center"/>
        <w:textAlignment w:val="auto"/>
        <w:rPr>
          <w:rFonts w:hint="eastAsia" w:ascii="Times New Roman" w:hAnsi="Times New Roman" w:eastAsia="方正小标宋简体" w:cs="方正小标宋简体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 w:val="0"/>
        <w:autoSpaceDN/>
        <w:bidi w:val="0"/>
        <w:spacing w:line="560" w:lineRule="exact"/>
        <w:ind w:firstLine="0" w:firstLineChars="0"/>
        <w:jc w:val="center"/>
        <w:textAlignment w:val="auto"/>
        <w:rPr>
          <w:rFonts w:hint="eastAsia" w:ascii="Times New Roman" w:hAnsi="Times New Roman" w:eastAsia="方正小标宋简体" w:cs="方正小标宋简体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 w:val="0"/>
        <w:autoSpaceDN/>
        <w:bidi w:val="0"/>
        <w:spacing w:line="560" w:lineRule="exact"/>
        <w:ind w:firstLine="0" w:firstLineChars="0"/>
        <w:jc w:val="center"/>
        <w:textAlignment w:val="auto"/>
        <w:rPr>
          <w:rFonts w:hint="eastAsia" w:ascii="Times New Roman" w:hAnsi="Times New Roman" w:eastAsia="方正小标宋简体" w:cs="方正小标宋简体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 w:val="0"/>
        <w:autoSpaceDN/>
        <w:bidi w:val="0"/>
        <w:spacing w:line="560" w:lineRule="exact"/>
        <w:ind w:firstLine="0" w:firstLineChars="0"/>
        <w:jc w:val="center"/>
        <w:textAlignment w:val="auto"/>
        <w:rPr>
          <w:rFonts w:hint="eastAsia" w:ascii="Times New Roman" w:hAnsi="Times New Roman" w:eastAsia="方正小标宋简体" w:cs="方正小标宋简体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 w:val="0"/>
        <w:autoSpaceDN/>
        <w:bidi w:val="0"/>
        <w:spacing w:line="560" w:lineRule="exact"/>
        <w:ind w:firstLine="0" w:firstLineChars="0"/>
        <w:jc w:val="center"/>
        <w:textAlignment w:val="auto"/>
        <w:rPr>
          <w:rFonts w:hint="eastAsia" w:ascii="Times New Roman" w:hAnsi="Times New Roman" w:eastAsia="方正小标宋简体" w:cs="方正小标宋简体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 w:val="0"/>
        <w:autoSpaceDN/>
        <w:bidi w:val="0"/>
        <w:spacing w:line="560" w:lineRule="exact"/>
        <w:ind w:firstLine="0" w:firstLineChars="0"/>
        <w:jc w:val="center"/>
        <w:textAlignment w:val="auto"/>
        <w:rPr>
          <w:rFonts w:hint="eastAsia" w:ascii="Times New Roman" w:hAnsi="Times New Roman" w:eastAsia="方正小标宋简体" w:cs="方正小标宋简体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 w:val="0"/>
        <w:autoSpaceDN/>
        <w:bidi w:val="0"/>
        <w:spacing w:line="560" w:lineRule="exact"/>
        <w:ind w:firstLine="0" w:firstLineChars="0"/>
        <w:jc w:val="center"/>
        <w:textAlignment w:val="auto"/>
        <w:rPr>
          <w:rFonts w:hint="eastAsia" w:ascii="Times New Roman" w:hAnsi="Times New Roman" w:eastAsia="方正小标宋简体" w:cs="方正小标宋简体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 w:val="0"/>
        <w:autoSpaceDN/>
        <w:bidi w:val="0"/>
        <w:spacing w:line="560" w:lineRule="exact"/>
        <w:ind w:firstLine="0" w:firstLineChars="0"/>
        <w:jc w:val="both"/>
        <w:textAlignment w:val="auto"/>
        <w:rPr>
          <w:rFonts w:hint="eastAsia" w:ascii="Times New Roman" w:hAnsi="Times New Roman" w:eastAsia="方正小标宋简体" w:cs="方正小标宋简体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 w:val="0"/>
        <w:autoSpaceDN/>
        <w:bidi w:val="0"/>
        <w:spacing w:line="560" w:lineRule="exact"/>
        <w:ind w:firstLine="0" w:firstLineChars="0"/>
        <w:jc w:val="center"/>
        <w:textAlignment w:val="auto"/>
        <w:rPr>
          <w:rFonts w:hint="eastAsia" w:ascii="Times New Roman" w:hAnsi="Times New Roman" w:eastAsia="方正小标宋简体" w:cs="方正小标宋简体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 w:val="0"/>
        <w:autoSpaceDN/>
        <w:bidi w:val="0"/>
        <w:spacing w:line="560" w:lineRule="exact"/>
        <w:ind w:firstLine="0" w:firstLineChars="0"/>
        <w:jc w:val="center"/>
        <w:textAlignment w:val="auto"/>
        <w:rPr>
          <w:rFonts w:hint="eastAsia" w:ascii="Times New Roman" w:hAnsi="Times New Roman" w:eastAsia="方正小标宋简体" w:cs="方正小标宋简体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 w:val="0"/>
        <w:autoSpaceDN/>
        <w:bidi w:val="0"/>
        <w:spacing w:line="560" w:lineRule="exact"/>
        <w:ind w:firstLine="0" w:firstLineChars="0"/>
        <w:jc w:val="center"/>
        <w:textAlignment w:val="auto"/>
        <w:rPr>
          <w:rFonts w:hint="eastAsia" w:ascii="Times New Roman" w:hAnsi="Times New Roman" w:eastAsia="黑体" w:cs="黑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黑体" w:cs="黑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中关村科技园区石景山园管理委员会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 w:val="0"/>
        <w:autoSpaceDN/>
        <w:bidi w:val="0"/>
        <w:spacing w:line="560" w:lineRule="exact"/>
        <w:ind w:firstLine="0" w:firstLineChars="0"/>
        <w:jc w:val="center"/>
        <w:textAlignment w:val="auto"/>
        <w:rPr>
          <w:rFonts w:hint="eastAsia" w:ascii="Times New Roman" w:hAnsi="Times New Roman" w:eastAsia="黑体" w:cs="黑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黑体" w:cs="黑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北京市石景山区科学技术委员会</w:t>
      </w:r>
    </w:p>
    <w:p>
      <w:pPr>
        <w:shd w:val="clear" w:color="auto" w:fill="FFFFFF"/>
        <w:autoSpaceDE w:val="0"/>
        <w:spacing w:line="560" w:lineRule="exact"/>
        <w:ind w:firstLine="0" w:firstLineChars="0"/>
        <w:jc w:val="center"/>
        <w:rPr>
          <w:rFonts w:hint="eastAsia" w:ascii="Times New Roman" w:hAnsi="Times New Roman" w:eastAsia="黑体" w:cs="黑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黑体" w:cs="黑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2026年4月</w:t>
      </w:r>
    </w:p>
    <w:p>
      <w:pPr>
        <w:shd w:val="clear" w:color="auto" w:fill="FFFFFF"/>
        <w:autoSpaceDE w:val="0"/>
        <w:spacing w:line="560" w:lineRule="exact"/>
        <w:ind w:firstLine="0" w:firstLineChars="0"/>
        <w:jc w:val="center"/>
        <w:rPr>
          <w:rFonts w:hint="eastAsia" w:ascii="Times New Roman" w:hAnsi="Times New Roman" w:eastAsia="黑体" w:cs="黑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hd w:val="clear" w:color="auto" w:fill="FFFFFF"/>
        <w:autoSpaceDE w:val="0"/>
        <w:spacing w:line="560" w:lineRule="exact"/>
        <w:ind w:firstLine="0" w:firstLineChars="0"/>
        <w:jc w:val="center"/>
        <w:rPr>
          <w:rFonts w:hint="eastAsia" w:ascii="Times New Roman" w:hAnsi="Times New Roman" w:eastAsia="黑体" w:cs="黑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hd w:val="clear" w:color="auto" w:fill="FFFFFF"/>
        <w:autoSpaceDE w:val="0"/>
        <w:spacing w:line="560" w:lineRule="exact"/>
        <w:ind w:firstLine="0" w:firstLineChars="0"/>
        <w:jc w:val="center"/>
        <w:rPr>
          <w:rFonts w:hint="eastAsia" w:ascii="Times New Roman" w:hAnsi="Times New Roman" w:eastAsia="黑体" w:cs="黑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hd w:val="clear" w:color="auto" w:fill="FFFFFF"/>
        <w:autoSpaceDE w:val="0"/>
        <w:spacing w:line="560" w:lineRule="exact"/>
        <w:ind w:firstLine="0" w:firstLineChars="0"/>
        <w:jc w:val="center"/>
        <w:rPr>
          <w:rFonts w:hint="eastAsia" w:ascii="Times New Roman" w:hAnsi="Times New Roman" w:eastAsia="黑体" w:cs="黑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hd w:val="clear" w:color="auto" w:fill="FFFFFF"/>
        <w:autoSpaceDE w:val="0"/>
        <w:spacing w:line="560" w:lineRule="exact"/>
        <w:ind w:firstLine="0" w:firstLineChars="0"/>
        <w:jc w:val="center"/>
        <w:rPr>
          <w:rFonts w:hint="eastAsia" w:ascii="Times New Roman" w:hAnsi="Times New Roman" w:eastAsia="黑体" w:cs="黑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hd w:val="clear" w:color="auto" w:fill="FFFFFF"/>
        <w:autoSpaceDE w:val="0"/>
        <w:spacing w:line="560" w:lineRule="exact"/>
        <w:ind w:firstLine="0" w:firstLineChars="0"/>
        <w:jc w:val="center"/>
        <w:rPr>
          <w:rFonts w:hint="eastAsia" w:ascii="Times New Roman" w:hAnsi="Times New Roman" w:eastAsia="黑体" w:cs="黑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hd w:val="clear" w:color="auto" w:fill="FFFFFF"/>
        <w:autoSpaceDE w:val="0"/>
        <w:spacing w:line="560" w:lineRule="exact"/>
        <w:ind w:firstLine="0" w:firstLineChars="0"/>
        <w:jc w:val="center"/>
        <w:rPr>
          <w:rFonts w:hint="eastAsia" w:ascii="Times New Roman" w:hAnsi="Times New Roman" w:eastAsia="黑体" w:cs="黑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hd w:val="clear" w:color="auto" w:fill="FFFFFF"/>
        <w:autoSpaceDE w:val="0"/>
        <w:spacing w:line="560" w:lineRule="exact"/>
        <w:ind w:firstLine="0" w:firstLineChars="0"/>
        <w:jc w:val="center"/>
        <w:rPr>
          <w:rFonts w:hint="eastAsia" w:ascii="Times New Roman" w:hAnsi="Times New Roman" w:eastAsia="黑体" w:cs="黑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hd w:val="clear" w:color="auto" w:fill="FFFFFF"/>
        <w:autoSpaceDE w:val="0"/>
        <w:spacing w:line="560" w:lineRule="exact"/>
        <w:ind w:firstLine="0" w:firstLineChars="0"/>
        <w:jc w:val="center"/>
        <w:rPr>
          <w:rFonts w:hint="eastAsia" w:ascii="Times New Roman" w:hAnsi="Times New Roman" w:eastAsia="黑体" w:cs="黑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hd w:val="clear" w:color="auto" w:fill="FFFFFF"/>
        <w:autoSpaceDE w:val="0"/>
        <w:spacing w:line="560" w:lineRule="exact"/>
        <w:ind w:firstLine="0" w:firstLineChars="0"/>
        <w:jc w:val="center"/>
        <w:rPr>
          <w:rFonts w:hint="eastAsia" w:ascii="Times New Roman" w:hAnsi="Times New Roman" w:eastAsia="黑体" w:cs="黑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hd w:val="clear" w:color="auto" w:fill="FFFFFF"/>
        <w:autoSpaceDE w:val="0"/>
        <w:spacing w:line="560" w:lineRule="exact"/>
        <w:ind w:firstLine="0" w:firstLineChars="0"/>
        <w:jc w:val="center"/>
        <w:rPr>
          <w:rFonts w:hint="eastAsia" w:ascii="Times New Roman" w:hAnsi="Times New Roman" w:eastAsia="黑体" w:cs="黑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hd w:val="clear" w:color="auto" w:fill="FFFFFF"/>
        <w:autoSpaceDE w:val="0"/>
        <w:spacing w:line="560" w:lineRule="exact"/>
        <w:ind w:firstLine="0" w:firstLineChars="0"/>
        <w:jc w:val="center"/>
        <w:rPr>
          <w:rFonts w:hint="eastAsia" w:ascii="Times New Roman" w:hAnsi="Times New Roman" w:eastAsia="黑体" w:cs="黑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hd w:val="clear" w:color="auto" w:fill="FFFFFF"/>
        <w:autoSpaceDE w:val="0"/>
        <w:spacing w:line="560" w:lineRule="exact"/>
        <w:ind w:firstLine="0" w:firstLineChars="0"/>
        <w:jc w:val="center"/>
        <w:rPr>
          <w:rFonts w:hint="eastAsia" w:ascii="Times New Roman" w:hAnsi="Times New Roman" w:eastAsia="黑体" w:cs="黑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hd w:val="clear" w:color="auto" w:fill="FFFFFF"/>
        <w:autoSpaceDE w:val="0"/>
        <w:spacing w:line="560" w:lineRule="exact"/>
        <w:ind w:firstLine="0" w:firstLineChars="0"/>
        <w:jc w:val="center"/>
        <w:rPr>
          <w:rFonts w:hint="eastAsia" w:ascii="Times New Roman" w:hAnsi="Times New Roman" w:eastAsia="黑体" w:cs="黑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hd w:val="clear" w:color="auto" w:fill="FFFFFF"/>
        <w:autoSpaceDE w:val="0"/>
        <w:spacing w:line="560" w:lineRule="exact"/>
        <w:ind w:firstLine="0" w:firstLineChars="0"/>
        <w:jc w:val="center"/>
        <w:rPr>
          <w:rFonts w:hint="eastAsia" w:ascii="Times New Roman" w:hAnsi="Times New Roman" w:eastAsia="黑体" w:cs="黑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hd w:val="clear" w:color="auto" w:fill="FFFFFF"/>
        <w:autoSpaceDE w:val="0"/>
        <w:spacing w:line="560" w:lineRule="exact"/>
        <w:ind w:firstLine="0" w:firstLineChars="0"/>
        <w:jc w:val="center"/>
        <w:rPr>
          <w:rFonts w:hint="eastAsia" w:ascii="Times New Roman" w:hAnsi="Times New Roman" w:eastAsia="黑体" w:cs="黑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hd w:val="clear" w:color="auto" w:fill="FFFFFF"/>
        <w:autoSpaceDE w:val="0"/>
        <w:spacing w:line="560" w:lineRule="exact"/>
        <w:ind w:firstLine="0" w:firstLineChars="0"/>
        <w:jc w:val="center"/>
        <w:rPr>
          <w:rFonts w:hint="eastAsia" w:ascii="Times New Roman" w:hAnsi="Times New Roman" w:eastAsia="黑体" w:cs="黑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hd w:val="clear" w:color="auto" w:fill="FFFFFF"/>
        <w:autoSpaceDE w:val="0"/>
        <w:spacing w:line="560" w:lineRule="exact"/>
        <w:ind w:firstLine="0" w:firstLineChars="0"/>
        <w:jc w:val="center"/>
        <w:rPr>
          <w:rFonts w:hint="eastAsia" w:ascii="Times New Roman" w:hAnsi="Times New Roman" w:eastAsia="黑体" w:cs="黑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hd w:val="clear" w:color="auto" w:fill="FFFFFF"/>
        <w:autoSpaceDE w:val="0"/>
        <w:spacing w:line="560" w:lineRule="exact"/>
        <w:ind w:firstLine="0" w:firstLineChars="0"/>
        <w:jc w:val="center"/>
        <w:rPr>
          <w:rFonts w:hint="eastAsia" w:ascii="Times New Roman" w:hAnsi="Times New Roman" w:eastAsia="黑体" w:cs="黑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hd w:val="clear" w:color="auto" w:fill="FFFFFF"/>
        <w:autoSpaceDE w:val="0"/>
        <w:spacing w:line="560" w:lineRule="exact"/>
        <w:ind w:firstLine="0" w:firstLineChars="0"/>
        <w:jc w:val="center"/>
        <w:rPr>
          <w:rFonts w:hint="eastAsia" w:ascii="Times New Roman" w:hAnsi="Times New Roman" w:eastAsia="黑体" w:cs="黑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hd w:val="clear" w:color="auto" w:fill="FFFFFF"/>
        <w:autoSpaceDE w:val="0"/>
        <w:spacing w:line="560" w:lineRule="exact"/>
        <w:ind w:firstLine="0" w:firstLineChars="0"/>
        <w:jc w:val="center"/>
        <w:rPr>
          <w:rFonts w:hint="eastAsia" w:ascii="Times New Roman" w:hAnsi="Times New Roman" w:eastAsia="黑体" w:cs="黑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hd w:val="clear" w:color="auto" w:fill="FFFFFF"/>
        <w:autoSpaceDE w:val="0"/>
        <w:spacing w:line="560" w:lineRule="exact"/>
        <w:ind w:firstLine="0" w:firstLineChars="0"/>
        <w:jc w:val="center"/>
        <w:rPr>
          <w:rFonts w:hint="eastAsia" w:ascii="Times New Roman" w:hAnsi="Times New Roman" w:eastAsia="方正小标宋简体" w:cs="方正小标宋简体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/>
        <w:keepLines/>
        <w:pageBreakBefore w:val="0"/>
        <w:widowControl w:val="0"/>
        <w:shd w:val="clear" w:color="auto" w:fill="FFFFFF"/>
        <w:kinsoku/>
        <w:wordWrap/>
        <w:overflowPunct/>
        <w:topLinePunct w:val="0"/>
        <w:autoSpaceDE w:val="0"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color w:val="000000" w:themeColor="text1"/>
          <w:kern w:val="2"/>
          <w:sz w:val="40"/>
          <w:szCs w:val="40"/>
          <w:lang w:val="en-US" w:eastAsia="zh-CN" w:bidi="ar-SA"/>
          <w14:textFill>
            <w14:solidFill>
              <w14:schemeClr w14:val="tx1"/>
            </w14:solidFill>
          </w14:textFill>
        </w:rPr>
      </w:pPr>
      <w:bookmarkStart w:id="0" w:name="_Toc3340"/>
      <w:bookmarkStart w:id="1" w:name="_Toc20241"/>
      <w:bookmarkStart w:id="2" w:name="_Toc13362"/>
      <w:bookmarkStart w:id="3" w:name="_Toc28252"/>
      <w:bookmarkStart w:id="4" w:name="_Toc16985"/>
      <w:bookmarkStart w:id="5" w:name="_Toc26766"/>
      <w:bookmarkStart w:id="6" w:name="_Toc19181"/>
      <w:bookmarkStart w:id="7" w:name="_Toc11879"/>
      <w:bookmarkStart w:id="8" w:name="_Toc19414"/>
      <w:bookmarkStart w:id="9" w:name="_Toc14379"/>
      <w:bookmarkStart w:id="10" w:name="_Toc14730"/>
      <w:bookmarkStart w:id="11" w:name="_Toc20143"/>
      <w:bookmarkStart w:id="12" w:name="_Toc650"/>
      <w:bookmarkStart w:id="13" w:name="_Toc2803"/>
      <w:bookmarkStart w:id="14" w:name="_Toc16535"/>
      <w:bookmarkStart w:id="15" w:name="_Toc14569"/>
      <w:bookmarkStart w:id="16" w:name="_Toc6305"/>
      <w:bookmarkStart w:id="17" w:name="_Toc10404"/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 w:themeColor="text1"/>
          <w:kern w:val="2"/>
          <w:sz w:val="40"/>
          <w:szCs w:val="40"/>
          <w:lang w:val="en-US" w:eastAsia="zh-CN" w:bidi="ar-SA"/>
          <w14:textFill>
            <w14:solidFill>
              <w14:schemeClr w14:val="tx1"/>
            </w14:solidFill>
          </w14:textFill>
        </w:rPr>
        <w:t>目  录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>
      <w:pPr>
        <w:pStyle w:val="11"/>
        <w:tabs>
          <w:tab w:val="right" w:leader="dot" w:pos="8845"/>
        </w:tabs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 w:themeColor="text1"/>
          <w:kern w:val="2"/>
          <w:sz w:val="56"/>
          <w:szCs w:val="56"/>
          <w:lang w:val="en-US" w:eastAsia="zh-CN" w:bidi="ar-SA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 w:themeColor="text1"/>
          <w:kern w:val="2"/>
          <w:sz w:val="56"/>
          <w:szCs w:val="56"/>
          <w:lang w:val="en-US" w:eastAsia="zh-CN" w:bidi="ar-SA"/>
          <w14:textFill>
            <w14:solidFill>
              <w14:schemeClr w14:val="tx1"/>
            </w14:solidFill>
          </w14:textFill>
        </w:rPr>
        <w:instrText xml:space="preserve">TOC \o "1-2" \h \u </w:instrTex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 w:themeColor="text1"/>
          <w:kern w:val="2"/>
          <w:sz w:val="56"/>
          <w:szCs w:val="56"/>
          <w:lang w:val="en-US" w:eastAsia="zh-CN" w:bidi="ar-SA"/>
          <w14:textFill>
            <w14:solidFill>
              <w14:schemeClr w14:val="tx1"/>
            </w14:solidFill>
          </w14:textFill>
        </w:rPr>
        <w:fldChar w:fldCharType="separate"/>
      </w:r>
    </w:p>
    <w:p>
      <w:pPr>
        <w:pStyle w:val="11"/>
        <w:tabs>
          <w:tab w:val="right" w:leader="dot" w:pos="8845"/>
        </w:tabs>
        <w:spacing w:line="480" w:lineRule="exact"/>
        <w:rPr>
          <w:sz w:val="32"/>
          <w:szCs w:val="40"/>
        </w:rPr>
      </w:pPr>
    </w:p>
    <w:p>
      <w:pPr>
        <w:pStyle w:val="11"/>
        <w:tabs>
          <w:tab w:val="right" w:leader="dot" w:pos="8845"/>
        </w:tabs>
        <w:spacing w:line="480" w:lineRule="exact"/>
        <w:rPr>
          <w:rFonts w:ascii="Times New Roman" w:hAnsi="Times New Roman"/>
          <w:sz w:val="32"/>
          <w:szCs w:val="40"/>
        </w:rPr>
      </w:pPr>
      <w:r>
        <w:rPr>
          <w:rFonts w:hint="default" w:ascii="Times New Roman" w:hAnsi="Times New Roman" w:eastAsia="方正小标宋简体" w:cs="Times New Roman"/>
          <w:bCs w:val="0"/>
          <w:color w:val="000000" w:themeColor="text1"/>
          <w:kern w:val="2"/>
          <w:sz w:val="32"/>
          <w:szCs w:val="112"/>
          <w:lang w:val="en-US" w:eastAsia="zh-CN" w:bidi="ar-SA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Times New Roman" w:hAnsi="Times New Roman" w:eastAsia="方正小标宋简体" w:cs="Times New Roman"/>
          <w:bCs w:val="0"/>
          <w:kern w:val="2"/>
          <w:sz w:val="32"/>
          <w:szCs w:val="112"/>
          <w:lang w:val="en-US" w:eastAsia="zh-CN" w:bidi="ar-SA"/>
        </w:rPr>
        <w:instrText xml:space="preserve"> HYPERLINK \l _Toc26838 </w:instrText>
      </w:r>
      <w:r>
        <w:rPr>
          <w:rFonts w:hint="default" w:ascii="Times New Roman" w:hAnsi="Times New Roman" w:eastAsia="方正小标宋简体" w:cs="Times New Roman"/>
          <w:bCs w:val="0"/>
          <w:kern w:val="2"/>
          <w:sz w:val="32"/>
          <w:szCs w:val="112"/>
          <w:lang w:val="en-US" w:eastAsia="zh-CN" w:bidi="ar-SA"/>
        </w:rPr>
        <w:fldChar w:fldCharType="separate"/>
      </w:r>
      <w:r>
        <w:rPr>
          <w:rFonts w:hint="default" w:ascii="Times New Roman" w:hAnsi="Times New Roman" w:eastAsia="黑体" w:cs="Times New Roman"/>
          <w:kern w:val="2"/>
          <w:sz w:val="32"/>
          <w:szCs w:val="72"/>
          <w:lang w:val="en-US" w:eastAsia="zh-CN" w:bidi="ar-SA"/>
        </w:rPr>
        <w:t>一、总则</w:t>
      </w:r>
      <w:r>
        <w:rPr>
          <w:rFonts w:ascii="Times New Roman" w:hAnsi="Times New Roman"/>
          <w:sz w:val="32"/>
          <w:szCs w:val="40"/>
        </w:rPr>
        <w:tab/>
      </w:r>
      <w:r>
        <w:rPr>
          <w:rFonts w:hint="default" w:ascii="Times New Roman" w:hAnsi="Times New Roman"/>
          <w:sz w:val="32"/>
          <w:szCs w:val="40"/>
          <w:lang w:eastAsia="zh-CN"/>
        </w:rPr>
        <w:t>1</w:t>
      </w:r>
      <w:r>
        <w:rPr>
          <w:rFonts w:hint="default" w:ascii="Times New Roman" w:hAnsi="Times New Roman" w:eastAsia="方正小标宋简体" w:cs="Times New Roman"/>
          <w:bCs w:val="0"/>
          <w:color w:val="000000" w:themeColor="text1"/>
          <w:kern w:val="2"/>
          <w:sz w:val="32"/>
          <w:szCs w:val="112"/>
          <w:lang w:val="en-US" w:eastAsia="zh-CN" w:bidi="ar-SA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3"/>
        <w:tabs>
          <w:tab w:val="right" w:leader="dot" w:pos="8845"/>
        </w:tabs>
        <w:spacing w:line="480" w:lineRule="exact"/>
        <w:rPr>
          <w:rFonts w:ascii="Times New Roman" w:hAnsi="Times New Roman"/>
          <w:sz w:val="32"/>
          <w:szCs w:val="40"/>
        </w:rPr>
      </w:pPr>
      <w:r>
        <w:rPr>
          <w:rFonts w:hint="default" w:ascii="Times New Roman" w:hAnsi="Times New Roman" w:eastAsia="方正小标宋简体" w:cs="Times New Roman"/>
          <w:bCs w:val="0"/>
          <w:color w:val="000000" w:themeColor="text1"/>
          <w:kern w:val="2"/>
          <w:sz w:val="32"/>
          <w:szCs w:val="112"/>
          <w:lang w:val="en-US" w:eastAsia="zh-CN" w:bidi="ar-SA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Times New Roman" w:hAnsi="Times New Roman" w:eastAsia="方正小标宋简体" w:cs="Times New Roman"/>
          <w:bCs w:val="0"/>
          <w:kern w:val="2"/>
          <w:sz w:val="32"/>
          <w:szCs w:val="112"/>
          <w:lang w:val="en-US" w:eastAsia="zh-CN" w:bidi="ar-SA"/>
        </w:rPr>
        <w:instrText xml:space="preserve"> HYPERLINK \l _Toc24588 </w:instrText>
      </w:r>
      <w:r>
        <w:rPr>
          <w:rFonts w:hint="default" w:ascii="Times New Roman" w:hAnsi="Times New Roman" w:eastAsia="方正小标宋简体" w:cs="Times New Roman"/>
          <w:bCs w:val="0"/>
          <w:kern w:val="2"/>
          <w:sz w:val="32"/>
          <w:szCs w:val="112"/>
          <w:lang w:val="en-US" w:eastAsia="zh-CN" w:bidi="ar-SA"/>
        </w:rPr>
        <w:fldChar w:fldCharType="separate"/>
      </w:r>
      <w:r>
        <w:rPr>
          <w:rFonts w:hint="default" w:ascii="Times New Roman" w:hAnsi="Times New Roman" w:eastAsia="楷体_GB2312" w:cs="Times New Roman"/>
          <w:bCs w:val="0"/>
          <w:sz w:val="32"/>
          <w:szCs w:val="56"/>
          <w:lang w:val="en-US" w:eastAsia="zh-CN"/>
        </w:rPr>
        <w:t>（一）规划背景</w:t>
      </w:r>
      <w:r>
        <w:rPr>
          <w:rFonts w:ascii="Times New Roman" w:hAnsi="Times New Roman"/>
          <w:sz w:val="32"/>
          <w:szCs w:val="40"/>
        </w:rPr>
        <w:tab/>
      </w:r>
      <w:r>
        <w:rPr>
          <w:rFonts w:hint="default" w:ascii="Times New Roman" w:hAnsi="Times New Roman"/>
          <w:sz w:val="32"/>
          <w:szCs w:val="40"/>
          <w:lang w:eastAsia="zh-CN"/>
        </w:rPr>
        <w:t>1</w:t>
      </w:r>
      <w:r>
        <w:rPr>
          <w:rFonts w:hint="default" w:ascii="Times New Roman" w:hAnsi="Times New Roman" w:eastAsia="方正小标宋简体" w:cs="Times New Roman"/>
          <w:bCs w:val="0"/>
          <w:color w:val="000000" w:themeColor="text1"/>
          <w:kern w:val="2"/>
          <w:sz w:val="32"/>
          <w:szCs w:val="112"/>
          <w:lang w:val="en-US" w:eastAsia="zh-CN" w:bidi="ar-SA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3"/>
        <w:tabs>
          <w:tab w:val="right" w:leader="dot" w:pos="8845"/>
        </w:tabs>
        <w:spacing w:line="480" w:lineRule="exact"/>
        <w:rPr>
          <w:rFonts w:ascii="Times New Roman" w:hAnsi="Times New Roman"/>
          <w:sz w:val="32"/>
          <w:szCs w:val="40"/>
        </w:rPr>
      </w:pPr>
      <w:r>
        <w:rPr>
          <w:rFonts w:hint="default" w:ascii="Times New Roman" w:hAnsi="Times New Roman" w:eastAsia="方正小标宋简体" w:cs="Times New Roman"/>
          <w:bCs w:val="0"/>
          <w:color w:val="000000" w:themeColor="text1"/>
          <w:kern w:val="2"/>
          <w:sz w:val="32"/>
          <w:szCs w:val="112"/>
          <w:lang w:val="en-US" w:eastAsia="zh-CN" w:bidi="ar-SA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Times New Roman" w:hAnsi="Times New Roman" w:eastAsia="方正小标宋简体" w:cs="Times New Roman"/>
          <w:bCs w:val="0"/>
          <w:kern w:val="2"/>
          <w:sz w:val="32"/>
          <w:szCs w:val="112"/>
          <w:lang w:val="en-US" w:eastAsia="zh-CN" w:bidi="ar-SA"/>
        </w:rPr>
        <w:instrText xml:space="preserve"> HYPERLINK \l _Toc20340 </w:instrText>
      </w:r>
      <w:r>
        <w:rPr>
          <w:rFonts w:hint="default" w:ascii="Times New Roman" w:hAnsi="Times New Roman" w:eastAsia="方正小标宋简体" w:cs="Times New Roman"/>
          <w:bCs w:val="0"/>
          <w:kern w:val="2"/>
          <w:sz w:val="32"/>
          <w:szCs w:val="112"/>
          <w:lang w:val="en-US" w:eastAsia="zh-CN" w:bidi="ar-SA"/>
        </w:rPr>
        <w:fldChar w:fldCharType="separate"/>
      </w:r>
      <w:r>
        <w:rPr>
          <w:rFonts w:hint="default" w:ascii="Times New Roman" w:hAnsi="Times New Roman" w:eastAsia="楷体_GB2312" w:cs="Times New Roman"/>
          <w:bCs w:val="0"/>
          <w:sz w:val="32"/>
          <w:szCs w:val="56"/>
          <w:lang w:val="en-US" w:eastAsia="zh-CN"/>
        </w:rPr>
        <w:t>（二）规划范围</w:t>
      </w:r>
      <w:r>
        <w:rPr>
          <w:rFonts w:ascii="Times New Roman" w:hAnsi="Times New Roman"/>
          <w:sz w:val="32"/>
          <w:szCs w:val="40"/>
        </w:rPr>
        <w:tab/>
      </w:r>
      <w:r>
        <w:rPr>
          <w:rFonts w:hint="default" w:ascii="Times New Roman" w:hAnsi="Times New Roman"/>
          <w:sz w:val="32"/>
          <w:szCs w:val="40"/>
          <w:lang w:eastAsia="zh-CN"/>
        </w:rPr>
        <w:t>1</w:t>
      </w:r>
      <w:r>
        <w:rPr>
          <w:rFonts w:hint="default" w:ascii="Times New Roman" w:hAnsi="Times New Roman" w:eastAsia="方正小标宋简体" w:cs="Times New Roman"/>
          <w:bCs w:val="0"/>
          <w:color w:val="000000" w:themeColor="text1"/>
          <w:kern w:val="2"/>
          <w:sz w:val="32"/>
          <w:szCs w:val="112"/>
          <w:lang w:val="en-US" w:eastAsia="zh-CN" w:bidi="ar-SA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3"/>
        <w:tabs>
          <w:tab w:val="right" w:leader="dot" w:pos="8845"/>
        </w:tabs>
        <w:spacing w:line="480" w:lineRule="exact"/>
        <w:rPr>
          <w:rFonts w:ascii="Times New Roman" w:hAnsi="Times New Roman"/>
          <w:sz w:val="32"/>
          <w:szCs w:val="40"/>
        </w:rPr>
      </w:pPr>
      <w:r>
        <w:rPr>
          <w:rFonts w:hint="default" w:ascii="Times New Roman" w:hAnsi="Times New Roman" w:eastAsia="方正小标宋简体" w:cs="Times New Roman"/>
          <w:bCs w:val="0"/>
          <w:color w:val="000000" w:themeColor="text1"/>
          <w:kern w:val="2"/>
          <w:sz w:val="32"/>
          <w:szCs w:val="112"/>
          <w:lang w:val="en-US" w:eastAsia="zh-CN" w:bidi="ar-SA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Times New Roman" w:hAnsi="Times New Roman" w:eastAsia="方正小标宋简体" w:cs="Times New Roman"/>
          <w:bCs w:val="0"/>
          <w:kern w:val="2"/>
          <w:sz w:val="32"/>
          <w:szCs w:val="112"/>
          <w:lang w:val="en-US" w:eastAsia="zh-CN" w:bidi="ar-SA"/>
        </w:rPr>
        <w:instrText xml:space="preserve"> HYPERLINK \l _Toc27476 </w:instrText>
      </w:r>
      <w:r>
        <w:rPr>
          <w:rFonts w:hint="default" w:ascii="Times New Roman" w:hAnsi="Times New Roman" w:eastAsia="方正小标宋简体" w:cs="Times New Roman"/>
          <w:bCs w:val="0"/>
          <w:kern w:val="2"/>
          <w:sz w:val="32"/>
          <w:szCs w:val="112"/>
          <w:lang w:val="en-US" w:eastAsia="zh-CN" w:bidi="ar-SA"/>
        </w:rPr>
        <w:fldChar w:fldCharType="separate"/>
      </w:r>
      <w:r>
        <w:rPr>
          <w:rFonts w:hint="default" w:ascii="Times New Roman" w:hAnsi="Times New Roman" w:eastAsia="楷体_GB2312" w:cs="Times New Roman"/>
          <w:bCs w:val="0"/>
          <w:sz w:val="32"/>
          <w:szCs w:val="56"/>
          <w:lang w:val="en-US" w:eastAsia="zh-CN"/>
        </w:rPr>
        <w:t>（三）规划期限</w:t>
      </w:r>
      <w:r>
        <w:rPr>
          <w:rFonts w:ascii="Times New Roman" w:hAnsi="Times New Roman"/>
          <w:sz w:val="32"/>
          <w:szCs w:val="40"/>
        </w:rPr>
        <w:tab/>
      </w:r>
      <w:r>
        <w:rPr>
          <w:rFonts w:hint="default" w:ascii="Times New Roman" w:hAnsi="Times New Roman"/>
          <w:sz w:val="32"/>
          <w:szCs w:val="40"/>
          <w:lang w:eastAsia="zh-CN"/>
        </w:rPr>
        <w:t>2</w:t>
      </w:r>
      <w:r>
        <w:rPr>
          <w:rFonts w:hint="default" w:ascii="Times New Roman" w:hAnsi="Times New Roman" w:eastAsia="方正小标宋简体" w:cs="Times New Roman"/>
          <w:bCs w:val="0"/>
          <w:color w:val="000000" w:themeColor="text1"/>
          <w:kern w:val="2"/>
          <w:sz w:val="32"/>
          <w:szCs w:val="112"/>
          <w:lang w:val="en-US" w:eastAsia="zh-CN" w:bidi="ar-SA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1"/>
        <w:tabs>
          <w:tab w:val="right" w:leader="dot" w:pos="8845"/>
        </w:tabs>
        <w:spacing w:line="480" w:lineRule="exact"/>
        <w:rPr>
          <w:rFonts w:ascii="Times New Roman" w:hAnsi="Times New Roman"/>
          <w:sz w:val="32"/>
          <w:szCs w:val="40"/>
        </w:rPr>
      </w:pPr>
      <w:r>
        <w:rPr>
          <w:rFonts w:hint="default" w:ascii="Times New Roman" w:hAnsi="Times New Roman" w:eastAsia="方正小标宋简体" w:cs="Times New Roman"/>
          <w:bCs w:val="0"/>
          <w:color w:val="000000" w:themeColor="text1"/>
          <w:kern w:val="2"/>
          <w:sz w:val="32"/>
          <w:szCs w:val="112"/>
          <w:lang w:val="en-US" w:eastAsia="zh-CN" w:bidi="ar-SA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Times New Roman" w:hAnsi="Times New Roman" w:eastAsia="方正小标宋简体" w:cs="Times New Roman"/>
          <w:bCs w:val="0"/>
          <w:kern w:val="2"/>
          <w:sz w:val="32"/>
          <w:szCs w:val="112"/>
          <w:lang w:val="en-US" w:eastAsia="zh-CN" w:bidi="ar-SA"/>
        </w:rPr>
        <w:instrText xml:space="preserve"> HYPERLINK \l _Toc24033 </w:instrText>
      </w:r>
      <w:r>
        <w:rPr>
          <w:rFonts w:hint="default" w:ascii="Times New Roman" w:hAnsi="Times New Roman" w:eastAsia="方正小标宋简体" w:cs="Times New Roman"/>
          <w:bCs w:val="0"/>
          <w:kern w:val="2"/>
          <w:sz w:val="32"/>
          <w:szCs w:val="112"/>
          <w:lang w:val="en-US" w:eastAsia="zh-CN" w:bidi="ar-SA"/>
        </w:rPr>
        <w:fldChar w:fldCharType="separate"/>
      </w:r>
      <w:r>
        <w:rPr>
          <w:rFonts w:hint="default" w:ascii="Times New Roman" w:hAnsi="Times New Roman" w:eastAsia="黑体" w:cs="Times New Roman"/>
          <w:kern w:val="2"/>
          <w:sz w:val="32"/>
          <w:szCs w:val="72"/>
          <w:lang w:val="en-US" w:eastAsia="zh-CN" w:bidi="ar-SA"/>
        </w:rPr>
        <w:t>二、发展评估</w:t>
      </w:r>
      <w:r>
        <w:rPr>
          <w:rFonts w:ascii="Times New Roman" w:hAnsi="Times New Roman"/>
          <w:sz w:val="32"/>
          <w:szCs w:val="40"/>
        </w:rPr>
        <w:tab/>
      </w:r>
      <w:r>
        <w:rPr>
          <w:rFonts w:hint="default" w:ascii="Times New Roman" w:hAnsi="Times New Roman"/>
          <w:sz w:val="32"/>
          <w:szCs w:val="40"/>
          <w:lang w:eastAsia="zh-CN"/>
        </w:rPr>
        <w:t>3</w:t>
      </w:r>
      <w:r>
        <w:rPr>
          <w:rFonts w:hint="default" w:ascii="Times New Roman" w:hAnsi="Times New Roman" w:eastAsia="方正小标宋简体" w:cs="Times New Roman"/>
          <w:bCs w:val="0"/>
          <w:color w:val="000000" w:themeColor="text1"/>
          <w:kern w:val="2"/>
          <w:sz w:val="32"/>
          <w:szCs w:val="112"/>
          <w:lang w:val="en-US" w:eastAsia="zh-CN" w:bidi="ar-SA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3"/>
        <w:tabs>
          <w:tab w:val="right" w:leader="dot" w:pos="8845"/>
        </w:tabs>
        <w:spacing w:line="480" w:lineRule="exact"/>
        <w:rPr>
          <w:rFonts w:ascii="Times New Roman" w:hAnsi="Times New Roman"/>
          <w:sz w:val="32"/>
          <w:szCs w:val="40"/>
        </w:rPr>
      </w:pPr>
      <w:r>
        <w:rPr>
          <w:rFonts w:hint="default" w:ascii="Times New Roman" w:hAnsi="Times New Roman" w:eastAsia="方正小标宋简体" w:cs="Times New Roman"/>
          <w:bCs w:val="0"/>
          <w:color w:val="000000" w:themeColor="text1"/>
          <w:kern w:val="2"/>
          <w:sz w:val="32"/>
          <w:szCs w:val="112"/>
          <w:lang w:val="en-US" w:eastAsia="zh-CN" w:bidi="ar-SA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Times New Roman" w:hAnsi="Times New Roman" w:eastAsia="方正小标宋简体" w:cs="Times New Roman"/>
          <w:bCs w:val="0"/>
          <w:kern w:val="2"/>
          <w:sz w:val="32"/>
          <w:szCs w:val="112"/>
          <w:lang w:val="en-US" w:eastAsia="zh-CN" w:bidi="ar-SA"/>
        </w:rPr>
        <w:instrText xml:space="preserve"> HYPERLINK \l _Toc26211 </w:instrText>
      </w:r>
      <w:r>
        <w:rPr>
          <w:rFonts w:hint="default" w:ascii="Times New Roman" w:hAnsi="Times New Roman" w:eastAsia="方正小标宋简体" w:cs="Times New Roman"/>
          <w:bCs w:val="0"/>
          <w:kern w:val="2"/>
          <w:sz w:val="32"/>
          <w:szCs w:val="112"/>
          <w:lang w:val="en-US" w:eastAsia="zh-CN" w:bidi="ar-SA"/>
        </w:rPr>
        <w:fldChar w:fldCharType="separate"/>
      </w:r>
      <w:r>
        <w:rPr>
          <w:rFonts w:hint="default" w:ascii="Times New Roman" w:hAnsi="Times New Roman" w:eastAsia="楷体_GB2312" w:cs="Times New Roman"/>
          <w:bCs w:val="0"/>
          <w:sz w:val="32"/>
          <w:szCs w:val="56"/>
          <w:lang w:val="en-US" w:eastAsia="zh-CN"/>
        </w:rPr>
        <w:t>（一）基础情况</w:t>
      </w:r>
      <w:r>
        <w:rPr>
          <w:rFonts w:ascii="Times New Roman" w:hAnsi="Times New Roman"/>
          <w:sz w:val="32"/>
          <w:szCs w:val="40"/>
        </w:rPr>
        <w:tab/>
      </w:r>
      <w:r>
        <w:rPr>
          <w:rFonts w:hint="default" w:ascii="Times New Roman" w:hAnsi="Times New Roman"/>
          <w:sz w:val="32"/>
          <w:szCs w:val="40"/>
          <w:lang w:eastAsia="zh-CN"/>
        </w:rPr>
        <w:t>3</w:t>
      </w:r>
      <w:r>
        <w:rPr>
          <w:rFonts w:hint="default" w:ascii="Times New Roman" w:hAnsi="Times New Roman" w:eastAsia="方正小标宋简体" w:cs="Times New Roman"/>
          <w:bCs w:val="0"/>
          <w:color w:val="000000" w:themeColor="text1"/>
          <w:kern w:val="2"/>
          <w:sz w:val="32"/>
          <w:szCs w:val="112"/>
          <w:lang w:val="en-US" w:eastAsia="zh-CN" w:bidi="ar-SA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3"/>
        <w:tabs>
          <w:tab w:val="right" w:leader="dot" w:pos="8845"/>
        </w:tabs>
        <w:spacing w:line="480" w:lineRule="exact"/>
        <w:rPr>
          <w:rFonts w:ascii="Times New Roman" w:hAnsi="Times New Roman"/>
          <w:sz w:val="32"/>
          <w:szCs w:val="40"/>
        </w:rPr>
      </w:pPr>
      <w:r>
        <w:rPr>
          <w:rFonts w:hint="default" w:ascii="Times New Roman" w:hAnsi="Times New Roman" w:eastAsia="方正小标宋简体" w:cs="Times New Roman"/>
          <w:bCs w:val="0"/>
          <w:color w:val="000000" w:themeColor="text1"/>
          <w:kern w:val="2"/>
          <w:sz w:val="32"/>
          <w:szCs w:val="112"/>
          <w:lang w:val="en-US" w:eastAsia="zh-CN" w:bidi="ar-SA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Times New Roman" w:hAnsi="Times New Roman" w:eastAsia="方正小标宋简体" w:cs="Times New Roman"/>
          <w:bCs w:val="0"/>
          <w:kern w:val="2"/>
          <w:sz w:val="32"/>
          <w:szCs w:val="112"/>
          <w:lang w:val="en-US" w:eastAsia="zh-CN" w:bidi="ar-SA"/>
        </w:rPr>
        <w:instrText xml:space="preserve"> HYPERLINK \l _Toc21585 </w:instrText>
      </w:r>
      <w:r>
        <w:rPr>
          <w:rFonts w:hint="default" w:ascii="Times New Roman" w:hAnsi="Times New Roman" w:eastAsia="方正小标宋简体" w:cs="Times New Roman"/>
          <w:bCs w:val="0"/>
          <w:kern w:val="2"/>
          <w:sz w:val="32"/>
          <w:szCs w:val="112"/>
          <w:lang w:val="en-US" w:eastAsia="zh-CN" w:bidi="ar-SA"/>
        </w:rPr>
        <w:fldChar w:fldCharType="separate"/>
      </w:r>
      <w:r>
        <w:rPr>
          <w:rFonts w:hint="default" w:ascii="Times New Roman" w:hAnsi="Times New Roman" w:eastAsia="楷体_GB2312" w:cs="Times New Roman"/>
          <w:bCs w:val="0"/>
          <w:kern w:val="2"/>
          <w:sz w:val="32"/>
          <w:szCs w:val="56"/>
          <w:lang w:val="en-US" w:eastAsia="zh-CN" w:bidi="ar-SA"/>
        </w:rPr>
        <w:t>（二）机遇与挑战</w:t>
      </w:r>
      <w:r>
        <w:rPr>
          <w:rFonts w:ascii="Times New Roman" w:hAnsi="Times New Roman"/>
          <w:sz w:val="32"/>
          <w:szCs w:val="40"/>
        </w:rPr>
        <w:tab/>
      </w:r>
      <w:r>
        <w:rPr>
          <w:rFonts w:hint="default" w:ascii="Times New Roman" w:hAnsi="Times New Roman"/>
          <w:sz w:val="32"/>
          <w:szCs w:val="40"/>
          <w:lang w:eastAsia="zh-CN"/>
        </w:rPr>
        <w:t>5</w:t>
      </w:r>
      <w:r>
        <w:rPr>
          <w:rFonts w:hint="default" w:ascii="Times New Roman" w:hAnsi="Times New Roman" w:eastAsia="方正小标宋简体" w:cs="Times New Roman"/>
          <w:bCs w:val="0"/>
          <w:color w:val="000000" w:themeColor="text1"/>
          <w:kern w:val="2"/>
          <w:sz w:val="32"/>
          <w:szCs w:val="112"/>
          <w:lang w:val="en-US" w:eastAsia="zh-CN" w:bidi="ar-SA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1"/>
        <w:tabs>
          <w:tab w:val="right" w:leader="dot" w:pos="8845"/>
        </w:tabs>
        <w:spacing w:line="480" w:lineRule="exact"/>
        <w:rPr>
          <w:rFonts w:ascii="Times New Roman" w:hAnsi="Times New Roman"/>
          <w:sz w:val="32"/>
          <w:szCs w:val="40"/>
        </w:rPr>
      </w:pPr>
      <w:r>
        <w:rPr>
          <w:rFonts w:hint="default" w:ascii="Times New Roman" w:hAnsi="Times New Roman" w:eastAsia="方正小标宋简体" w:cs="Times New Roman"/>
          <w:bCs w:val="0"/>
          <w:color w:val="000000" w:themeColor="text1"/>
          <w:kern w:val="2"/>
          <w:sz w:val="32"/>
          <w:szCs w:val="112"/>
          <w:lang w:val="en-US" w:eastAsia="zh-CN" w:bidi="ar-SA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Times New Roman" w:hAnsi="Times New Roman" w:eastAsia="方正小标宋简体" w:cs="Times New Roman"/>
          <w:bCs w:val="0"/>
          <w:kern w:val="2"/>
          <w:sz w:val="32"/>
          <w:szCs w:val="112"/>
          <w:lang w:val="en-US" w:eastAsia="zh-CN" w:bidi="ar-SA"/>
        </w:rPr>
        <w:instrText xml:space="preserve"> HYPERLINK \l _Toc15448 </w:instrText>
      </w:r>
      <w:r>
        <w:rPr>
          <w:rFonts w:hint="default" w:ascii="Times New Roman" w:hAnsi="Times New Roman" w:eastAsia="方正小标宋简体" w:cs="Times New Roman"/>
          <w:bCs w:val="0"/>
          <w:kern w:val="2"/>
          <w:sz w:val="32"/>
          <w:szCs w:val="112"/>
          <w:lang w:val="en-US" w:eastAsia="zh-CN" w:bidi="ar-SA"/>
        </w:rPr>
        <w:fldChar w:fldCharType="separate"/>
      </w:r>
      <w:r>
        <w:rPr>
          <w:rFonts w:hint="default" w:ascii="Times New Roman" w:hAnsi="Times New Roman" w:eastAsia="黑体" w:cs="Times New Roman"/>
          <w:bCs w:val="0"/>
          <w:kern w:val="2"/>
          <w:sz w:val="32"/>
          <w:szCs w:val="72"/>
          <w:lang w:val="en-US" w:eastAsia="zh-CN" w:bidi="ar-SA"/>
        </w:rPr>
        <w:t>三、总体要求</w:t>
      </w:r>
      <w:r>
        <w:rPr>
          <w:rFonts w:ascii="Times New Roman" w:hAnsi="Times New Roman"/>
          <w:sz w:val="32"/>
          <w:szCs w:val="40"/>
        </w:rPr>
        <w:tab/>
      </w:r>
      <w:r>
        <w:rPr>
          <w:rFonts w:hint="default" w:ascii="Times New Roman" w:hAnsi="Times New Roman"/>
          <w:sz w:val="32"/>
          <w:szCs w:val="40"/>
          <w:lang w:eastAsia="zh-CN"/>
        </w:rPr>
        <w:t>7</w:t>
      </w:r>
      <w:r>
        <w:rPr>
          <w:rFonts w:hint="default" w:ascii="Times New Roman" w:hAnsi="Times New Roman" w:eastAsia="方正小标宋简体" w:cs="Times New Roman"/>
          <w:bCs w:val="0"/>
          <w:color w:val="000000" w:themeColor="text1"/>
          <w:kern w:val="2"/>
          <w:sz w:val="32"/>
          <w:szCs w:val="112"/>
          <w:lang w:val="en-US" w:eastAsia="zh-CN" w:bidi="ar-SA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3"/>
        <w:tabs>
          <w:tab w:val="right" w:leader="dot" w:pos="8845"/>
        </w:tabs>
        <w:spacing w:line="480" w:lineRule="exact"/>
        <w:rPr>
          <w:rFonts w:ascii="Times New Roman" w:hAnsi="Times New Roman"/>
          <w:sz w:val="32"/>
          <w:szCs w:val="40"/>
        </w:rPr>
      </w:pPr>
      <w:r>
        <w:rPr>
          <w:rFonts w:hint="default" w:ascii="Times New Roman" w:hAnsi="Times New Roman" w:eastAsia="方正小标宋简体" w:cs="Times New Roman"/>
          <w:bCs w:val="0"/>
          <w:color w:val="000000" w:themeColor="text1"/>
          <w:kern w:val="2"/>
          <w:sz w:val="32"/>
          <w:szCs w:val="112"/>
          <w:lang w:val="en-US" w:eastAsia="zh-CN" w:bidi="ar-SA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Times New Roman" w:hAnsi="Times New Roman" w:eastAsia="方正小标宋简体" w:cs="Times New Roman"/>
          <w:bCs w:val="0"/>
          <w:kern w:val="2"/>
          <w:sz w:val="32"/>
          <w:szCs w:val="112"/>
          <w:lang w:val="en-US" w:eastAsia="zh-CN" w:bidi="ar-SA"/>
        </w:rPr>
        <w:instrText xml:space="preserve"> HYPERLINK \l _Toc22074 </w:instrText>
      </w:r>
      <w:r>
        <w:rPr>
          <w:rFonts w:hint="default" w:ascii="Times New Roman" w:hAnsi="Times New Roman" w:eastAsia="方正小标宋简体" w:cs="Times New Roman"/>
          <w:bCs w:val="0"/>
          <w:kern w:val="2"/>
          <w:sz w:val="32"/>
          <w:szCs w:val="112"/>
          <w:lang w:val="en-US" w:eastAsia="zh-CN" w:bidi="ar-SA"/>
        </w:rPr>
        <w:fldChar w:fldCharType="separate"/>
      </w:r>
      <w:r>
        <w:rPr>
          <w:rFonts w:hint="default" w:ascii="Times New Roman" w:hAnsi="Times New Roman" w:eastAsia="楷体_GB2312" w:cs="Times New Roman"/>
          <w:bCs w:val="0"/>
          <w:sz w:val="32"/>
          <w:szCs w:val="56"/>
          <w:lang w:val="en-US" w:eastAsia="zh-CN"/>
        </w:rPr>
        <w:t>（一）指导思想</w:t>
      </w:r>
      <w:r>
        <w:rPr>
          <w:rFonts w:ascii="Times New Roman" w:hAnsi="Times New Roman"/>
          <w:sz w:val="32"/>
          <w:szCs w:val="40"/>
        </w:rPr>
        <w:tab/>
      </w:r>
      <w:r>
        <w:rPr>
          <w:rFonts w:hint="default" w:ascii="Times New Roman" w:hAnsi="Times New Roman"/>
          <w:sz w:val="32"/>
          <w:szCs w:val="40"/>
          <w:lang w:eastAsia="zh-CN"/>
        </w:rPr>
        <w:t>7</w:t>
      </w:r>
      <w:r>
        <w:rPr>
          <w:rFonts w:hint="default" w:ascii="Times New Roman" w:hAnsi="Times New Roman" w:eastAsia="方正小标宋简体" w:cs="Times New Roman"/>
          <w:bCs w:val="0"/>
          <w:color w:val="000000" w:themeColor="text1"/>
          <w:kern w:val="2"/>
          <w:sz w:val="32"/>
          <w:szCs w:val="112"/>
          <w:lang w:val="en-US" w:eastAsia="zh-CN" w:bidi="ar-SA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3"/>
        <w:tabs>
          <w:tab w:val="right" w:leader="dot" w:pos="8845"/>
        </w:tabs>
        <w:spacing w:line="480" w:lineRule="exact"/>
        <w:rPr>
          <w:rFonts w:ascii="Times New Roman" w:hAnsi="Times New Roman"/>
          <w:sz w:val="32"/>
          <w:szCs w:val="40"/>
        </w:rPr>
      </w:pPr>
      <w:r>
        <w:rPr>
          <w:rFonts w:hint="default" w:ascii="Times New Roman" w:hAnsi="Times New Roman" w:eastAsia="方正小标宋简体" w:cs="Times New Roman"/>
          <w:bCs w:val="0"/>
          <w:color w:val="000000" w:themeColor="text1"/>
          <w:kern w:val="2"/>
          <w:sz w:val="32"/>
          <w:szCs w:val="112"/>
          <w:lang w:val="en-US" w:eastAsia="zh-CN" w:bidi="ar-SA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Times New Roman" w:hAnsi="Times New Roman" w:eastAsia="方正小标宋简体" w:cs="Times New Roman"/>
          <w:bCs w:val="0"/>
          <w:kern w:val="2"/>
          <w:sz w:val="32"/>
          <w:szCs w:val="112"/>
          <w:lang w:val="en-US" w:eastAsia="zh-CN" w:bidi="ar-SA"/>
        </w:rPr>
        <w:instrText xml:space="preserve"> HYPERLINK \l _Toc7264 </w:instrText>
      </w:r>
      <w:r>
        <w:rPr>
          <w:rFonts w:hint="default" w:ascii="Times New Roman" w:hAnsi="Times New Roman" w:eastAsia="方正小标宋简体" w:cs="Times New Roman"/>
          <w:bCs w:val="0"/>
          <w:kern w:val="2"/>
          <w:sz w:val="32"/>
          <w:szCs w:val="112"/>
          <w:lang w:val="en-US" w:eastAsia="zh-CN" w:bidi="ar-SA"/>
        </w:rPr>
        <w:fldChar w:fldCharType="separate"/>
      </w:r>
      <w:r>
        <w:rPr>
          <w:rFonts w:hint="default" w:ascii="Times New Roman" w:hAnsi="Times New Roman" w:eastAsia="楷体_GB2312" w:cs="Times New Roman"/>
          <w:bCs w:val="0"/>
          <w:sz w:val="32"/>
          <w:szCs w:val="56"/>
          <w:lang w:val="en-US" w:eastAsia="zh-CN"/>
        </w:rPr>
        <w:t>（二）发展原则</w:t>
      </w:r>
      <w:r>
        <w:rPr>
          <w:rFonts w:ascii="Times New Roman" w:hAnsi="Times New Roman"/>
          <w:sz w:val="32"/>
          <w:szCs w:val="40"/>
        </w:rPr>
        <w:tab/>
      </w:r>
      <w:r>
        <w:rPr>
          <w:rFonts w:hint="default" w:ascii="Times New Roman" w:hAnsi="Times New Roman"/>
          <w:sz w:val="32"/>
          <w:szCs w:val="40"/>
          <w:lang w:val="en-US" w:eastAsia="zh-CN"/>
        </w:rPr>
        <w:t>8</w:t>
      </w:r>
      <w:r>
        <w:rPr>
          <w:rFonts w:hint="default" w:ascii="Times New Roman" w:hAnsi="Times New Roman" w:eastAsia="方正小标宋简体" w:cs="Times New Roman"/>
          <w:bCs w:val="0"/>
          <w:color w:val="000000" w:themeColor="text1"/>
          <w:kern w:val="2"/>
          <w:sz w:val="32"/>
          <w:szCs w:val="112"/>
          <w:lang w:val="en-US" w:eastAsia="zh-CN" w:bidi="ar-SA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3"/>
        <w:tabs>
          <w:tab w:val="right" w:leader="dot" w:pos="8845"/>
        </w:tabs>
        <w:spacing w:line="480" w:lineRule="exact"/>
        <w:rPr>
          <w:rFonts w:ascii="Times New Roman" w:hAnsi="Times New Roman"/>
          <w:sz w:val="32"/>
          <w:szCs w:val="40"/>
        </w:rPr>
      </w:pPr>
      <w:r>
        <w:rPr>
          <w:rFonts w:hint="default" w:ascii="Times New Roman" w:hAnsi="Times New Roman" w:eastAsia="方正小标宋简体" w:cs="Times New Roman"/>
          <w:bCs w:val="0"/>
          <w:color w:val="000000" w:themeColor="text1"/>
          <w:kern w:val="2"/>
          <w:sz w:val="32"/>
          <w:szCs w:val="112"/>
          <w:lang w:val="en-US" w:eastAsia="zh-CN" w:bidi="ar-SA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Times New Roman" w:hAnsi="Times New Roman" w:eastAsia="方正小标宋简体" w:cs="Times New Roman"/>
          <w:bCs w:val="0"/>
          <w:kern w:val="2"/>
          <w:sz w:val="32"/>
          <w:szCs w:val="112"/>
          <w:lang w:val="en-US" w:eastAsia="zh-CN" w:bidi="ar-SA"/>
        </w:rPr>
        <w:instrText xml:space="preserve"> HYPERLINK \l _Toc12667 </w:instrText>
      </w:r>
      <w:r>
        <w:rPr>
          <w:rFonts w:hint="default" w:ascii="Times New Roman" w:hAnsi="Times New Roman" w:eastAsia="方正小标宋简体" w:cs="Times New Roman"/>
          <w:bCs w:val="0"/>
          <w:kern w:val="2"/>
          <w:sz w:val="32"/>
          <w:szCs w:val="112"/>
          <w:lang w:val="en-US" w:eastAsia="zh-CN" w:bidi="ar-SA"/>
        </w:rPr>
        <w:fldChar w:fldCharType="separate"/>
      </w:r>
      <w:r>
        <w:rPr>
          <w:rFonts w:hint="default" w:ascii="Times New Roman" w:hAnsi="Times New Roman" w:eastAsia="楷体_GB2312" w:cs="Times New Roman"/>
          <w:bCs w:val="0"/>
          <w:sz w:val="32"/>
          <w:szCs w:val="56"/>
          <w:lang w:val="en-US" w:eastAsia="zh-CN"/>
        </w:rPr>
        <w:t>（三）规划定位</w:t>
      </w:r>
      <w:r>
        <w:rPr>
          <w:rFonts w:ascii="Times New Roman" w:hAnsi="Times New Roman"/>
          <w:sz w:val="32"/>
          <w:szCs w:val="40"/>
        </w:rPr>
        <w:tab/>
      </w:r>
      <w:r>
        <w:rPr>
          <w:rFonts w:hint="default" w:ascii="Times New Roman" w:hAnsi="Times New Roman"/>
          <w:sz w:val="32"/>
          <w:szCs w:val="40"/>
          <w:lang w:eastAsia="zh-CN"/>
        </w:rPr>
        <w:t>9</w:t>
      </w:r>
      <w:r>
        <w:rPr>
          <w:rFonts w:hint="default" w:ascii="Times New Roman" w:hAnsi="Times New Roman" w:eastAsia="方正小标宋简体" w:cs="Times New Roman"/>
          <w:bCs w:val="0"/>
          <w:color w:val="000000" w:themeColor="text1"/>
          <w:kern w:val="2"/>
          <w:sz w:val="32"/>
          <w:szCs w:val="112"/>
          <w:lang w:val="en-US" w:eastAsia="zh-CN" w:bidi="ar-SA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3"/>
        <w:tabs>
          <w:tab w:val="right" w:leader="dot" w:pos="8845"/>
        </w:tabs>
        <w:spacing w:line="480" w:lineRule="exact"/>
        <w:rPr>
          <w:rFonts w:ascii="Times New Roman" w:hAnsi="Times New Roman"/>
          <w:sz w:val="32"/>
          <w:szCs w:val="40"/>
        </w:rPr>
      </w:pPr>
      <w:r>
        <w:rPr>
          <w:rFonts w:hint="default" w:ascii="Times New Roman" w:hAnsi="Times New Roman" w:eastAsia="方正小标宋简体" w:cs="Times New Roman"/>
          <w:bCs w:val="0"/>
          <w:color w:val="000000" w:themeColor="text1"/>
          <w:kern w:val="2"/>
          <w:sz w:val="32"/>
          <w:szCs w:val="112"/>
          <w:lang w:val="en-US" w:eastAsia="zh-CN" w:bidi="ar-SA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Times New Roman" w:hAnsi="Times New Roman" w:eastAsia="方正小标宋简体" w:cs="Times New Roman"/>
          <w:bCs w:val="0"/>
          <w:kern w:val="2"/>
          <w:sz w:val="32"/>
          <w:szCs w:val="112"/>
          <w:lang w:val="en-US" w:eastAsia="zh-CN" w:bidi="ar-SA"/>
        </w:rPr>
        <w:instrText xml:space="preserve"> HYPERLINK \l _Toc4788 </w:instrText>
      </w:r>
      <w:r>
        <w:rPr>
          <w:rFonts w:hint="default" w:ascii="Times New Roman" w:hAnsi="Times New Roman" w:eastAsia="方正小标宋简体" w:cs="Times New Roman"/>
          <w:bCs w:val="0"/>
          <w:kern w:val="2"/>
          <w:sz w:val="32"/>
          <w:szCs w:val="112"/>
          <w:lang w:val="en-US" w:eastAsia="zh-CN" w:bidi="ar-SA"/>
        </w:rPr>
        <w:fldChar w:fldCharType="separate"/>
      </w:r>
      <w:r>
        <w:rPr>
          <w:rFonts w:hint="default" w:ascii="Times New Roman" w:hAnsi="Times New Roman" w:eastAsia="楷体_GB2312" w:cs="Times New Roman"/>
          <w:bCs w:val="0"/>
          <w:sz w:val="32"/>
          <w:szCs w:val="56"/>
          <w:lang w:val="en-US" w:eastAsia="zh-CN"/>
        </w:rPr>
        <w:t>（四）功能布局</w:t>
      </w:r>
      <w:r>
        <w:rPr>
          <w:rFonts w:ascii="Times New Roman" w:hAnsi="Times New Roman"/>
          <w:sz w:val="32"/>
          <w:szCs w:val="40"/>
        </w:rPr>
        <w:tab/>
      </w:r>
      <w:r>
        <w:rPr>
          <w:rFonts w:hint="default" w:ascii="Times New Roman" w:hAnsi="Times New Roman"/>
          <w:sz w:val="32"/>
          <w:szCs w:val="40"/>
          <w:lang w:eastAsia="zh-CN"/>
        </w:rPr>
        <w:t>1</w:t>
      </w:r>
      <w:r>
        <w:rPr>
          <w:rFonts w:hint="default" w:ascii="Times New Roman" w:hAnsi="Times New Roman" w:eastAsia="方正小标宋简体" w:cs="Times New Roman"/>
          <w:bCs w:val="0"/>
          <w:color w:val="000000" w:themeColor="text1"/>
          <w:kern w:val="2"/>
          <w:sz w:val="32"/>
          <w:szCs w:val="112"/>
          <w:lang w:val="en-US" w:eastAsia="zh-CN" w:bidi="ar-SA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ascii="Times New Roman" w:hAnsi="Times New Roman"/>
          <w:sz w:val="32"/>
          <w:szCs w:val="40"/>
          <w:lang w:val="en-US" w:eastAsia="zh-CN"/>
        </w:rPr>
        <w:t>1</w:t>
      </w:r>
    </w:p>
    <w:p>
      <w:pPr>
        <w:pStyle w:val="13"/>
        <w:tabs>
          <w:tab w:val="right" w:leader="dot" w:pos="8845"/>
        </w:tabs>
        <w:spacing w:line="480" w:lineRule="exact"/>
        <w:rPr>
          <w:rFonts w:ascii="Times New Roman" w:hAnsi="Times New Roman"/>
          <w:sz w:val="32"/>
          <w:szCs w:val="40"/>
        </w:rPr>
      </w:pPr>
      <w:r>
        <w:rPr>
          <w:rFonts w:hint="default" w:ascii="Times New Roman" w:hAnsi="Times New Roman" w:eastAsia="方正小标宋简体" w:cs="Times New Roman"/>
          <w:bCs w:val="0"/>
          <w:color w:val="000000" w:themeColor="text1"/>
          <w:kern w:val="2"/>
          <w:sz w:val="32"/>
          <w:szCs w:val="112"/>
          <w:lang w:val="en-US" w:eastAsia="zh-CN" w:bidi="ar-SA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Times New Roman" w:hAnsi="Times New Roman" w:eastAsia="方正小标宋简体" w:cs="Times New Roman"/>
          <w:bCs w:val="0"/>
          <w:kern w:val="2"/>
          <w:sz w:val="32"/>
          <w:szCs w:val="112"/>
          <w:lang w:val="en-US" w:eastAsia="zh-CN" w:bidi="ar-SA"/>
        </w:rPr>
        <w:instrText xml:space="preserve"> HYPERLINK \l _Toc18390 </w:instrText>
      </w:r>
      <w:r>
        <w:rPr>
          <w:rFonts w:hint="default" w:ascii="Times New Roman" w:hAnsi="Times New Roman" w:eastAsia="方正小标宋简体" w:cs="Times New Roman"/>
          <w:bCs w:val="0"/>
          <w:kern w:val="2"/>
          <w:sz w:val="32"/>
          <w:szCs w:val="112"/>
          <w:lang w:val="en-US" w:eastAsia="zh-CN" w:bidi="ar-SA"/>
        </w:rPr>
        <w:fldChar w:fldCharType="separate"/>
      </w:r>
      <w:r>
        <w:rPr>
          <w:rFonts w:hint="default" w:ascii="Times New Roman" w:hAnsi="Times New Roman" w:eastAsia="楷体_GB2312" w:cs="Times New Roman"/>
          <w:bCs w:val="0"/>
          <w:sz w:val="32"/>
          <w:szCs w:val="56"/>
          <w:lang w:val="en-US" w:eastAsia="zh-CN"/>
        </w:rPr>
        <w:t>（五）发展目标</w:t>
      </w:r>
      <w:r>
        <w:rPr>
          <w:rFonts w:ascii="Times New Roman" w:hAnsi="Times New Roman"/>
          <w:sz w:val="32"/>
          <w:szCs w:val="40"/>
        </w:rPr>
        <w:tab/>
      </w:r>
      <w:r>
        <w:rPr>
          <w:rFonts w:hint="default" w:ascii="Times New Roman" w:hAnsi="Times New Roman"/>
          <w:sz w:val="32"/>
          <w:szCs w:val="40"/>
          <w:lang w:eastAsia="zh-CN"/>
        </w:rPr>
        <w:t>1</w:t>
      </w:r>
      <w:r>
        <w:rPr>
          <w:rFonts w:hint="default" w:ascii="Times New Roman" w:hAnsi="Times New Roman" w:eastAsia="方正小标宋简体" w:cs="Times New Roman"/>
          <w:bCs w:val="0"/>
          <w:color w:val="000000" w:themeColor="text1"/>
          <w:kern w:val="2"/>
          <w:sz w:val="32"/>
          <w:szCs w:val="112"/>
          <w:lang w:val="en-US" w:eastAsia="zh-CN" w:bidi="ar-SA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ascii="Times New Roman" w:hAnsi="Times New Roman"/>
          <w:sz w:val="32"/>
          <w:szCs w:val="40"/>
          <w:lang w:val="en-US" w:eastAsia="zh-CN"/>
        </w:rPr>
        <w:t>3</w:t>
      </w:r>
    </w:p>
    <w:p>
      <w:pPr>
        <w:pStyle w:val="11"/>
        <w:tabs>
          <w:tab w:val="right" w:leader="dot" w:pos="8845"/>
        </w:tabs>
        <w:spacing w:line="480" w:lineRule="exact"/>
        <w:rPr>
          <w:rFonts w:ascii="Times New Roman" w:hAnsi="Times New Roman"/>
          <w:sz w:val="32"/>
          <w:szCs w:val="40"/>
        </w:rPr>
      </w:pPr>
      <w:r>
        <w:rPr>
          <w:rFonts w:hint="default" w:ascii="Times New Roman" w:hAnsi="Times New Roman" w:eastAsia="方正小标宋简体" w:cs="Times New Roman"/>
          <w:bCs w:val="0"/>
          <w:color w:val="000000" w:themeColor="text1"/>
          <w:kern w:val="2"/>
          <w:sz w:val="32"/>
          <w:szCs w:val="112"/>
          <w:lang w:val="en-US" w:eastAsia="zh-CN" w:bidi="ar-SA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Times New Roman" w:hAnsi="Times New Roman" w:eastAsia="方正小标宋简体" w:cs="Times New Roman"/>
          <w:bCs w:val="0"/>
          <w:kern w:val="2"/>
          <w:sz w:val="32"/>
          <w:szCs w:val="112"/>
          <w:lang w:val="en-US" w:eastAsia="zh-CN" w:bidi="ar-SA"/>
        </w:rPr>
        <w:instrText xml:space="preserve"> HYPERLINK \l _Toc11965 </w:instrText>
      </w:r>
      <w:r>
        <w:rPr>
          <w:rFonts w:hint="default" w:ascii="Times New Roman" w:hAnsi="Times New Roman" w:eastAsia="方正小标宋简体" w:cs="Times New Roman"/>
          <w:bCs w:val="0"/>
          <w:kern w:val="2"/>
          <w:sz w:val="32"/>
          <w:szCs w:val="112"/>
          <w:lang w:val="en-US" w:eastAsia="zh-CN" w:bidi="ar-SA"/>
        </w:rPr>
        <w:fldChar w:fldCharType="separate"/>
      </w:r>
      <w:r>
        <w:rPr>
          <w:rFonts w:hint="default" w:ascii="Times New Roman" w:hAnsi="Times New Roman" w:eastAsia="黑体" w:cs="Times New Roman"/>
          <w:bCs w:val="0"/>
          <w:kern w:val="2"/>
          <w:sz w:val="32"/>
          <w:szCs w:val="72"/>
          <w:lang w:val="en-US" w:eastAsia="zh-CN" w:bidi="ar-SA"/>
        </w:rPr>
        <w:t>四、重点任务</w:t>
      </w:r>
      <w:r>
        <w:rPr>
          <w:rFonts w:ascii="Times New Roman" w:hAnsi="Times New Roman"/>
          <w:sz w:val="32"/>
          <w:szCs w:val="40"/>
        </w:rPr>
        <w:tab/>
      </w:r>
      <w:r>
        <w:rPr>
          <w:rFonts w:hint="default" w:ascii="Times New Roman" w:hAnsi="Times New Roman"/>
          <w:sz w:val="32"/>
          <w:szCs w:val="40"/>
          <w:lang w:val="en-US" w:eastAsia="zh-CN"/>
        </w:rPr>
        <w:t>1</w:t>
      </w:r>
      <w:r>
        <w:rPr>
          <w:rFonts w:hint="default" w:ascii="Times New Roman" w:hAnsi="Times New Roman" w:eastAsia="方正小标宋简体" w:cs="Times New Roman"/>
          <w:bCs w:val="0"/>
          <w:color w:val="000000" w:themeColor="text1"/>
          <w:kern w:val="2"/>
          <w:sz w:val="32"/>
          <w:szCs w:val="112"/>
          <w:lang w:val="en-US" w:eastAsia="zh-CN" w:bidi="ar-SA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ascii="Times New Roman" w:hAnsi="Times New Roman" w:eastAsia="方正小标宋简体" w:cs="Times New Roman"/>
          <w:bCs w:val="0"/>
          <w:color w:val="000000" w:themeColor="text1"/>
          <w:kern w:val="2"/>
          <w:sz w:val="32"/>
          <w:szCs w:val="112"/>
          <w:lang w:val="en-US" w:eastAsia="zh-CN" w:bidi="ar-SA"/>
          <w14:textFill>
            <w14:solidFill>
              <w14:schemeClr w14:val="tx1"/>
            </w14:solidFill>
          </w14:textFill>
        </w:rPr>
        <w:t>3</w:t>
      </w:r>
      <w:bookmarkStart w:id="211" w:name="_GoBack"/>
      <w:bookmarkEnd w:id="211"/>
    </w:p>
    <w:p>
      <w:pPr>
        <w:pStyle w:val="13"/>
        <w:tabs>
          <w:tab w:val="right" w:leader="dot" w:pos="8845"/>
        </w:tabs>
        <w:spacing w:line="480" w:lineRule="exact"/>
        <w:rPr>
          <w:rFonts w:ascii="Times New Roman" w:hAnsi="Times New Roman"/>
          <w:sz w:val="32"/>
          <w:szCs w:val="40"/>
        </w:rPr>
      </w:pPr>
      <w:r>
        <w:rPr>
          <w:rFonts w:hint="default" w:ascii="Times New Roman" w:hAnsi="Times New Roman" w:eastAsia="方正小标宋简体" w:cs="Times New Roman"/>
          <w:bCs w:val="0"/>
          <w:color w:val="000000" w:themeColor="text1"/>
          <w:kern w:val="2"/>
          <w:sz w:val="32"/>
          <w:szCs w:val="112"/>
          <w:lang w:val="en-US" w:eastAsia="zh-CN" w:bidi="ar-SA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Times New Roman" w:hAnsi="Times New Roman" w:eastAsia="方正小标宋简体" w:cs="Times New Roman"/>
          <w:bCs w:val="0"/>
          <w:kern w:val="2"/>
          <w:sz w:val="32"/>
          <w:szCs w:val="112"/>
          <w:lang w:val="en-US" w:eastAsia="zh-CN" w:bidi="ar-SA"/>
        </w:rPr>
        <w:instrText xml:space="preserve"> HYPERLINK \l _Toc29975 </w:instrText>
      </w:r>
      <w:r>
        <w:rPr>
          <w:rFonts w:hint="default" w:ascii="Times New Roman" w:hAnsi="Times New Roman" w:eastAsia="方正小标宋简体" w:cs="Times New Roman"/>
          <w:bCs w:val="0"/>
          <w:kern w:val="2"/>
          <w:sz w:val="32"/>
          <w:szCs w:val="112"/>
          <w:lang w:val="en-US" w:eastAsia="zh-CN" w:bidi="ar-SA"/>
        </w:rPr>
        <w:fldChar w:fldCharType="separate"/>
      </w:r>
      <w:r>
        <w:rPr>
          <w:rFonts w:hint="default" w:ascii="Times New Roman" w:hAnsi="Times New Roman" w:eastAsia="楷体" w:cs="Times New Roman"/>
          <w:bCs w:val="0"/>
          <w:sz w:val="32"/>
          <w:szCs w:val="56"/>
          <w:highlight w:val="none"/>
          <w:lang w:val="en-US" w:eastAsia="zh-CN"/>
        </w:rPr>
        <w:t>（一）以绿为底，打造京西发展动力源</w:t>
      </w:r>
      <w:r>
        <w:rPr>
          <w:rFonts w:ascii="Times New Roman" w:hAnsi="Times New Roman"/>
          <w:sz w:val="32"/>
          <w:szCs w:val="40"/>
        </w:rPr>
        <w:tab/>
      </w:r>
      <w:r>
        <w:rPr>
          <w:rFonts w:hint="default" w:ascii="Times New Roman" w:hAnsi="Times New Roman"/>
          <w:sz w:val="32"/>
          <w:szCs w:val="40"/>
          <w:lang w:val="en-US" w:eastAsia="zh-CN"/>
        </w:rPr>
        <w:t>13</w:t>
      </w:r>
      <w:r>
        <w:rPr>
          <w:rFonts w:hint="default" w:ascii="Times New Roman" w:hAnsi="Times New Roman" w:eastAsia="方正小标宋简体" w:cs="Times New Roman"/>
          <w:bCs w:val="0"/>
          <w:color w:val="000000" w:themeColor="text1"/>
          <w:kern w:val="2"/>
          <w:sz w:val="32"/>
          <w:szCs w:val="112"/>
          <w:lang w:val="en-US" w:eastAsia="zh-CN" w:bidi="ar-SA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3"/>
        <w:tabs>
          <w:tab w:val="right" w:leader="dot" w:pos="8845"/>
        </w:tabs>
        <w:spacing w:line="480" w:lineRule="exact"/>
        <w:rPr>
          <w:rFonts w:ascii="Times New Roman" w:hAnsi="Times New Roman"/>
          <w:sz w:val="32"/>
          <w:szCs w:val="40"/>
        </w:rPr>
      </w:pPr>
      <w:r>
        <w:rPr>
          <w:rFonts w:hint="default" w:ascii="Times New Roman" w:hAnsi="Times New Roman" w:eastAsia="方正小标宋简体" w:cs="Times New Roman"/>
          <w:bCs w:val="0"/>
          <w:color w:val="000000" w:themeColor="text1"/>
          <w:kern w:val="2"/>
          <w:sz w:val="32"/>
          <w:szCs w:val="112"/>
          <w:lang w:val="en-US" w:eastAsia="zh-CN" w:bidi="ar-SA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Times New Roman" w:hAnsi="Times New Roman" w:eastAsia="方正小标宋简体" w:cs="Times New Roman"/>
          <w:bCs w:val="0"/>
          <w:kern w:val="2"/>
          <w:sz w:val="32"/>
          <w:szCs w:val="112"/>
          <w:lang w:val="en-US" w:eastAsia="zh-CN" w:bidi="ar-SA"/>
        </w:rPr>
        <w:instrText xml:space="preserve"> HYPERLINK \l _Toc18184 </w:instrText>
      </w:r>
      <w:r>
        <w:rPr>
          <w:rFonts w:hint="default" w:ascii="Times New Roman" w:hAnsi="Times New Roman" w:eastAsia="方正小标宋简体" w:cs="Times New Roman"/>
          <w:bCs w:val="0"/>
          <w:kern w:val="2"/>
          <w:sz w:val="32"/>
          <w:szCs w:val="112"/>
          <w:lang w:val="en-US" w:eastAsia="zh-CN" w:bidi="ar-SA"/>
        </w:rPr>
        <w:fldChar w:fldCharType="separate"/>
      </w:r>
      <w:r>
        <w:rPr>
          <w:rFonts w:hint="default" w:ascii="Times New Roman" w:hAnsi="Times New Roman" w:eastAsia="楷体_GB2312" w:cs="Times New Roman"/>
          <w:bCs w:val="0"/>
          <w:sz w:val="32"/>
          <w:szCs w:val="56"/>
          <w:lang w:val="en-US" w:eastAsia="zh-CN"/>
        </w:rPr>
        <w:t>（二）产城互促，建设产城融合新样板</w:t>
      </w:r>
      <w:r>
        <w:rPr>
          <w:rFonts w:ascii="Times New Roman" w:hAnsi="Times New Roman"/>
          <w:sz w:val="32"/>
          <w:szCs w:val="40"/>
        </w:rPr>
        <w:tab/>
      </w:r>
      <w:r>
        <w:rPr>
          <w:rFonts w:hint="default" w:ascii="Times New Roman" w:hAnsi="Times New Roman"/>
          <w:sz w:val="32"/>
          <w:szCs w:val="40"/>
          <w:lang w:val="en-US" w:eastAsia="zh-CN"/>
        </w:rPr>
        <w:t>15</w:t>
      </w:r>
      <w:r>
        <w:rPr>
          <w:rFonts w:hint="default" w:ascii="Times New Roman" w:hAnsi="Times New Roman" w:eastAsia="方正小标宋简体" w:cs="Times New Roman"/>
          <w:bCs w:val="0"/>
          <w:color w:val="000000" w:themeColor="text1"/>
          <w:kern w:val="2"/>
          <w:sz w:val="32"/>
          <w:szCs w:val="112"/>
          <w:lang w:val="en-US" w:eastAsia="zh-CN" w:bidi="ar-SA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3"/>
        <w:tabs>
          <w:tab w:val="right" w:leader="dot" w:pos="8845"/>
        </w:tabs>
        <w:spacing w:line="480" w:lineRule="exact"/>
        <w:rPr>
          <w:rFonts w:ascii="Times New Roman" w:hAnsi="Times New Roman"/>
          <w:sz w:val="32"/>
          <w:szCs w:val="40"/>
        </w:rPr>
      </w:pPr>
      <w:r>
        <w:rPr>
          <w:rFonts w:hint="default" w:ascii="Times New Roman" w:hAnsi="Times New Roman" w:eastAsia="方正小标宋简体" w:cs="Times New Roman"/>
          <w:bCs w:val="0"/>
          <w:color w:val="000000" w:themeColor="text1"/>
          <w:kern w:val="2"/>
          <w:sz w:val="32"/>
          <w:szCs w:val="112"/>
          <w:lang w:val="en-US" w:eastAsia="zh-CN" w:bidi="ar-SA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Times New Roman" w:hAnsi="Times New Roman" w:eastAsia="方正小标宋简体" w:cs="Times New Roman"/>
          <w:bCs w:val="0"/>
          <w:kern w:val="2"/>
          <w:sz w:val="32"/>
          <w:szCs w:val="112"/>
          <w:lang w:val="en-US" w:eastAsia="zh-CN" w:bidi="ar-SA"/>
        </w:rPr>
        <w:instrText xml:space="preserve"> HYPERLINK \l _Toc24484 </w:instrText>
      </w:r>
      <w:r>
        <w:rPr>
          <w:rFonts w:hint="default" w:ascii="Times New Roman" w:hAnsi="Times New Roman" w:eastAsia="方正小标宋简体" w:cs="Times New Roman"/>
          <w:bCs w:val="0"/>
          <w:kern w:val="2"/>
          <w:sz w:val="32"/>
          <w:szCs w:val="112"/>
          <w:lang w:val="en-US" w:eastAsia="zh-CN" w:bidi="ar-SA"/>
        </w:rPr>
        <w:fldChar w:fldCharType="separate"/>
      </w:r>
      <w:r>
        <w:rPr>
          <w:rFonts w:hint="default" w:ascii="Times New Roman" w:hAnsi="Times New Roman" w:eastAsia="楷体_GB2312" w:cs="Times New Roman"/>
          <w:bCs w:val="0"/>
          <w:sz w:val="32"/>
          <w:szCs w:val="56"/>
          <w:lang w:val="en-US" w:eastAsia="zh-CN"/>
        </w:rPr>
        <w:t>（三）内外联动，激发资源统筹新动能</w:t>
      </w:r>
      <w:r>
        <w:rPr>
          <w:rFonts w:ascii="Times New Roman" w:hAnsi="Times New Roman"/>
          <w:sz w:val="32"/>
          <w:szCs w:val="40"/>
        </w:rPr>
        <w:tab/>
      </w:r>
      <w:r>
        <w:rPr>
          <w:rFonts w:hint="default" w:ascii="Times New Roman" w:hAnsi="Times New Roman" w:eastAsia="方正小标宋简体" w:cs="Times New Roman"/>
          <w:bCs w:val="0"/>
          <w:color w:val="000000" w:themeColor="text1"/>
          <w:kern w:val="2"/>
          <w:sz w:val="32"/>
          <w:szCs w:val="112"/>
          <w:lang w:val="en-US" w:eastAsia="zh-CN" w:bidi="ar-SA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ascii="Times New Roman" w:hAnsi="Times New Roman"/>
          <w:sz w:val="32"/>
          <w:szCs w:val="40"/>
          <w:lang w:val="en-US" w:eastAsia="zh-CN"/>
        </w:rPr>
        <w:t>20</w:t>
      </w:r>
    </w:p>
    <w:p>
      <w:pPr>
        <w:pStyle w:val="13"/>
        <w:tabs>
          <w:tab w:val="right" w:leader="dot" w:pos="8845"/>
        </w:tabs>
        <w:spacing w:line="480" w:lineRule="exact"/>
        <w:rPr>
          <w:rFonts w:ascii="Times New Roman" w:hAnsi="Times New Roman"/>
          <w:sz w:val="32"/>
          <w:szCs w:val="40"/>
        </w:rPr>
      </w:pPr>
      <w:r>
        <w:rPr>
          <w:rFonts w:hint="default" w:ascii="Times New Roman" w:hAnsi="Times New Roman" w:eastAsia="方正小标宋简体" w:cs="Times New Roman"/>
          <w:bCs w:val="0"/>
          <w:color w:val="000000" w:themeColor="text1"/>
          <w:kern w:val="2"/>
          <w:sz w:val="32"/>
          <w:szCs w:val="112"/>
          <w:lang w:val="en-US" w:eastAsia="zh-CN" w:bidi="ar-SA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Times New Roman" w:hAnsi="Times New Roman" w:eastAsia="方正小标宋简体" w:cs="Times New Roman"/>
          <w:bCs w:val="0"/>
          <w:kern w:val="2"/>
          <w:sz w:val="32"/>
          <w:szCs w:val="112"/>
          <w:lang w:val="en-US" w:eastAsia="zh-CN" w:bidi="ar-SA"/>
        </w:rPr>
        <w:instrText xml:space="preserve"> HYPERLINK \l _Toc12852 </w:instrText>
      </w:r>
      <w:r>
        <w:rPr>
          <w:rFonts w:hint="default" w:ascii="Times New Roman" w:hAnsi="Times New Roman" w:eastAsia="方正小标宋简体" w:cs="Times New Roman"/>
          <w:bCs w:val="0"/>
          <w:kern w:val="2"/>
          <w:sz w:val="32"/>
          <w:szCs w:val="112"/>
          <w:lang w:val="en-US" w:eastAsia="zh-CN" w:bidi="ar-SA"/>
        </w:rPr>
        <w:fldChar w:fldCharType="separate"/>
      </w:r>
      <w:r>
        <w:rPr>
          <w:rFonts w:hint="default" w:ascii="Times New Roman" w:hAnsi="Times New Roman" w:eastAsia="楷体_GB2312" w:cs="Times New Roman"/>
          <w:bCs w:val="0"/>
          <w:sz w:val="32"/>
          <w:szCs w:val="56"/>
          <w:lang w:val="en-US" w:eastAsia="zh-CN"/>
        </w:rPr>
        <w:t>（四）机制护航，强化运营管理硬支撑</w:t>
      </w:r>
      <w:r>
        <w:rPr>
          <w:rFonts w:ascii="Times New Roman" w:hAnsi="Times New Roman"/>
          <w:sz w:val="32"/>
          <w:szCs w:val="40"/>
        </w:rPr>
        <w:tab/>
      </w:r>
      <w:r>
        <w:rPr>
          <w:rFonts w:hint="default" w:ascii="Times New Roman" w:hAnsi="Times New Roman" w:eastAsia="方正小标宋简体" w:cs="Times New Roman"/>
          <w:bCs w:val="0"/>
          <w:color w:val="000000" w:themeColor="text1"/>
          <w:kern w:val="2"/>
          <w:sz w:val="32"/>
          <w:szCs w:val="112"/>
          <w:lang w:val="en-US" w:eastAsia="zh-CN" w:bidi="ar-SA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ascii="Times New Roman" w:hAnsi="Times New Roman" w:eastAsia="方正小标宋简体"/>
          <w:sz w:val="32"/>
          <w:szCs w:val="40"/>
          <w:lang w:val="en-US" w:eastAsia="zh-CN"/>
        </w:rPr>
        <w:t>22</w:t>
      </w:r>
    </w:p>
    <w:p>
      <w:pPr>
        <w:pStyle w:val="11"/>
        <w:tabs>
          <w:tab w:val="right" w:leader="dot" w:pos="8845"/>
        </w:tabs>
        <w:spacing w:line="480" w:lineRule="exact"/>
        <w:rPr>
          <w:sz w:val="32"/>
          <w:szCs w:val="40"/>
        </w:rPr>
      </w:pPr>
      <w:r>
        <w:rPr>
          <w:rFonts w:hint="default" w:ascii="Times New Roman" w:hAnsi="Times New Roman" w:eastAsia="方正小标宋简体" w:cs="Times New Roman"/>
          <w:bCs w:val="0"/>
          <w:color w:val="000000" w:themeColor="text1"/>
          <w:kern w:val="2"/>
          <w:sz w:val="32"/>
          <w:szCs w:val="112"/>
          <w:lang w:val="en-US" w:eastAsia="zh-CN" w:bidi="ar-SA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Times New Roman" w:hAnsi="Times New Roman" w:eastAsia="方正小标宋简体" w:cs="Times New Roman"/>
          <w:bCs w:val="0"/>
          <w:kern w:val="2"/>
          <w:sz w:val="32"/>
          <w:szCs w:val="112"/>
          <w:lang w:val="en-US" w:eastAsia="zh-CN" w:bidi="ar-SA"/>
        </w:rPr>
        <w:instrText xml:space="preserve"> HYPERLINK \l _Toc20036 </w:instrText>
      </w:r>
      <w:r>
        <w:rPr>
          <w:rFonts w:hint="default" w:ascii="Times New Roman" w:hAnsi="Times New Roman" w:eastAsia="方正小标宋简体" w:cs="Times New Roman"/>
          <w:bCs w:val="0"/>
          <w:kern w:val="2"/>
          <w:sz w:val="32"/>
          <w:szCs w:val="112"/>
          <w:lang w:val="en-US" w:eastAsia="zh-CN" w:bidi="ar-SA"/>
        </w:rPr>
        <w:fldChar w:fldCharType="separate"/>
      </w:r>
      <w:r>
        <w:rPr>
          <w:rFonts w:hint="default" w:ascii="Times New Roman" w:hAnsi="Times New Roman" w:eastAsia="黑体" w:cs="Times New Roman"/>
          <w:kern w:val="2"/>
          <w:sz w:val="32"/>
          <w:szCs w:val="72"/>
          <w:lang w:val="en-US" w:eastAsia="zh-CN" w:bidi="ar-SA"/>
        </w:rPr>
        <w:t>五、保障措施</w:t>
      </w:r>
      <w:r>
        <w:rPr>
          <w:rFonts w:ascii="Times New Roman" w:hAnsi="Times New Roman"/>
          <w:sz w:val="32"/>
          <w:szCs w:val="40"/>
        </w:rPr>
        <w:tab/>
      </w:r>
      <w:r>
        <w:rPr>
          <w:rFonts w:hint="default" w:ascii="Times New Roman" w:hAnsi="Times New Roman"/>
          <w:sz w:val="32"/>
          <w:szCs w:val="40"/>
          <w:lang w:val="en-US" w:eastAsia="zh-CN"/>
        </w:rPr>
        <w:t>2</w:t>
      </w:r>
      <w:r>
        <w:rPr>
          <w:rFonts w:hint="default" w:ascii="Times New Roman" w:hAnsi="Times New Roman" w:eastAsia="方正小标宋简体" w:cs="Times New Roman"/>
          <w:bCs w:val="0"/>
          <w:color w:val="000000" w:themeColor="text1"/>
          <w:kern w:val="2"/>
          <w:sz w:val="32"/>
          <w:szCs w:val="112"/>
          <w:lang w:val="en-US" w:eastAsia="zh-CN" w:bidi="ar-SA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ascii="Times New Roman" w:hAnsi="Times New Roman"/>
          <w:sz w:val="32"/>
          <w:szCs w:val="40"/>
          <w:lang w:val="en-US" w:eastAsia="zh-CN"/>
        </w:rPr>
        <w:t>4</w:t>
      </w:r>
    </w:p>
    <w:p>
      <w:pPr>
        <w:shd w:val="clear" w:color="auto" w:fill="FFFFFF"/>
        <w:autoSpaceDE/>
        <w:spacing w:after="0" w:line="480" w:lineRule="exact"/>
        <w:ind w:firstLine="0" w:firstLineChars="0"/>
        <w:rPr>
          <w:rFonts w:hint="eastAsia" w:ascii="方正小标宋简体" w:hAnsi="方正小标宋简体" w:eastAsia="方正小标宋简体" w:cs="方正小标宋简体"/>
          <w:bCs w:val="0"/>
          <w:color w:val="000000" w:themeColor="text1"/>
          <w:kern w:val="2"/>
          <w:szCs w:val="4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bCs w:val="0"/>
          <w:color w:val="000000" w:themeColor="text1"/>
          <w:kern w:val="2"/>
          <w:sz w:val="28"/>
          <w:szCs w:val="56"/>
          <w:lang w:val="en-US" w:eastAsia="zh-CN" w:bidi="ar-SA"/>
          <w14:textFill>
            <w14:solidFill>
              <w14:schemeClr w14:val="tx1"/>
            </w14:solidFill>
          </w14:textFill>
        </w:rPr>
        <w:fldChar w:fldCharType="end"/>
      </w:r>
    </w:p>
    <w:p>
      <w:pPr>
        <w:shd w:val="clear" w:color="auto" w:fill="FFFFFF"/>
        <w:autoSpaceDE/>
        <w:spacing w:after="0" w:line="480" w:lineRule="exact"/>
        <w:ind w:firstLine="0" w:firstLineChars="0"/>
        <w:rPr>
          <w:rFonts w:hint="eastAsia" w:ascii="方正小标宋简体" w:hAnsi="方正小标宋简体" w:eastAsia="方正小标宋简体" w:cs="方正小标宋简体"/>
          <w:bCs w:val="0"/>
          <w:color w:val="000000" w:themeColor="text1"/>
          <w:kern w:val="2"/>
          <w:szCs w:val="44"/>
          <w:lang w:val="en-US" w:eastAsia="zh-CN" w:bidi="ar-SA"/>
          <w14:textFill>
            <w14:solidFill>
              <w14:schemeClr w14:val="tx1"/>
            </w14:solidFill>
          </w14:textFill>
        </w:rPr>
      </w:pPr>
    </w:p>
    <w:bookmarkEnd w:id="15"/>
    <w:bookmarkEnd w:id="16"/>
    <w:bookmarkEnd w:id="17"/>
    <w:p>
      <w:pPr>
        <w:shd w:val="clear" w:color="auto" w:fill="FFFFFF"/>
        <w:autoSpaceDE/>
        <w:spacing w:after="0" w:line="480" w:lineRule="exact"/>
        <w:ind w:firstLine="0" w:firstLineChars="0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sectPr>
          <w:pgSz w:w="11906" w:h="16838"/>
          <w:pgMar w:top="2098" w:right="1474" w:bottom="1984" w:left="158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 w:start="1"/>
          <w:cols w:space="720" w:num="1"/>
          <w:docGrid w:type="lines" w:linePitch="312" w:charSpace="0"/>
        </w:sectPr>
      </w:pPr>
    </w:p>
    <w:p>
      <w:pPr>
        <w:keepNext/>
        <w:keepLines/>
        <w:pageBreakBefore w:val="0"/>
        <w:widowControl w:val="0"/>
        <w:shd w:val="clear" w:color="auto" w:fill="auto"/>
        <w:kinsoku/>
        <w:wordWrap/>
        <w:overflowPunct/>
        <w:topLinePunct w:val="0"/>
        <w:autoSpaceDE w:val="0"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0"/>
        <w:rPr>
          <w:rFonts w:hint="default" w:ascii="Times New Roman" w:hAnsi="Times New Roman" w:eastAsia="黑体" w:cs="Times New Roman"/>
          <w:color w:val="000000" w:themeColor="text1"/>
          <w:kern w:val="2"/>
          <w:sz w:val="32"/>
          <w:szCs w:val="48"/>
          <w:lang w:val="en-US" w:eastAsia="zh-CN" w:bidi="ar-SA"/>
          <w14:textFill>
            <w14:solidFill>
              <w14:schemeClr w14:val="tx1"/>
            </w14:solidFill>
          </w14:textFill>
        </w:rPr>
      </w:pPr>
      <w:bookmarkStart w:id="18" w:name="_Toc26838"/>
      <w:bookmarkStart w:id="19" w:name="_Toc3961"/>
      <w:bookmarkStart w:id="20" w:name="_Toc6450"/>
      <w:bookmarkStart w:id="21" w:name="_Toc16076"/>
      <w:bookmarkStart w:id="22" w:name="_Toc18986"/>
      <w:bookmarkStart w:id="23" w:name="_Toc31045"/>
      <w:bookmarkStart w:id="24" w:name="_Toc21102"/>
      <w:bookmarkStart w:id="25" w:name="_Toc7280"/>
      <w:bookmarkStart w:id="26" w:name="_Toc16037"/>
      <w:bookmarkStart w:id="27" w:name="_Toc14377"/>
      <w:r>
        <w:rPr>
          <w:rFonts w:hint="eastAsia" w:ascii="Times New Roman" w:hAnsi="Times New Roman" w:eastAsia="黑体" w:cs="Times New Roman"/>
          <w:color w:val="000000" w:themeColor="text1"/>
          <w:kern w:val="2"/>
          <w:sz w:val="32"/>
          <w:szCs w:val="48"/>
          <w:lang w:val="en-US" w:eastAsia="zh-CN" w:bidi="ar-SA"/>
          <w14:textFill>
            <w14:solidFill>
              <w14:schemeClr w14:val="tx1"/>
            </w14:solidFill>
          </w14:textFill>
        </w:rPr>
        <w:t>一、总则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1"/>
        <w:rPr>
          <w:rFonts w:hint="eastAsia" w:ascii="楷体_GB2312" w:hAnsi="楷体_GB2312" w:eastAsia="楷体_GB2312" w:cs="楷体_GB2312"/>
          <w:b w:val="0"/>
          <w:bCs w:val="0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</w:pPr>
      <w:bookmarkStart w:id="28" w:name="_Toc13777"/>
      <w:bookmarkStart w:id="29" w:name="_Toc12791"/>
      <w:bookmarkStart w:id="30" w:name="_Toc7947"/>
      <w:bookmarkStart w:id="31" w:name="_Toc9474"/>
      <w:bookmarkStart w:id="32" w:name="_Toc24588"/>
      <w:bookmarkStart w:id="33" w:name="_Toc19547"/>
      <w:bookmarkStart w:id="34" w:name="_Toc13048"/>
      <w:bookmarkStart w:id="35" w:name="_Toc2126"/>
      <w:r>
        <w:rPr>
          <w:rFonts w:hint="eastAsia" w:ascii="楷体_GB2312" w:hAnsi="楷体_GB2312" w:eastAsia="楷体_GB2312" w:cs="楷体_GB2312"/>
          <w:b w:val="0"/>
          <w:bCs w:val="0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（一）规划背景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p>
      <w:pPr>
        <w:shd w:val="clear" w:color="auto" w:fill="FFFFFF"/>
        <w:autoSpaceDE w:val="0"/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b w:val="0"/>
          <w:bCs w:val="0"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b w:val="0"/>
          <w:bCs w:val="0"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为全面落实党的二十届三中全会关于“深化开发区管理制度改革”的重要部署，深入贯彻</w:t>
      </w:r>
      <w:r>
        <w:rPr>
          <w:rFonts w:hint="eastAsia" w:ascii="Times New Roman" w:hAnsi="Times New Roman" w:eastAsia="仿宋_GB2312"/>
          <w:color w:val="000000" w:themeColor="text1"/>
          <w:sz w:val="32"/>
          <w:highlight w:val="none"/>
          <w14:textFill>
            <w14:solidFill>
              <w14:schemeClr w14:val="tx1"/>
            </w14:solidFill>
          </w14:textFill>
        </w:rPr>
        <w:t>习近平总书记对中关村世界领先科技园区</w:t>
      </w:r>
      <w:r>
        <w:rPr>
          <w:rFonts w:hint="eastAsia" w:ascii="Times New Roman" w:hAnsi="Times New Roman" w:eastAsia="仿宋_GB2312"/>
          <w:color w:val="000000" w:themeColor="text1"/>
          <w:sz w:val="32"/>
          <w:highlight w:val="none"/>
          <w:lang w:eastAsia="zh-CN"/>
          <w14:textFill>
            <w14:solidFill>
              <w14:schemeClr w14:val="tx1"/>
            </w14:solidFill>
          </w14:textFill>
        </w:rPr>
        <w:t>建设等</w:t>
      </w:r>
      <w:r>
        <w:rPr>
          <w:rFonts w:hint="eastAsia" w:ascii="Times New Roman" w:hAnsi="Times New Roman" w:eastAsia="仿宋_GB2312"/>
          <w:color w:val="000000" w:themeColor="text1"/>
          <w:sz w:val="32"/>
          <w:highlight w:val="none"/>
          <w14:textFill>
            <w14:solidFill>
              <w14:schemeClr w14:val="tx1"/>
            </w14:solidFill>
          </w14:textFill>
        </w:rPr>
        <w:t>重要指示批示精神</w:t>
      </w:r>
      <w:r>
        <w:rPr>
          <w:rFonts w:hint="eastAsia" w:ascii="Times New Roman" w:hAnsi="Times New Roman" w:eastAsia="仿宋_GB2312" w:cs="Times New Roman"/>
          <w:b w:val="0"/>
          <w:bCs w:val="0"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，北京市探索建立园区空间动态调整与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扶优劣汰</w:t>
      </w:r>
      <w:r>
        <w:rPr>
          <w:rFonts w:hint="eastAsia" w:ascii="Times New Roman" w:hAnsi="Times New Roman" w:eastAsia="仿宋_GB2312" w:cs="Times New Roman"/>
          <w:b w:val="0"/>
          <w:bCs w:val="0"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机制，2025年2月批复设立北京石景山高新技术产业开发区（以下简称“市级高新区”）。石景山区高标准建设市级高新区，承接市区战略功能，强化科技创新与绿色低碳双轮驱动，全力打造西部片区高质量发展核心引擎。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1"/>
        <w:rPr>
          <w:rFonts w:hint="default" w:ascii="楷体_GB2312" w:hAnsi="楷体_GB2312" w:eastAsia="楷体_GB2312" w:cs="楷体_GB2312"/>
          <w:b w:val="0"/>
          <w:bCs w:val="0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</w:pPr>
      <w:bookmarkStart w:id="36" w:name="_Toc22384"/>
      <w:bookmarkStart w:id="37" w:name="_Toc16356"/>
      <w:bookmarkStart w:id="38" w:name="_Toc17566"/>
      <w:bookmarkStart w:id="39" w:name="_Toc20340"/>
      <w:bookmarkStart w:id="40" w:name="_Toc19170"/>
      <w:bookmarkStart w:id="41" w:name="_Toc29095"/>
      <w:bookmarkStart w:id="42" w:name="_Toc9359"/>
      <w:bookmarkStart w:id="43" w:name="_Toc9642"/>
      <w:r>
        <w:rPr>
          <w:rFonts w:hint="eastAsia" w:ascii="楷体_GB2312" w:hAnsi="楷体_GB2312" w:eastAsia="楷体_GB2312" w:cs="楷体_GB2312"/>
          <w:b w:val="0"/>
          <w:bCs w:val="0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（二）规划范围</w:t>
      </w:r>
      <w:bookmarkEnd w:id="36"/>
      <w:bookmarkEnd w:id="37"/>
      <w:bookmarkEnd w:id="38"/>
      <w:bookmarkEnd w:id="39"/>
      <w:bookmarkEnd w:id="40"/>
      <w:bookmarkEnd w:id="41"/>
      <w:bookmarkEnd w:id="42"/>
      <w:bookmarkEnd w:id="43"/>
    </w:p>
    <w:p>
      <w:pPr>
        <w:suppressAutoHyphens/>
        <w:adjustRightInd w:val="0"/>
        <w:snapToGrid w:val="0"/>
        <w:spacing w:line="560" w:lineRule="exact"/>
        <w:ind w:firstLine="640" w:firstLineChars="200"/>
        <w:jc w:val="left"/>
        <w:rPr>
          <w:rFonts w:hint="eastAsia" w:ascii="仿宋_GB2312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本次规划范围为市级高新区已批复的规划范围，位于石景山区西部地区（以下简称“西部地区”），隶属五里坨街道（SS00-1601街区），总用地面积约60.23公顷（见图1）。具体四至范围：东至规划路，南至秀府路、石坊路，西至人大附中石景山学校东侧规划路，北至石景山炮山城市森林公园、规划路（见图2）。为进一步强化市级高新区与西部地区的协同联动，统筹功能布局与配套设施共建共享，充分发挥市级高新区规划建设的辐射带动作用，推动西部地区整体功能提升与高质量发展，研究范围同步拓展至石景山全区。</w:t>
      </w:r>
    </w:p>
    <w:p>
      <w:pPr>
        <w:suppressAutoHyphens/>
        <w:adjustRightInd w:val="0"/>
        <w:snapToGrid w:val="0"/>
        <w:spacing w:line="560" w:lineRule="exact"/>
        <w:ind w:firstLine="0" w:firstLineChars="0"/>
        <w:jc w:val="center"/>
        <w:rPr>
          <w:rFonts w:hint="eastAsia" w:ascii="Times New Roman" w:hAnsi="Times New Roman" w:eastAsia="仿宋_GB2312" w:cs="Times New Roman"/>
          <w:b/>
          <w:bCs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73025</wp:posOffset>
            </wp:positionV>
            <wp:extent cx="4930775" cy="3255010"/>
            <wp:effectExtent l="0" t="0" r="9525" b="8890"/>
            <wp:wrapTopAndBottom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t="2297"/>
                    <a:stretch>
                      <a:fillRect/>
                    </a:stretch>
                  </pic:blipFill>
                  <pic:spPr>
                    <a:xfrm>
                      <a:off x="0" y="0"/>
                      <a:ext cx="4930775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4" w:name="_Toc5312"/>
      <w:bookmarkStart w:id="45" w:name="_Toc28948"/>
      <w:bookmarkStart w:id="46" w:name="_Toc28360"/>
      <w:bookmarkStart w:id="47" w:name="_Toc10295"/>
      <w:bookmarkStart w:id="48" w:name="_Toc9872"/>
      <w:r>
        <w:rPr>
          <w:rFonts w:hint="eastAsia" w:ascii="Times New Roman" w:hAnsi="Times New Roman" w:eastAsia="仿宋_GB2312" w:cs="Times New Roman"/>
          <w:b/>
          <w:bCs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图1市级高新区区位图</w:t>
      </w:r>
    </w:p>
    <w:p>
      <w:pPr>
        <w:suppressAutoHyphens/>
        <w:adjustRightInd w:val="0"/>
        <w:snapToGrid w:val="0"/>
        <w:spacing w:line="560" w:lineRule="exact"/>
        <w:ind w:firstLine="0" w:firstLineChars="0"/>
        <w:jc w:val="center"/>
        <w:rPr>
          <w:rFonts w:hint="eastAsia" w:ascii="Times New Roman" w:hAnsi="Times New Roman" w:eastAsia="仿宋_GB2312" w:cs="Times New Roman"/>
          <w:b/>
          <w:bCs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109220</wp:posOffset>
            </wp:positionV>
            <wp:extent cx="4930775" cy="3383915"/>
            <wp:effectExtent l="0" t="0" r="9525" b="6985"/>
            <wp:wrapTopAndBottom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7"/>
                    <a:srcRect l="632" t="2036" r="51924" b="10013"/>
                    <a:stretch>
                      <a:fillRect/>
                    </a:stretch>
                  </pic:blipFill>
                  <pic:spPr>
                    <a:xfrm>
                      <a:off x="0" y="0"/>
                      <a:ext cx="4930775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Times New Roman"/>
          <w:b/>
          <w:bCs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图2市级高新区规划范围图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1"/>
        <w:rPr>
          <w:rFonts w:hint="default" w:ascii="楷体_GB2312" w:hAnsi="楷体_GB2312" w:eastAsia="楷体_GB2312" w:cs="楷体_GB2312"/>
          <w:b w:val="0"/>
          <w:bCs w:val="0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</w:pPr>
      <w:bookmarkStart w:id="49" w:name="_Toc27476"/>
      <w:bookmarkStart w:id="50" w:name="_Toc17127"/>
      <w:bookmarkStart w:id="51" w:name="_Toc30096"/>
      <w:r>
        <w:rPr>
          <w:rFonts w:hint="eastAsia" w:ascii="楷体_GB2312" w:hAnsi="楷体_GB2312" w:eastAsia="楷体_GB2312" w:cs="楷体_GB2312"/>
          <w:b w:val="0"/>
          <w:bCs w:val="0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（三）规划期限</w:t>
      </w:r>
      <w:bookmarkEnd w:id="44"/>
      <w:bookmarkEnd w:id="45"/>
      <w:bookmarkEnd w:id="46"/>
      <w:bookmarkEnd w:id="47"/>
      <w:bookmarkEnd w:id="48"/>
      <w:bookmarkEnd w:id="49"/>
      <w:bookmarkEnd w:id="50"/>
      <w:bookmarkEnd w:id="51"/>
    </w:p>
    <w:p>
      <w:pPr>
        <w:suppressAutoHyphens/>
        <w:adjustRightInd w:val="0"/>
        <w:snapToGrid w:val="0"/>
        <w:spacing w:line="560" w:lineRule="exact"/>
        <w:ind w:firstLine="640" w:firstLineChars="200"/>
        <w:rPr>
          <w:rFonts w:hint="eastAsia" w:ascii="仿宋_GB2312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规划期限为2026年至2035年。其中：近期至2027年，中期至2030年，远期至2035年。</w:t>
      </w:r>
    </w:p>
    <w:p>
      <w:pPr>
        <w:keepNext/>
        <w:keepLines/>
        <w:pageBreakBefore w:val="0"/>
        <w:widowControl w:val="0"/>
        <w:shd w:val="clear" w:color="auto" w:fill="auto"/>
        <w:kinsoku/>
        <w:wordWrap/>
        <w:overflowPunct/>
        <w:topLinePunct w:val="0"/>
        <w:autoSpaceDE w:val="0"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0"/>
        <w:rPr>
          <w:rFonts w:hint="default" w:ascii="Times New Roman" w:hAnsi="Times New Roman" w:eastAsia="黑体" w:cs="Times New Roman"/>
          <w:color w:val="000000" w:themeColor="text1"/>
          <w:kern w:val="2"/>
          <w:sz w:val="32"/>
          <w:szCs w:val="48"/>
          <w:lang w:val="en-US" w:eastAsia="zh-CN" w:bidi="ar-SA"/>
          <w14:textFill>
            <w14:solidFill>
              <w14:schemeClr w14:val="tx1"/>
            </w14:solidFill>
          </w14:textFill>
        </w:rPr>
      </w:pPr>
      <w:bookmarkStart w:id="52" w:name="_Toc7746"/>
      <w:bookmarkStart w:id="53" w:name="_Toc26993"/>
      <w:bookmarkStart w:id="54" w:name="_Toc21350"/>
      <w:bookmarkStart w:id="55" w:name="_Toc14593"/>
      <w:bookmarkStart w:id="56" w:name="_Toc24033"/>
      <w:bookmarkStart w:id="57" w:name="_Toc10389"/>
      <w:bookmarkStart w:id="58" w:name="_Toc8144"/>
      <w:bookmarkStart w:id="59" w:name="_Toc26846"/>
      <w:r>
        <w:rPr>
          <w:rFonts w:hint="eastAsia" w:ascii="Times New Roman" w:hAnsi="Times New Roman" w:eastAsia="黑体" w:cs="Times New Roman"/>
          <w:color w:val="000000" w:themeColor="text1"/>
          <w:kern w:val="2"/>
          <w:sz w:val="32"/>
          <w:szCs w:val="48"/>
          <w:lang w:val="en-US" w:eastAsia="zh-CN" w:bidi="ar-SA"/>
          <w14:textFill>
            <w14:solidFill>
              <w14:schemeClr w14:val="tx1"/>
            </w14:solidFill>
          </w14:textFill>
        </w:rPr>
        <w:t>二、发展评估</w:t>
      </w:r>
      <w:bookmarkEnd w:id="26"/>
      <w:bookmarkEnd w:id="27"/>
      <w:bookmarkEnd w:id="52"/>
      <w:bookmarkEnd w:id="53"/>
      <w:bookmarkEnd w:id="54"/>
      <w:bookmarkEnd w:id="55"/>
      <w:bookmarkEnd w:id="56"/>
      <w:bookmarkEnd w:id="57"/>
      <w:bookmarkEnd w:id="58"/>
      <w:bookmarkEnd w:id="59"/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1"/>
        <w:rPr>
          <w:rFonts w:hint="default" w:ascii="楷体_GB2312" w:hAnsi="楷体_GB2312" w:eastAsia="楷体_GB2312" w:cs="楷体_GB2312"/>
          <w:b/>
          <w:bCs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</w:pPr>
      <w:bookmarkStart w:id="60" w:name="_Toc17846"/>
      <w:bookmarkStart w:id="61" w:name="_Toc13480"/>
      <w:bookmarkStart w:id="62" w:name="_Toc15675"/>
      <w:bookmarkStart w:id="63" w:name="_Toc30456"/>
      <w:bookmarkStart w:id="64" w:name="_Toc28600"/>
      <w:bookmarkStart w:id="65" w:name="_Toc26211"/>
      <w:bookmarkStart w:id="66" w:name="_Toc15289"/>
      <w:bookmarkStart w:id="67" w:name="_Toc625"/>
      <w:bookmarkStart w:id="68" w:name="_Toc29042"/>
      <w:r>
        <w:rPr>
          <w:rFonts w:hint="eastAsia" w:ascii="楷体_GB2312" w:hAnsi="楷体_GB2312" w:eastAsia="楷体_GB2312" w:cs="楷体_GB2312"/>
          <w:b w:val="0"/>
          <w:bCs w:val="0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（一）</w:t>
      </w:r>
      <w:bookmarkEnd w:id="60"/>
      <w:r>
        <w:rPr>
          <w:rFonts w:hint="eastAsia" w:ascii="楷体_GB2312" w:hAnsi="楷体_GB2312" w:eastAsia="楷体_GB2312" w:cs="楷体_GB2312"/>
          <w:b w:val="0"/>
          <w:bCs w:val="0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基础情况</w:t>
      </w:r>
      <w:bookmarkEnd w:id="61"/>
      <w:bookmarkEnd w:id="62"/>
      <w:bookmarkEnd w:id="63"/>
      <w:bookmarkEnd w:id="64"/>
      <w:bookmarkEnd w:id="65"/>
      <w:bookmarkEnd w:id="66"/>
      <w:bookmarkEnd w:id="67"/>
      <w:bookmarkEnd w:id="68"/>
    </w:p>
    <w:p>
      <w:pPr>
        <w:shd w:val="clear" w:color="auto" w:fill="FFFFFF"/>
        <w:autoSpaceDE w:val="0"/>
        <w:spacing w:line="560" w:lineRule="exact"/>
        <w:ind w:firstLine="643" w:firstLineChars="200"/>
        <w:outlineLvl w:val="2"/>
        <w:rPr>
          <w:rFonts w:hint="eastAsia" w:ascii="Times New Roman" w:hAnsi="Times New Roman" w:eastAsia="仿宋_GB2312" w:cs="Times New Roman"/>
          <w:b/>
          <w:bCs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b/>
          <w:bCs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1.空间集中连片布局，多功能用地占主导</w:t>
      </w:r>
    </w:p>
    <w:p>
      <w:pPr>
        <w:bidi w:val="0"/>
        <w:adjustRightInd w:val="0"/>
        <w:snapToGrid w:val="0"/>
        <w:spacing w:line="560" w:lineRule="exact"/>
        <w:ind w:firstLine="643" w:firstLineChars="200"/>
        <w:rPr>
          <w:rFonts w:hint="default" w:ascii="仿宋_GB2312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40"/>
          <w:highlight w:val="none"/>
          <w:lang w:val="en-US" w:eastAsia="zh-CN"/>
          <w14:textFill>
            <w14:solidFill>
              <w14:schemeClr w14:val="tx1"/>
            </w14:solidFill>
          </w14:textFill>
        </w:rPr>
        <w:t>市级高新区现状</w:t>
      </w:r>
      <w:r>
        <w:rPr>
          <w:rFonts w:hint="eastAsia" w:ascii="仿宋_GB2312" w:hAnsi="Times New Roman" w:eastAsia="仿宋_GB2312" w:cs="Times New Roman"/>
          <w:b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总用地面积约60.23公顷。用地结构以其他类多功能用地为主导，</w:t>
      </w:r>
      <w:r>
        <w:rPr>
          <w:rFonts w:hint="eastAsia" w:ascii="仿宋_GB2312" w:hAnsi="Times New Roman" w:eastAsia="仿宋_GB2312" w:cs="Times New Roman"/>
          <w:b w:val="0"/>
          <w:bCs w:val="0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为园区</w:t>
      </w:r>
      <w:r>
        <w:rPr>
          <w:rFonts w:hint="eastAsia" w:ascii="仿宋_GB2312" w:hAnsi="Times New Roman" w:eastAsia="仿宋_GB2312" w:cs="Times New Roman"/>
          <w:b w:val="0"/>
          <w:bCs w:val="0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产业复合发展、功能</w:t>
      </w:r>
      <w:r>
        <w:rPr>
          <w:rFonts w:hint="eastAsia" w:ascii="仿宋_GB2312" w:hAnsi="Times New Roman" w:eastAsia="仿宋_GB2312" w:cs="Times New Roman"/>
          <w:b w:val="0"/>
          <w:bCs w:val="0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融</w:t>
      </w:r>
      <w:r>
        <w:rPr>
          <w:rFonts w:hint="eastAsia" w:ascii="仿宋_GB2312" w:hAnsi="Times New Roman" w:eastAsia="仿宋_GB2312" w:cs="Times New Roman"/>
          <w:b w:val="0"/>
          <w:bCs w:val="0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合布局</w:t>
      </w:r>
      <w:r>
        <w:rPr>
          <w:rFonts w:hint="eastAsia" w:ascii="仿宋_GB2312" w:hAnsi="Times New Roman" w:eastAsia="仿宋_GB2312" w:cs="Times New Roman"/>
          <w:b w:val="0"/>
          <w:bCs w:val="0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提供</w:t>
      </w:r>
      <w:r>
        <w:rPr>
          <w:rFonts w:hint="eastAsia" w:ascii="仿宋_GB2312" w:hAnsi="Times New Roman" w:eastAsia="仿宋_GB2312" w:cs="Times New Roman"/>
          <w:b w:val="0"/>
          <w:bCs w:val="0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核心载体</w:t>
      </w:r>
      <w:r>
        <w:rPr>
          <w:rFonts w:hint="eastAsia" w:ascii="仿宋_GB2312" w:hAnsi="Times New Roman" w:eastAsia="仿宋_GB2312" w:cs="Times New Roman"/>
          <w:b w:val="0"/>
          <w:bCs w:val="0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支撑</w:t>
      </w:r>
      <w:r>
        <w:rPr>
          <w:rFonts w:hint="eastAsia" w:ascii="仿宋_GB2312" w:hAnsi="Times New Roman" w:eastAsia="仿宋_GB2312" w:cs="Times New Roman"/>
          <w:b w:val="0"/>
          <w:bCs w:val="0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_GB2312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待实施用地占园区总用地面积的24%，主要为其他类多功能用地和商业用地，为产业提质扩容与功能优化提供了空间支撑。</w:t>
      </w:r>
    </w:p>
    <w:p>
      <w:pPr>
        <w:shd w:val="clear" w:color="auto" w:fill="FFFFFF"/>
        <w:autoSpaceDE w:val="0"/>
        <w:spacing w:line="560" w:lineRule="exact"/>
        <w:ind w:firstLine="643" w:firstLineChars="200"/>
        <w:outlineLvl w:val="2"/>
        <w:rPr>
          <w:rFonts w:hint="eastAsia" w:ascii="Times New Roman" w:hAnsi="Times New Roman" w:eastAsia="仿宋_GB2312" w:cs="Times New Roman"/>
          <w:b/>
          <w:bCs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b/>
          <w:bCs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2.创新创业生态有基础，产业联动有优势</w:t>
      </w:r>
    </w:p>
    <w:p>
      <w:pPr>
        <w:keepNext w:val="0"/>
        <w:keepLines w:val="0"/>
        <w:pageBreakBefore w:val="0"/>
        <w:widowControl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0"/>
        <w:textAlignment w:val="auto"/>
        <w:outlineLvl w:val="9"/>
        <w:rPr>
          <w:rFonts w:hint="eastAsia" w:ascii="仿宋_GB2312" w:hAnsi="Times New Roman" w:eastAsia="仿宋_GB2312" w:cs="Times New Roman"/>
          <w:b w:val="0"/>
          <w:bCs w:val="0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空间联动具备区位优势，</w:t>
      </w:r>
      <w:r>
        <w:rPr>
          <w:rFonts w:hint="eastAsia" w:ascii="仿宋_GB2312" w:hAnsi="Times New Roman" w:eastAsia="仿宋_GB2312" w:cs="Times New Roman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园区位于石景山区文化科技示范廊道的关键节点，且距离中关村石景山园直线距离不足3公里，可高效</w:t>
      </w:r>
      <w:r>
        <w:rPr>
          <w:rFonts w:hint="eastAsia" w:ascii="仿宋_GB2312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承接</w:t>
      </w:r>
      <w:r>
        <w:rPr>
          <w:rFonts w:hint="eastAsia" w:ascii="仿宋_GB2312" w:hAnsi="Times New Roman" w:eastAsia="仿宋_GB2312" w:cs="Times New Roman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其科技</w:t>
      </w:r>
      <w:r>
        <w:rPr>
          <w:rFonts w:hint="eastAsia" w:ascii="仿宋_GB2312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、产业、人才外溢；同时，</w:t>
      </w:r>
      <w:r>
        <w:rPr>
          <w:rFonts w:hint="eastAsia" w:ascii="仿宋_GB2312" w:hAnsi="Times New Roman" w:eastAsia="仿宋_GB2312" w:cs="Times New Roman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市级高新区</w:t>
      </w:r>
      <w:r>
        <w:rPr>
          <w:rFonts w:hint="eastAsia" w:ascii="仿宋_GB2312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与首钢园、银保园和工业互联网产业园等特色园区地理近邻，便于融入区域产业生态圈</w:t>
      </w:r>
      <w:r>
        <w:rPr>
          <w:rFonts w:hint="eastAsia" w:ascii="仿宋_GB2312" w:hAnsi="Times New Roman" w:eastAsia="仿宋_GB2312" w:cs="Times New Roman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_GB2312" w:hAnsi="Times New Roman" w:eastAsia="仿宋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产业协作具备联动基础，</w:t>
      </w:r>
      <w:r>
        <w:rPr>
          <w:rFonts w:hint="eastAsia" w:ascii="仿宋_GB2312" w:hAnsi="Times New Roman" w:eastAsia="仿宋_GB2312" w:cs="Times New Roman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与首钢园在航空航天等领域存在产业链协同潜力，可在研发协作、中试转化、供应链配套等环节形成联动，拓展高端制造发展空间。</w:t>
      </w:r>
      <w:r>
        <w:rPr>
          <w:rFonts w:hint="eastAsia" w:ascii="Times New Roman" w:hAnsi="Times New Roman" w:eastAsia="仿宋_GB2312" w:cs="Times New Roman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产教融合具备支撑条件，</w:t>
      </w:r>
      <w:r>
        <w:rPr>
          <w:rFonts w:hint="eastAsia" w:ascii="Times New Roman" w:hAnsi="Times New Roman" w:eastAsia="仿宋_GB2312" w:cs="Times New Roman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园区</w:t>
      </w:r>
      <w:r>
        <w:rPr>
          <w:rFonts w:hint="eastAsia" w:ascii="仿宋_GB2312" w:hAnsi="Times New Roman" w:eastAsia="仿宋_GB2312" w:cs="Times New Roman"/>
          <w:b w:val="0"/>
          <w:bCs w:val="0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紧邻北京工业职业技术学院</w:t>
      </w:r>
      <w:r>
        <w:rPr>
          <w:rStyle w:val="18"/>
          <w:rFonts w:hint="eastAsia" w:ascii="仿宋_GB2312" w:hAnsi="Times New Roman" w:eastAsia="仿宋_GB2312" w:cs="Times New Roman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ootnoteReference w:id="0"/>
      </w:r>
      <w:r>
        <w:rPr>
          <w:rFonts w:hint="eastAsia" w:ascii="仿宋_GB2312" w:hAnsi="Times New Roman" w:eastAsia="仿宋_GB2312" w:cs="Times New Roman"/>
          <w:b w:val="0"/>
          <w:bCs w:val="0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仿宋_GB2312" w:cs="Times New Roman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该校已与百度等企业共同组建“中关村国家自主创新示范区人工智能市域产教联合体”，为园区提供技术研发、技能人才与成果转化支持；同时，哈尔滨工业大学北京研究院已落户石景山，将进一步提升区域校地合作能级，为园区导入高端创新资源、开展联合技术攻关注入强劲动能，助力构建“教育—产业—创新”循环生态。</w:t>
      </w:r>
    </w:p>
    <w:p>
      <w:pPr>
        <w:shd w:val="clear" w:color="auto" w:fill="FFFFFF"/>
        <w:autoSpaceDE w:val="0"/>
        <w:spacing w:line="560" w:lineRule="exact"/>
        <w:ind w:firstLine="643" w:firstLineChars="200"/>
        <w:outlineLvl w:val="2"/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b/>
          <w:bCs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3.基础配套日趋完善，综合承载潜力较大</w:t>
      </w:r>
    </w:p>
    <w:p>
      <w:pPr>
        <w:widowControl/>
        <w:adjustRightInd w:val="0"/>
        <w:snapToGrid w:val="0"/>
        <w:spacing w:line="560" w:lineRule="exact"/>
        <w:ind w:firstLine="643" w:firstLineChars="200"/>
        <w:outlineLvl w:val="9"/>
        <w:rPr>
          <w:rFonts w:hint="eastAsia" w:ascii="仿宋_GB2312" w:hAnsi="Times New Roman" w:eastAsia="仿宋_GB2312" w:cs="Times New Roman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 w:cs="Times New Roman"/>
          <w:b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市级高新区交通联系以“一主五次一公交”为主。</w:t>
      </w:r>
      <w:r>
        <w:rPr>
          <w:rFonts w:hint="eastAsia" w:ascii="仿宋_GB2312" w:hAnsi="Times New Roman" w:eastAsia="仿宋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对外交通方面，</w:t>
      </w:r>
      <w:r>
        <w:rPr>
          <w:rFonts w:hint="eastAsia" w:ascii="仿宋_GB2312" w:hAnsi="Times New Roman" w:eastAsia="仿宋_GB2312" w:cs="Times New Roman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主要以石门路作为主要联络通道，实现与中心城区及周边区域的快速联通。</w:t>
      </w:r>
      <w:r>
        <w:rPr>
          <w:rFonts w:hint="eastAsia" w:ascii="仿宋_GB2312" w:hAnsi="Times New Roman" w:eastAsia="仿宋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内部交通方面，</w:t>
      </w:r>
      <w:r>
        <w:rPr>
          <w:rFonts w:hint="eastAsia" w:ascii="仿宋_GB2312" w:hAnsi="Times New Roman" w:eastAsia="仿宋_GB2312" w:cs="Times New Roman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主要依托潭峪路、五里坨东街、黑石头北街、黑石头路、秀府路等次干路进行区域联系，园区内有1条597公交线路设置公交站点，园区整体通行效率与服务水平有限，亟须加快推动园区及其周边的交通网络建设。</w:t>
      </w:r>
    </w:p>
    <w:p>
      <w:pPr>
        <w:widowControl/>
        <w:adjustRightInd w:val="0"/>
        <w:snapToGrid w:val="0"/>
        <w:spacing w:line="560" w:lineRule="exact"/>
        <w:ind w:firstLine="643" w:firstLineChars="200"/>
        <w:outlineLvl w:val="9"/>
        <w:rPr>
          <w:rFonts w:hint="eastAsia" w:ascii="仿宋_GB2312" w:hAnsi="Times New Roman" w:eastAsia="仿宋_GB2312" w:cs="Times New Roman"/>
          <w:b w:val="0"/>
          <w:bCs w:val="0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 w:cs="Times New Roman"/>
          <w:b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市政设施和公服配套可满足现阶段基本需求。市政设施持续完善。</w:t>
      </w:r>
      <w:r>
        <w:rPr>
          <w:rFonts w:hint="eastAsia" w:ascii="仿宋_GB2312" w:hAnsi="Times New Roman" w:eastAsia="仿宋_GB2312" w:cs="Times New Roman"/>
          <w:b w:val="0"/>
          <w:bCs w:val="0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供水主要由五里坨水厂保障；五里坨污水处理厂完成升级改造，污水收集处理效能显著增强；再生水利用效率不高，全区再生水厂供给能力有限，配套管网建设相对滞后。供电由五里坨变电站支撑，该站点已完成增容改扩建，供电能力有所增强，仍需超前</w:t>
      </w:r>
      <w:r>
        <w:rPr>
          <w:rFonts w:hint="eastAsia" w:ascii="仿宋_GB2312" w:hAnsi="Times New Roman" w:eastAsia="仿宋_GB2312"/>
          <w:b w:val="0"/>
          <w:bCs w:val="0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谋划布局，</w:t>
      </w:r>
      <w:r>
        <w:rPr>
          <w:rFonts w:hint="eastAsia" w:ascii="仿宋_GB2312" w:hAnsi="Times New Roman" w:eastAsia="仿宋_GB2312"/>
          <w:b w:val="0"/>
          <w:bCs w:val="0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以</w:t>
      </w:r>
      <w:r>
        <w:rPr>
          <w:rFonts w:hint="eastAsia" w:ascii="仿宋_GB2312" w:hAnsi="Times New Roman" w:eastAsia="仿宋_GB2312"/>
          <w:b w:val="0"/>
          <w:bCs w:val="0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适应未来</w:t>
      </w:r>
      <w:r>
        <w:rPr>
          <w:rFonts w:hint="eastAsia" w:ascii="仿宋_GB2312" w:hAnsi="Times New Roman" w:eastAsia="仿宋_GB2312"/>
          <w:b w:val="0"/>
          <w:bCs w:val="0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企业</w:t>
      </w:r>
      <w:r>
        <w:rPr>
          <w:rFonts w:hint="eastAsia" w:ascii="仿宋_GB2312" w:hAnsi="Times New Roman" w:eastAsia="仿宋_GB2312"/>
          <w:b w:val="0"/>
          <w:bCs w:val="0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集聚带来的用电负荷增长</w:t>
      </w:r>
      <w:r>
        <w:rPr>
          <w:rFonts w:hint="eastAsia" w:ascii="仿宋_GB2312" w:hAnsi="Times New Roman" w:eastAsia="仿宋_GB2312"/>
          <w:b w:val="0"/>
          <w:bCs w:val="0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需求</w:t>
      </w:r>
      <w:r>
        <w:rPr>
          <w:rFonts w:hint="eastAsia" w:ascii="仿宋_GB2312" w:hAnsi="Times New Roman" w:eastAsia="仿宋_GB2312" w:cs="Times New Roman"/>
          <w:b w:val="0"/>
          <w:bCs w:val="0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。园区周边主次干道已基本实现供热、燃气管网覆盖。</w:t>
      </w:r>
      <w:r>
        <w:rPr>
          <w:rFonts w:hint="eastAsia" w:ascii="仿宋_GB2312" w:hAnsi="Times New Roman" w:eastAsia="仿宋_GB2312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公共服务</w:t>
      </w:r>
      <w:r>
        <w:rPr>
          <w:rFonts w:hint="eastAsia" w:ascii="仿宋_GB2312" w:hAnsi="Times New Roman" w:eastAsia="仿宋_GB2312"/>
          <w:b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供给能力可</w:t>
      </w:r>
      <w:r>
        <w:rPr>
          <w:rFonts w:hint="eastAsia" w:ascii="仿宋_GB2312" w:hAnsi="Times New Roman" w:eastAsia="仿宋_GB2312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满足</w:t>
      </w:r>
      <w:r>
        <w:rPr>
          <w:rFonts w:hint="eastAsia" w:ascii="仿宋_GB2312" w:hAnsi="Times New Roman" w:eastAsia="仿宋_GB2312"/>
          <w:b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当前</w:t>
      </w:r>
      <w:r>
        <w:rPr>
          <w:rFonts w:hint="eastAsia" w:ascii="仿宋_GB2312" w:hAnsi="Times New Roman" w:eastAsia="仿宋_GB2312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基本</w:t>
      </w:r>
      <w:r>
        <w:rPr>
          <w:rFonts w:hint="eastAsia" w:ascii="仿宋_GB2312" w:hAnsi="Times New Roman" w:eastAsia="仿宋_GB2312"/>
          <w:b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服务</w:t>
      </w:r>
      <w:r>
        <w:rPr>
          <w:rFonts w:hint="eastAsia" w:ascii="仿宋_GB2312" w:hAnsi="Times New Roman" w:eastAsia="仿宋_GB2312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需求</w:t>
      </w:r>
      <w:r>
        <w:rPr>
          <w:rFonts w:hint="eastAsia" w:ascii="仿宋_GB2312" w:hAnsi="Times New Roman" w:eastAsia="仿宋_GB2312"/>
          <w:b/>
          <w:bCs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_GB2312" w:hAnsi="Times New Roman" w:eastAsia="仿宋_GB2312"/>
          <w:b w:val="0"/>
          <w:bCs w:val="0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教育方面，西部地区</w:t>
      </w:r>
      <w:r>
        <w:rPr>
          <w:rFonts w:hint="eastAsia" w:ascii="仿宋_GB2312" w:hAnsi="Times New Roman" w:eastAsia="仿宋_GB2312"/>
          <w:b w:val="0"/>
          <w:bCs w:val="0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分布</w:t>
      </w:r>
      <w:r>
        <w:rPr>
          <w:rFonts w:hint="eastAsia" w:ascii="仿宋_GB2312" w:hAnsi="Times New Roman" w:eastAsia="仿宋_GB2312"/>
          <w:b w:val="0"/>
          <w:bCs w:val="0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各类教育机构，覆盖从学前</w:t>
      </w:r>
      <w:r>
        <w:rPr>
          <w:rFonts w:hint="eastAsia" w:ascii="仿宋_GB2312" w:hAnsi="Times New Roman" w:eastAsia="仿宋_GB2312"/>
          <w:b w:val="0"/>
          <w:bCs w:val="0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至</w:t>
      </w:r>
      <w:r>
        <w:rPr>
          <w:rFonts w:hint="eastAsia" w:ascii="仿宋_GB2312" w:hAnsi="Times New Roman" w:eastAsia="仿宋_GB2312"/>
          <w:b w:val="0"/>
          <w:bCs w:val="0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中学全学段。医疗方面，</w:t>
      </w:r>
      <w:r>
        <w:rPr>
          <w:rFonts w:hint="eastAsia" w:ascii="仿宋_GB2312" w:hAnsi="Times New Roman" w:eastAsia="仿宋_GB2312"/>
          <w:b w:val="0"/>
          <w:bCs w:val="0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西部地区已布局综合、专科等医疗机构，具备一定的基础诊疗服务能力</w:t>
      </w:r>
      <w:r>
        <w:rPr>
          <w:rFonts w:hint="eastAsia" w:ascii="仿宋_GB2312" w:hAnsi="Times New Roman" w:eastAsia="仿宋_GB2312"/>
          <w:b w:val="0"/>
          <w:bCs w:val="0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。养老方面，西部地区已</w:t>
      </w:r>
      <w:r>
        <w:rPr>
          <w:rFonts w:hint="eastAsia" w:ascii="仿宋_GB2312" w:hAnsi="Times New Roman" w:eastAsia="仿宋_GB2312"/>
          <w:b w:val="0"/>
          <w:bCs w:val="0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建设多家</w:t>
      </w:r>
      <w:r>
        <w:rPr>
          <w:rFonts w:hint="eastAsia" w:ascii="仿宋_GB2312" w:hAnsi="Times New Roman" w:eastAsia="仿宋_GB2312"/>
          <w:b w:val="0"/>
          <w:bCs w:val="0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养老服务设施，区域生态优势</w:t>
      </w:r>
      <w:r>
        <w:rPr>
          <w:rFonts w:hint="eastAsia" w:ascii="仿宋_GB2312" w:hAnsi="Times New Roman" w:eastAsia="仿宋_GB2312"/>
          <w:b w:val="0"/>
          <w:bCs w:val="0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明显</w:t>
      </w:r>
      <w:r>
        <w:rPr>
          <w:rFonts w:hint="eastAsia" w:ascii="仿宋_GB2312" w:hAnsi="Times New Roman" w:eastAsia="仿宋_GB2312"/>
          <w:b w:val="0"/>
          <w:bCs w:val="0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_GB2312" w:hAnsi="Times New Roman" w:eastAsia="仿宋_GB2312"/>
          <w:b w:val="0"/>
          <w:bCs w:val="0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具备</w:t>
      </w:r>
      <w:r>
        <w:rPr>
          <w:rFonts w:hint="eastAsia" w:ascii="仿宋_GB2312" w:hAnsi="Times New Roman" w:eastAsia="仿宋_GB2312"/>
          <w:b w:val="0"/>
          <w:bCs w:val="0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打造高品质</w:t>
      </w:r>
      <w:r>
        <w:rPr>
          <w:rFonts w:hint="eastAsia" w:ascii="仿宋_GB2312" w:hAnsi="Times New Roman" w:eastAsia="仿宋_GB2312"/>
          <w:b w:val="0"/>
          <w:bCs w:val="0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康养</w:t>
      </w:r>
      <w:r>
        <w:rPr>
          <w:rFonts w:hint="eastAsia" w:ascii="仿宋_GB2312" w:hAnsi="Times New Roman" w:eastAsia="仿宋_GB2312"/>
          <w:b w:val="0"/>
          <w:bCs w:val="0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环境的</w:t>
      </w:r>
      <w:r>
        <w:rPr>
          <w:rFonts w:hint="eastAsia" w:ascii="仿宋_GB2312" w:hAnsi="Times New Roman" w:eastAsia="仿宋_GB2312"/>
          <w:b w:val="0"/>
          <w:bCs w:val="0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良好条件</w:t>
      </w:r>
      <w:r>
        <w:rPr>
          <w:rFonts w:hint="eastAsia" w:ascii="仿宋_GB2312" w:hAnsi="Times New Roman" w:eastAsia="仿宋_GB2312"/>
          <w:b w:val="0"/>
          <w:bCs w:val="0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7"/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t>文商旅体融合发展活力不足。西部地区历史文化底蕴深厚，</w:t>
      </w:r>
      <w:r>
        <w:rPr>
          <w:rFonts w:hint="eastAsia"/>
          <w:highlight w:val="none"/>
          <w:lang w:val="en-US" w:eastAsia="zh-CN"/>
        </w:rPr>
        <w:t>拥有1处市级、5处区级文保单位，涵盖西山古香道、京西古商道、永定河古河道三类古道文化，以及永定河传说、石景山太平鼓2处国家级非遗，依托西山永定河文化带等“一带三线”布局，可有效串联区域文旅资源。</w:t>
      </w:r>
      <w:r>
        <w:rPr>
          <w:rFonts w:hint="eastAsia"/>
          <w:b/>
          <w:bCs/>
          <w:highlight w:val="none"/>
          <w:lang w:val="en-US" w:eastAsia="zh-CN"/>
        </w:rPr>
        <w:t>体育设施保障能力突出，</w:t>
      </w:r>
      <w:r>
        <w:rPr>
          <w:rFonts w:hint="eastAsia"/>
          <w:highlight w:val="none"/>
          <w:lang w:val="en-US" w:eastAsia="zh-CN"/>
        </w:rPr>
        <w:t>西部地区人均公共体育用地面积约为分区规划目标值的两倍，相对优势明显。</w:t>
      </w:r>
      <w:r>
        <w:rPr>
          <w:rFonts w:hint="eastAsia"/>
          <w:b/>
          <w:bCs/>
          <w:highlight w:val="none"/>
          <w:lang w:val="en-US" w:eastAsia="zh-CN"/>
        </w:rPr>
        <w:t>商业配套供给不足，</w:t>
      </w:r>
      <w:r>
        <w:rPr>
          <w:rFonts w:hint="eastAsia"/>
          <w:highlight w:val="none"/>
          <w:lang w:val="en-US" w:eastAsia="zh-CN"/>
        </w:rPr>
        <w:t>区域大型商业综合体偏少，主要依托和美汇满足日常消费需求，难以有效适配居民日常及园区就业人群多样化、品质化消费需要；园区内商业地块及其周边用地尚未形成商业集聚，商业设施规模小、能级不高，缺乏规模化、多元化消费载体。</w:t>
      </w:r>
    </w:p>
    <w:p>
      <w:pPr>
        <w:pStyle w:val="27"/>
        <w:bidi w:val="0"/>
        <w:rPr>
          <w:highlight w:val="none"/>
        </w:rPr>
      </w:pPr>
      <w:r>
        <w:rPr>
          <w:b/>
          <w:bCs/>
          <w:highlight w:val="none"/>
        </w:rPr>
        <w:t>住房保障为人才扎根提供支撑。</w:t>
      </w:r>
      <w:r>
        <w:rPr>
          <w:highlight w:val="none"/>
        </w:rPr>
        <w:t>燕保・景贤园</w:t>
      </w:r>
      <w:r>
        <w:rPr>
          <w:rFonts w:hint="eastAsia"/>
          <w:highlight w:val="none"/>
          <w:lang w:val="en-US" w:eastAsia="zh-CN"/>
        </w:rPr>
        <w:t>可有效承接</w:t>
      </w:r>
      <w:r>
        <w:rPr>
          <w:rFonts w:hint="eastAsia"/>
          <w:highlight w:val="none"/>
        </w:rPr>
        <w:t>产业人才居住</w:t>
      </w:r>
      <w:r>
        <w:rPr>
          <w:rFonts w:hint="eastAsia"/>
          <w:highlight w:val="none"/>
          <w:lang w:val="en-US" w:eastAsia="zh-CN"/>
        </w:rPr>
        <w:t>需求，具备良好的住房保障空间条件</w:t>
      </w:r>
      <w:r>
        <w:rPr>
          <w:highlight w:val="none"/>
        </w:rPr>
        <w:t>。</w:t>
      </w:r>
      <w:r>
        <w:rPr>
          <w:rFonts w:hint="eastAsia"/>
          <w:highlight w:val="none"/>
        </w:rPr>
        <w:t>“十五五”期间，</w:t>
      </w:r>
      <w:r>
        <w:rPr>
          <w:rFonts w:hint="eastAsia"/>
          <w:highlight w:val="none"/>
          <w:lang w:val="en-US" w:eastAsia="zh-CN"/>
        </w:rPr>
        <w:t>西部地区</w:t>
      </w:r>
      <w:r>
        <w:rPr>
          <w:rFonts w:hint="eastAsia"/>
          <w:highlight w:val="none"/>
        </w:rPr>
        <w:t>将加快推进商品住宅、平房区城中村改造及定向安置房</w:t>
      </w:r>
      <w:r>
        <w:rPr>
          <w:rFonts w:hint="eastAsia"/>
          <w:highlight w:val="none"/>
          <w:lang w:val="en-US" w:eastAsia="zh-CN"/>
        </w:rPr>
        <w:t>等住宅</w:t>
      </w:r>
      <w:r>
        <w:rPr>
          <w:rFonts w:hint="eastAsia"/>
          <w:highlight w:val="none"/>
        </w:rPr>
        <w:t>项目建设，逐步</w:t>
      </w:r>
      <w:r>
        <w:rPr>
          <w:rFonts w:hint="eastAsia"/>
          <w:highlight w:val="none"/>
          <w:lang w:val="en-US" w:eastAsia="zh-CN"/>
        </w:rPr>
        <w:t>构建以</w:t>
      </w:r>
      <w:r>
        <w:rPr>
          <w:rFonts w:hint="eastAsia"/>
          <w:highlight w:val="none"/>
        </w:rPr>
        <w:t>“保障性租赁住房+商品住宅+定向安置房”</w:t>
      </w:r>
      <w:r>
        <w:rPr>
          <w:rFonts w:hint="eastAsia"/>
          <w:highlight w:val="none"/>
          <w:lang w:val="en-US" w:eastAsia="zh-CN"/>
        </w:rPr>
        <w:t>为主体的</w:t>
      </w:r>
      <w:r>
        <w:rPr>
          <w:rFonts w:hint="eastAsia"/>
          <w:highlight w:val="none"/>
        </w:rPr>
        <w:t>多元化住房供给体系，为促进人才集聚</w:t>
      </w:r>
      <w:r>
        <w:rPr>
          <w:rFonts w:hint="eastAsia"/>
          <w:highlight w:val="none"/>
          <w:lang w:eastAsia="zh-CN"/>
        </w:rPr>
        <w:t>、</w:t>
      </w:r>
      <w:r>
        <w:rPr>
          <w:rFonts w:hint="eastAsia"/>
          <w:highlight w:val="none"/>
        </w:rPr>
        <w:t>支撑区域人口与产业协同发展提供</w:t>
      </w:r>
      <w:r>
        <w:rPr>
          <w:rFonts w:hint="eastAsia"/>
          <w:highlight w:val="none"/>
          <w:lang w:val="en-US" w:eastAsia="zh-CN"/>
        </w:rPr>
        <w:t>有力</w:t>
      </w:r>
      <w:r>
        <w:rPr>
          <w:rFonts w:hint="eastAsia"/>
          <w:highlight w:val="none"/>
        </w:rPr>
        <w:t>保障</w:t>
      </w:r>
      <w:r>
        <w:rPr>
          <w:highlight w:val="none"/>
        </w:rPr>
        <w:t>。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outlineLvl w:val="1"/>
        <w:rPr>
          <w:rFonts w:hint="eastAsia" w:ascii="楷体_GB2312" w:hAnsi="楷体_GB2312" w:eastAsia="楷体_GB2312" w:cs="楷体_GB2312"/>
          <w:b/>
          <w:bCs/>
          <w:color w:val="000000" w:themeColor="text1"/>
          <w:kern w:val="2"/>
          <w:sz w:val="32"/>
          <w:szCs w:val="40"/>
          <w:lang w:val="en-US" w:eastAsia="zh-CN" w:bidi="ar-SA"/>
          <w14:textFill>
            <w14:solidFill>
              <w14:schemeClr w14:val="tx1"/>
            </w14:solidFill>
          </w14:textFill>
        </w:rPr>
      </w:pPr>
      <w:bookmarkStart w:id="69" w:name="_Toc6969"/>
      <w:bookmarkStart w:id="70" w:name="_Toc10196"/>
      <w:bookmarkStart w:id="71" w:name="_Toc17448"/>
      <w:bookmarkStart w:id="72" w:name="_Toc28870"/>
      <w:bookmarkStart w:id="73" w:name="_Toc3400"/>
      <w:bookmarkStart w:id="74" w:name="_Toc10833"/>
      <w:bookmarkStart w:id="75" w:name="_Toc21585"/>
      <w:bookmarkStart w:id="76" w:name="_Toc30827"/>
      <w:bookmarkStart w:id="77" w:name="_Toc18505"/>
      <w:r>
        <w:rPr>
          <w:rFonts w:hint="eastAsia" w:ascii="楷体_GB2312" w:hAnsi="楷体_GB2312" w:eastAsia="楷体_GB2312" w:cs="楷体_GB2312"/>
          <w:b w:val="0"/>
          <w:bCs w:val="0"/>
          <w:color w:val="000000" w:themeColor="text1"/>
          <w:kern w:val="2"/>
          <w:sz w:val="32"/>
          <w:szCs w:val="40"/>
          <w:lang w:val="en-US" w:eastAsia="zh-CN" w:bidi="ar-SA"/>
          <w14:textFill>
            <w14:solidFill>
              <w14:schemeClr w14:val="tx1"/>
            </w14:solidFill>
          </w14:textFill>
        </w:rPr>
        <w:t>（二）机遇与挑战</w:t>
      </w:r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 w:val="0"/>
        <w:autoSpaceDN/>
        <w:bidi w:val="0"/>
        <w:adjustRightInd/>
        <w:snapToGrid/>
        <w:spacing w:line="560" w:lineRule="exact"/>
        <w:ind w:firstLine="643" w:firstLineChars="200"/>
        <w:textAlignment w:val="auto"/>
        <w:outlineLvl w:val="2"/>
        <w:rPr>
          <w:rFonts w:hint="eastAsia" w:ascii="Times New Roman" w:hAnsi="Times New Roman" w:eastAsia="仿宋_GB2312" w:cs="Times New Roman"/>
          <w:b/>
          <w:bCs/>
          <w:color w:val="000000" w:themeColor="text1"/>
          <w:sz w:val="32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78" w:name="_Toc8864"/>
      <w:bookmarkStart w:id="79" w:name="_Toc15587"/>
      <w:bookmarkStart w:id="80" w:name="_Toc29662"/>
      <w:bookmarkStart w:id="81" w:name="_Toc13496"/>
      <w:bookmarkStart w:id="82" w:name="_Toc12975"/>
      <w:bookmarkStart w:id="83" w:name="_Toc22833"/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24"/>
          <w:lang w:val="en-US" w:eastAsia="zh-CN"/>
          <w14:textFill>
            <w14:solidFill>
              <w14:schemeClr w14:val="tx1"/>
            </w14:solidFill>
          </w14:textFill>
        </w:rPr>
        <w:t>1.发</w:t>
      </w:r>
      <w:r>
        <w:rPr>
          <w:rFonts w:hint="eastAsia" w:ascii="Times New Roman" w:hAnsi="Times New Roman" w:eastAsia="仿宋_GB2312" w:cs="Times New Roman"/>
          <w:b/>
          <w:bCs/>
          <w:color w:val="000000" w:themeColor="text1"/>
          <w:sz w:val="32"/>
          <w:szCs w:val="24"/>
          <w:lang w:val="en-US" w:eastAsia="zh-CN"/>
          <w14:textFill>
            <w14:solidFill>
              <w14:schemeClr w14:val="tx1"/>
            </w14:solidFill>
          </w14:textFill>
        </w:rPr>
        <w:t>展机遇</w:t>
      </w:r>
      <w:bookmarkEnd w:id="78"/>
      <w:bookmarkEnd w:id="79"/>
      <w:bookmarkEnd w:id="80"/>
      <w:bookmarkEnd w:id="81"/>
      <w:bookmarkEnd w:id="82"/>
      <w:bookmarkEnd w:id="83"/>
    </w:p>
    <w:p>
      <w:pPr>
        <w:shd w:val="clear" w:color="auto" w:fill="auto"/>
        <w:spacing w:line="560" w:lineRule="exact"/>
        <w:ind w:firstLine="643" w:firstLineChars="200"/>
        <w:rPr>
          <w:rFonts w:hint="eastAsia" w:ascii="Times New Roman" w:hAnsi="Times New Roman" w:eastAsia="仿宋_GB2312" w:cs="仿宋_GB2312"/>
          <w:b w:val="0"/>
          <w:bCs w:val="0"/>
          <w:color w:val="000000" w:themeColor="text1"/>
          <w:sz w:val="32"/>
          <w:szCs w:val="4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仿宋_GB2312"/>
          <w:b/>
          <w:bCs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从国外来看，全球创新格局深度调整，为园区培育新质生产力、塑造特色竞争优势带来新契机。</w:t>
      </w:r>
      <w:r>
        <w:rPr>
          <w:rFonts w:hint="eastAsia" w:ascii="Times New Roman" w:hAnsi="Times New Roman" w:eastAsia="仿宋_GB2312" w:cs="仿宋_GB2312"/>
          <w:b w:val="0"/>
          <w:bCs w:val="0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世界主要经济体加快布局前沿技术与绿色产业，科技创新呈现数字化、智能化、绿色化融合发展趋势，绿色低碳、科技服务成为国际产业竞争重要赛道，为园区集聚创新资源、开展技术合作、培育特色产业提供了有利外部环境</w:t>
      </w:r>
      <w:r>
        <w:rPr>
          <w:rFonts w:hint="eastAsia" w:ascii="Times New Roman" w:hAnsi="Times New Roman" w:eastAsia="仿宋_GB2312" w:cs="仿宋_GB2312"/>
          <w:b w:val="0"/>
          <w:bCs w:val="0"/>
          <w:color w:val="000000" w:themeColor="text1"/>
          <w:sz w:val="32"/>
          <w:szCs w:val="40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shd w:val="clear" w:color="auto" w:fill="auto"/>
        <w:spacing w:line="560" w:lineRule="exact"/>
        <w:ind w:firstLine="643" w:firstLineChars="200"/>
        <w:rPr>
          <w:rFonts w:hint="eastAsia" w:ascii="Times New Roman" w:hAnsi="Times New Roman" w:eastAsia="仿宋_GB2312" w:cs="仿宋_GB2312"/>
          <w:color w:val="000000" w:themeColor="text1"/>
          <w:sz w:val="32"/>
          <w:szCs w:val="4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仿宋_GB2312"/>
          <w:b/>
          <w:bCs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从国内来看，</w:t>
      </w:r>
      <w:r>
        <w:rPr>
          <w:rFonts w:hint="eastAsia" w:ascii="Times New Roman" w:hAnsi="Times New Roman" w:eastAsia="仿宋_GB2312" w:cs="仿宋_GB2312"/>
          <w:b/>
          <w:bCs/>
          <w:color w:val="000000" w:themeColor="text1"/>
          <w:sz w:val="32"/>
          <w:szCs w:val="40"/>
          <w14:textFill>
            <w14:solidFill>
              <w14:schemeClr w14:val="tx1"/>
            </w14:solidFill>
          </w14:textFill>
        </w:rPr>
        <w:t>我国深入实施创新驱动发展战略，为园区高质量发展指</w:t>
      </w:r>
      <w:r>
        <w:rPr>
          <w:rFonts w:hint="eastAsia" w:ascii="Times New Roman" w:hAnsi="Times New Roman" w:eastAsia="仿宋_GB2312" w:cs="仿宋_GB2312"/>
          <w:b/>
          <w:bCs/>
          <w:color w:val="000000" w:themeColor="text1"/>
          <w:sz w:val="32"/>
          <w:szCs w:val="40"/>
          <w:lang w:eastAsia="zh-CN"/>
          <w14:textFill>
            <w14:solidFill>
              <w14:schemeClr w14:val="tx1"/>
            </w14:solidFill>
          </w14:textFill>
        </w:rPr>
        <w:t>明了</w:t>
      </w:r>
      <w:r>
        <w:rPr>
          <w:rFonts w:hint="eastAsia" w:ascii="Times New Roman" w:hAnsi="Times New Roman" w:eastAsia="仿宋_GB2312" w:cs="仿宋_GB2312"/>
          <w:b/>
          <w:bCs/>
          <w:color w:val="000000" w:themeColor="text1"/>
          <w:sz w:val="32"/>
          <w:szCs w:val="40"/>
          <w14:textFill>
            <w14:solidFill>
              <w14:schemeClr w14:val="tx1"/>
            </w14:solidFill>
          </w14:textFill>
        </w:rPr>
        <w:t>新方向。</w:t>
      </w:r>
      <w:r>
        <w:rPr>
          <w:rFonts w:hint="eastAsia" w:ascii="Times New Roman" w:hAnsi="Times New Roman" w:eastAsia="仿宋_GB2312" w:cs="仿宋_GB2312"/>
          <w:color w:val="000000" w:themeColor="text1"/>
          <w:sz w:val="32"/>
          <w:szCs w:val="40"/>
          <w14:textFill>
            <w14:solidFill>
              <w14:schemeClr w14:val="tx1"/>
            </w14:solidFill>
          </w14:textFill>
        </w:rPr>
        <w:t>我国把发展新质生产力摆在突出位置，加快推进新型工业化，强化科技创新对现代化产业体系的战略支撑。北京市</w:t>
      </w:r>
      <w:r>
        <w:rPr>
          <w:rFonts w:hint="eastAsia" w:ascii="Times New Roman" w:hAnsi="Times New Roman" w:eastAsia="仿宋_GB2312" w:cs="仿宋_GB2312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正加快建设</w:t>
      </w:r>
      <w:r>
        <w:rPr>
          <w:rFonts w:hint="eastAsia" w:ascii="Times New Roman" w:hAnsi="Times New Roman" w:eastAsia="仿宋_GB2312" w:cs="仿宋_GB2312"/>
          <w:color w:val="000000" w:themeColor="text1"/>
          <w:sz w:val="32"/>
          <w:szCs w:val="40"/>
          <w14:textFill>
            <w14:solidFill>
              <w14:schemeClr w14:val="tx1"/>
            </w14:solidFill>
          </w14:textFill>
        </w:rPr>
        <w:t>国际科技创新中心</w:t>
      </w:r>
      <w:r>
        <w:rPr>
          <w:rFonts w:hint="eastAsia" w:ascii="Times New Roman" w:hAnsi="Times New Roman" w:eastAsia="仿宋_GB2312" w:cs="仿宋_GB2312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和</w:t>
      </w:r>
      <w:r>
        <w:rPr>
          <w:rFonts w:hint="eastAsia" w:ascii="Times New Roman" w:hAnsi="Times New Roman" w:eastAsia="仿宋_GB2312" w:cs="仿宋_GB2312"/>
          <w:color w:val="000000" w:themeColor="text1"/>
          <w:sz w:val="32"/>
          <w:szCs w:val="40"/>
          <w14:textFill>
            <w14:solidFill>
              <w14:schemeClr w14:val="tx1"/>
            </w14:solidFill>
          </w14:textFill>
        </w:rPr>
        <w:t>中关村世界领先科技园区</w:t>
      </w:r>
      <w:r>
        <w:rPr>
          <w:rFonts w:hint="eastAsia" w:ascii="Times New Roman" w:hAnsi="Times New Roman" w:eastAsia="仿宋_GB2312" w:cs="仿宋_GB2312"/>
          <w:color w:val="000000" w:themeColor="text1"/>
          <w:sz w:val="32"/>
          <w:szCs w:val="40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仿宋_GB2312" w:cs="仿宋_GB2312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构建“国家级－市级”高新区梯度发展格局，全力打造</w:t>
      </w:r>
      <w:r>
        <w:rPr>
          <w:rFonts w:hint="eastAsia" w:ascii="Times New Roman" w:hAnsi="Times New Roman" w:eastAsia="仿宋_GB2312" w:cs="仿宋_GB2312"/>
          <w:color w:val="000000" w:themeColor="text1"/>
          <w:sz w:val="32"/>
          <w:szCs w:val="40"/>
          <w14:textFill>
            <w14:solidFill>
              <w14:schemeClr w14:val="tx1"/>
            </w14:solidFill>
          </w14:textFill>
        </w:rPr>
        <w:t>“数字+绿色”双标杆城市，科技服务业</w:t>
      </w:r>
      <w:r>
        <w:rPr>
          <w:rFonts w:hint="eastAsia" w:ascii="Times New Roman" w:hAnsi="Times New Roman" w:eastAsia="仿宋_GB2312" w:cs="仿宋_GB2312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已形成</w:t>
      </w:r>
      <w:r>
        <w:rPr>
          <w:rFonts w:hint="eastAsia" w:ascii="Times New Roman" w:hAnsi="Times New Roman" w:eastAsia="仿宋_GB2312" w:cs="仿宋_GB2312"/>
          <w:color w:val="000000" w:themeColor="text1"/>
          <w:sz w:val="32"/>
          <w:szCs w:val="40"/>
          <w14:textFill>
            <w14:solidFill>
              <w14:schemeClr w14:val="tx1"/>
            </w14:solidFill>
          </w14:textFill>
        </w:rPr>
        <w:t>万亿规模，绿色低碳产业</w:t>
      </w:r>
      <w:r>
        <w:rPr>
          <w:rFonts w:hint="eastAsia" w:ascii="Times New Roman" w:hAnsi="Times New Roman" w:eastAsia="仿宋_GB2312" w:cs="仿宋_GB2312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加快迈入</w:t>
      </w:r>
      <w:r>
        <w:rPr>
          <w:rFonts w:hint="eastAsia" w:ascii="Times New Roman" w:hAnsi="Times New Roman" w:eastAsia="仿宋_GB2312" w:cs="仿宋_GB2312"/>
          <w:color w:val="000000" w:themeColor="text1"/>
          <w:sz w:val="32"/>
          <w:szCs w:val="40"/>
          <w14:textFill>
            <w14:solidFill>
              <w14:schemeClr w14:val="tx1"/>
            </w14:solidFill>
          </w14:textFill>
        </w:rPr>
        <w:t>万亿级</w:t>
      </w:r>
      <w:r>
        <w:rPr>
          <w:rFonts w:hint="eastAsia" w:ascii="Times New Roman" w:hAnsi="Times New Roman" w:eastAsia="仿宋_GB2312" w:cs="仿宋_GB2312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新</w:t>
      </w:r>
      <w:r>
        <w:rPr>
          <w:rFonts w:hint="eastAsia" w:ascii="Times New Roman" w:hAnsi="Times New Roman" w:eastAsia="仿宋_GB2312" w:cs="仿宋_GB2312"/>
          <w:color w:val="000000" w:themeColor="text1"/>
          <w:sz w:val="32"/>
          <w:szCs w:val="40"/>
          <w14:textFill>
            <w14:solidFill>
              <w14:schemeClr w14:val="tx1"/>
            </w14:solidFill>
          </w14:textFill>
        </w:rPr>
        <w:t>赛道，为园区承接高端产业外溢、争取政策</w:t>
      </w:r>
      <w:r>
        <w:rPr>
          <w:rFonts w:hint="eastAsia" w:ascii="Times New Roman" w:hAnsi="Times New Roman" w:eastAsia="仿宋_GB2312" w:cs="仿宋_GB2312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支持</w:t>
      </w:r>
      <w:r>
        <w:rPr>
          <w:rFonts w:hint="eastAsia" w:ascii="Times New Roman" w:hAnsi="Times New Roman" w:eastAsia="仿宋_GB2312" w:cs="仿宋_GB2312"/>
          <w:color w:val="000000" w:themeColor="text1"/>
          <w:sz w:val="32"/>
          <w:szCs w:val="40"/>
          <w14:textFill>
            <w14:solidFill>
              <w14:schemeClr w14:val="tx1"/>
            </w14:solidFill>
          </w14:textFill>
        </w:rPr>
        <w:t>与资源倾斜提供支撑</w:t>
      </w:r>
      <w:r>
        <w:rPr>
          <w:rFonts w:hint="eastAsia" w:ascii="Times New Roman" w:hAnsi="Times New Roman" w:eastAsia="仿宋_GB2312" w:cs="仿宋_GB2312"/>
          <w:color w:val="000000" w:themeColor="text1"/>
          <w:sz w:val="32"/>
          <w:szCs w:val="40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shd w:val="clear" w:color="auto" w:fill="auto"/>
        <w:spacing w:line="560" w:lineRule="exact"/>
        <w:ind w:firstLine="643" w:firstLineChars="200"/>
        <w:rPr>
          <w:rFonts w:hint="eastAsia"/>
          <w:lang w:val="en-US" w:eastAsia="zh-CN"/>
        </w:rPr>
      </w:pPr>
      <w:r>
        <w:rPr>
          <w:rFonts w:hint="eastAsia" w:ascii="Times New Roman" w:hAnsi="Times New Roman" w:eastAsia="仿宋_GB2312" w:cs="仿宋_GB2312"/>
          <w:b/>
          <w:bCs/>
          <w:color w:val="000000" w:themeColor="text1"/>
          <w:sz w:val="32"/>
          <w:szCs w:val="40"/>
          <w14:textFill>
            <w14:solidFill>
              <w14:schemeClr w14:val="tx1"/>
            </w14:solidFill>
          </w14:textFill>
        </w:rPr>
        <w:t>从自身</w:t>
      </w:r>
      <w:r>
        <w:rPr>
          <w:rFonts w:hint="eastAsia" w:ascii="Times New Roman" w:hAnsi="Times New Roman" w:eastAsia="仿宋_GB2312" w:cs="仿宋_GB2312"/>
          <w:b/>
          <w:bCs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来</w:t>
      </w:r>
      <w:r>
        <w:rPr>
          <w:rFonts w:hint="eastAsia" w:ascii="Times New Roman" w:hAnsi="Times New Roman" w:eastAsia="仿宋_GB2312" w:cs="仿宋_GB2312"/>
          <w:b/>
          <w:bCs/>
          <w:color w:val="000000" w:themeColor="text1"/>
          <w:sz w:val="32"/>
          <w:szCs w:val="40"/>
          <w14:textFill>
            <w14:solidFill>
              <w14:schemeClr w14:val="tx1"/>
            </w14:solidFill>
          </w14:textFill>
        </w:rPr>
        <w:t>看，区域重大战略纵深推进，为园区借力发展、跨越提升创造新</w:t>
      </w:r>
      <w:r>
        <w:rPr>
          <w:rFonts w:hint="eastAsia" w:ascii="Times New Roman" w:hAnsi="Times New Roman" w:eastAsia="仿宋_GB2312" w:cs="仿宋_GB2312"/>
          <w:b/>
          <w:bCs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动能</w:t>
      </w:r>
      <w:r>
        <w:rPr>
          <w:rFonts w:hint="eastAsia" w:ascii="Times New Roman" w:hAnsi="Times New Roman" w:eastAsia="仿宋_GB2312" w:cs="仿宋_GB2312"/>
          <w:b/>
          <w:bCs/>
          <w:color w:val="000000" w:themeColor="text1"/>
          <w:sz w:val="32"/>
          <w:szCs w:val="40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Times New Roman" w:hAnsi="Times New Roman" w:eastAsia="仿宋_GB2312" w:cs="仿宋_GB2312"/>
          <w:b w:val="0"/>
          <w:bCs w:val="0"/>
          <w:color w:val="000000" w:themeColor="text1"/>
          <w:sz w:val="32"/>
          <w:szCs w:val="40"/>
          <w14:textFill>
            <w14:solidFill>
              <w14:schemeClr w14:val="tx1"/>
            </w14:solidFill>
          </w14:textFill>
        </w:rPr>
        <w:t>京津冀协同发展、京西产业转型、西山永定河文化带建设等战略实施</w:t>
      </w:r>
      <w:r>
        <w:rPr>
          <w:rFonts w:hint="eastAsia" w:ascii="Times New Roman" w:hAnsi="Times New Roman" w:eastAsia="仿宋_GB2312" w:cs="仿宋_GB2312"/>
          <w:b w:val="0"/>
          <w:bCs w:val="0"/>
          <w:color w:val="000000" w:themeColor="text1"/>
          <w:sz w:val="32"/>
          <w:szCs w:val="40"/>
          <w:lang w:eastAsia="zh-CN"/>
          <w14:textFill>
            <w14:solidFill>
              <w14:schemeClr w14:val="tx1"/>
            </w14:solidFill>
          </w14:textFill>
        </w:rPr>
        <w:t>和</w:t>
      </w:r>
      <w:r>
        <w:rPr>
          <w:rFonts w:hint="eastAsia" w:ascii="Times New Roman" w:hAnsi="Times New Roman" w:eastAsia="仿宋_GB2312" w:cs="仿宋_GB2312"/>
          <w:b w:val="0"/>
          <w:bCs w:val="0"/>
          <w:color w:val="000000" w:themeColor="text1"/>
          <w:sz w:val="32"/>
          <w:szCs w:val="40"/>
          <w14:textFill>
            <w14:solidFill>
              <w14:schemeClr w14:val="tx1"/>
            </w14:solidFill>
          </w14:textFill>
        </w:rPr>
        <w:t>石景山区加快推进 “三区”定位落地</w:t>
      </w:r>
      <w:r>
        <w:rPr>
          <w:rFonts w:hint="eastAsia" w:ascii="Times New Roman" w:hAnsi="Times New Roman" w:eastAsia="仿宋_GB2312" w:cs="仿宋_GB2312"/>
          <w:b w:val="0"/>
          <w:bCs w:val="0"/>
          <w:color w:val="000000" w:themeColor="text1"/>
          <w:sz w:val="32"/>
          <w:szCs w:val="40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 w:eastAsia="仿宋_GB2312" w:cs="仿宋_GB2312"/>
          <w:b w:val="0"/>
          <w:bCs w:val="0"/>
          <w:color w:val="000000" w:themeColor="text1"/>
          <w:sz w:val="32"/>
          <w:szCs w:val="40"/>
          <w14:textFill>
            <w14:solidFill>
              <w14:schemeClr w14:val="tx1"/>
            </w14:solidFill>
          </w14:textFill>
        </w:rPr>
        <w:t>构建“主导+特色+未来”现代化产业体系</w:t>
      </w:r>
      <w:r>
        <w:rPr>
          <w:rFonts w:hint="eastAsia" w:ascii="Times New Roman" w:hAnsi="Times New Roman" w:eastAsia="仿宋_GB2312" w:cs="仿宋_GB2312"/>
          <w:b w:val="0"/>
          <w:bCs w:val="0"/>
          <w:color w:val="000000" w:themeColor="text1"/>
          <w:sz w:val="32"/>
          <w:szCs w:val="40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 w:eastAsia="仿宋_GB2312" w:cs="仿宋_GB2312"/>
          <w:b w:val="0"/>
          <w:bCs w:val="0"/>
          <w:color w:val="000000" w:themeColor="text1"/>
          <w:sz w:val="32"/>
          <w:szCs w:val="40"/>
          <w14:textFill>
            <w14:solidFill>
              <w14:schemeClr w14:val="tx1"/>
            </w14:solidFill>
          </w14:textFill>
        </w:rPr>
        <w:t>推动东中西部均衡协调发展</w:t>
      </w:r>
      <w:r>
        <w:rPr>
          <w:rFonts w:hint="eastAsia" w:ascii="Times New Roman" w:hAnsi="Times New Roman" w:eastAsia="仿宋_GB2312" w:cs="仿宋_GB2312"/>
          <w:b w:val="0"/>
          <w:bCs w:val="0"/>
          <w:color w:val="000000" w:themeColor="text1"/>
          <w:sz w:val="32"/>
          <w:szCs w:val="40"/>
          <w:lang w:eastAsia="zh-CN"/>
          <w14:textFill>
            <w14:solidFill>
              <w14:schemeClr w14:val="tx1"/>
            </w14:solidFill>
          </w14:textFill>
        </w:rPr>
        <w:t>均为园区发展提供了战略支点</w:t>
      </w:r>
      <w:r>
        <w:rPr>
          <w:rFonts w:hint="eastAsia" w:ascii="Times New Roman" w:hAnsi="Times New Roman" w:eastAsia="仿宋_GB2312" w:cs="仿宋_GB2312"/>
          <w:b w:val="0"/>
          <w:bCs w:val="0"/>
          <w:color w:val="000000" w:themeColor="text1"/>
          <w:sz w:val="32"/>
          <w:szCs w:val="40"/>
          <w14:textFill>
            <w14:solidFill>
              <w14:schemeClr w14:val="tx1"/>
            </w14:solidFill>
          </w14:textFill>
        </w:rPr>
        <w:t>。紧邻中关村石景山园、首钢园、银保园等核心载体，</w:t>
      </w:r>
      <w:r>
        <w:rPr>
          <w:rFonts w:hint="eastAsia" w:ascii="Times New Roman" w:hAnsi="Times New Roman" w:eastAsia="仿宋_GB2312" w:cs="仿宋_GB2312"/>
          <w:b w:val="0"/>
          <w:bCs w:val="0"/>
          <w:color w:val="000000" w:themeColor="text1"/>
          <w:sz w:val="32"/>
          <w:szCs w:val="40"/>
          <w:lang w:eastAsia="zh-CN"/>
          <w14:textFill>
            <w14:solidFill>
              <w14:schemeClr w14:val="tx1"/>
            </w14:solidFill>
          </w14:textFill>
        </w:rPr>
        <w:t>园区</w:t>
      </w:r>
      <w:r>
        <w:rPr>
          <w:rFonts w:hint="eastAsia" w:ascii="Times New Roman" w:hAnsi="Times New Roman" w:eastAsia="仿宋_GB2312" w:cs="仿宋_GB2312"/>
          <w:b w:val="0"/>
          <w:bCs w:val="0"/>
          <w:color w:val="000000" w:themeColor="text1"/>
          <w:sz w:val="32"/>
          <w:szCs w:val="40"/>
          <w14:textFill>
            <w14:solidFill>
              <w14:schemeClr w14:val="tx1"/>
            </w14:solidFill>
          </w14:textFill>
        </w:rPr>
        <w:t>具备</w:t>
      </w:r>
      <w:r>
        <w:rPr>
          <w:rFonts w:hint="eastAsia" w:ascii="Times New Roman" w:hAnsi="Times New Roman" w:eastAsia="仿宋_GB2312" w:cs="仿宋_GB2312"/>
          <w:b w:val="0"/>
          <w:bCs w:val="0"/>
          <w:color w:val="000000" w:themeColor="text1"/>
          <w:sz w:val="32"/>
          <w:szCs w:val="40"/>
          <w:lang w:eastAsia="zh-CN"/>
          <w14:textFill>
            <w14:solidFill>
              <w14:schemeClr w14:val="tx1"/>
            </w14:solidFill>
          </w14:textFill>
        </w:rPr>
        <w:t>了</w:t>
      </w:r>
      <w:r>
        <w:rPr>
          <w:rFonts w:hint="eastAsia" w:ascii="Times New Roman" w:hAnsi="Times New Roman" w:eastAsia="仿宋_GB2312" w:cs="仿宋_GB2312"/>
          <w:b w:val="0"/>
          <w:bCs w:val="0"/>
          <w:color w:val="000000" w:themeColor="text1"/>
          <w:sz w:val="32"/>
          <w:szCs w:val="40"/>
          <w14:textFill>
            <w14:solidFill>
              <w14:schemeClr w14:val="tx1"/>
            </w14:solidFill>
          </w14:textFill>
        </w:rPr>
        <w:t>空间联动、产教融合、生态宜居等比较优势，可有效承接创新外溢、强化产业链协同，在服务区域发展大局中实现快速成长</w:t>
      </w:r>
      <w:r>
        <w:rPr>
          <w:rFonts w:hint="eastAsia" w:ascii="Times New Roman" w:hAnsi="Times New Roman" w:eastAsia="仿宋_GB2312" w:cs="仿宋_GB2312"/>
          <w:color w:val="000000" w:themeColor="text1"/>
          <w:sz w:val="32"/>
          <w:szCs w:val="40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 w:val="0"/>
        <w:autoSpaceDN/>
        <w:bidi w:val="0"/>
        <w:adjustRightInd/>
        <w:snapToGrid/>
        <w:spacing w:line="560" w:lineRule="exact"/>
        <w:ind w:firstLine="643" w:firstLineChars="200"/>
        <w:textAlignment w:val="auto"/>
        <w:outlineLvl w:val="2"/>
        <w:rPr>
          <w:rFonts w:hint="eastAsia" w:ascii="Times New Roman" w:hAnsi="Times New Roman" w:eastAsia="仿宋_GB2312" w:cs="Times New Roman"/>
          <w:b/>
          <w:bCs/>
          <w:color w:val="000000" w:themeColor="text1"/>
          <w:sz w:val="32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84" w:name="_Toc18863"/>
      <w:bookmarkStart w:id="85" w:name="_Toc10652"/>
      <w:bookmarkStart w:id="86" w:name="_Toc14591"/>
      <w:bookmarkStart w:id="87" w:name="_Toc2081"/>
      <w:bookmarkStart w:id="88" w:name="_Toc26878"/>
      <w:bookmarkStart w:id="89" w:name="_Toc6971"/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Times New Roman" w:hAnsi="Times New Roman" w:eastAsia="仿宋_GB2312" w:cs="Times New Roman"/>
          <w:b/>
          <w:bCs/>
          <w:color w:val="000000" w:themeColor="text1"/>
          <w:sz w:val="32"/>
          <w:szCs w:val="24"/>
          <w:lang w:val="en-US" w:eastAsia="zh-CN"/>
          <w14:textFill>
            <w14:solidFill>
              <w14:schemeClr w14:val="tx1"/>
            </w14:solidFill>
          </w14:textFill>
        </w:rPr>
        <w:t>主要挑战</w:t>
      </w:r>
      <w:bookmarkEnd w:id="84"/>
      <w:bookmarkEnd w:id="85"/>
      <w:bookmarkEnd w:id="86"/>
      <w:bookmarkEnd w:id="87"/>
      <w:bookmarkEnd w:id="88"/>
      <w:bookmarkEnd w:id="89"/>
    </w:p>
    <w:p>
      <w:pPr>
        <w:suppressAutoHyphens/>
        <w:adjustRightInd w:val="0"/>
        <w:snapToGrid w:val="0"/>
        <w:spacing w:line="560" w:lineRule="exact"/>
        <w:ind w:firstLine="643" w:firstLineChars="200"/>
        <w:rPr>
          <w:rFonts w:hint="eastAsia" w:ascii="仿宋_GB2312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一是外部产业竞争态势加剧，特色化差异化发展压力较大</w:t>
      </w:r>
      <w:r>
        <w:rPr>
          <w:rFonts w:hint="eastAsia" w:ascii="仿宋_GB2312" w:hAnsi="Times New Roman" w:eastAsia="仿宋_GB2312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_GB2312" w:hAnsi="Times New Roman" w:eastAsia="仿宋_GB2312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全国及全市范围内科技园区数量增多，绿色低碳、科技服务、高端制造等领域同质化竞争加剧</w:t>
      </w:r>
      <w:r>
        <w:rPr>
          <w:rFonts w:hint="eastAsia" w:ascii="仿宋_GB2312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，园区在优质企业、</w:t>
      </w:r>
      <w:r>
        <w:rPr>
          <w:rFonts w:hint="eastAsia" w:ascii="仿宋_GB2312" w:hAnsi="Times New Roman" w:eastAsia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高端</w:t>
      </w:r>
      <w:r>
        <w:rPr>
          <w:rFonts w:hint="eastAsia" w:ascii="仿宋_GB2312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人才、创新资本等核心要素争夺中</w:t>
      </w:r>
      <w:r>
        <w:rPr>
          <w:rFonts w:hint="eastAsia" w:ascii="仿宋_GB2312" w:hAnsi="Times New Roman" w:eastAsia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处于相对弱势</w:t>
      </w:r>
      <w:r>
        <w:rPr>
          <w:rFonts w:hint="eastAsia" w:ascii="仿宋_GB2312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_GB2312" w:hAnsi="Times New Roman" w:eastAsia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亟</w:t>
      </w:r>
      <w:r>
        <w:rPr>
          <w:rFonts w:hint="eastAsia" w:ascii="仿宋_GB2312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需构建差异化竞争优势以突围。</w:t>
      </w:r>
      <w:r>
        <w:rPr>
          <w:rFonts w:hint="eastAsia" w:ascii="仿宋_GB2312" w:hAnsi="Times New Roman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二是制度协同与资源整合存在壁垒，协同发展效能有待提升。</w:t>
      </w:r>
      <w:r>
        <w:rPr>
          <w:rFonts w:hint="eastAsia" w:ascii="仿宋_GB2312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跨区域、跨园区的产业链协同机制尚未健全，与外部创新平台、产业载体的联动效率不足，难以充分借助外部优质资源弥补自身发展短板。</w:t>
      </w:r>
      <w:r>
        <w:rPr>
          <w:rFonts w:hint="eastAsia" w:ascii="仿宋_GB2312" w:hAnsi="Times New Roman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三是</w:t>
      </w:r>
      <w:r>
        <w:rPr>
          <w:rFonts w:hint="eastAsia" w:ascii="仿宋_GB2312" w:hAnsi="Times New Roman" w:eastAsia="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产业基础和综合承载能力相对薄弱，发展环境与高质量要求存在差距。</w:t>
      </w:r>
      <w:r>
        <w:rPr>
          <w:rFonts w:hint="eastAsia" w:ascii="仿宋_GB2312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区域产业生态成熟度、高端服务配套能级与产业升级需求仍有差距，叠加绿色贸易规则重构、技术迭代加速带来的合规与转型压力，对园区产业布局的前瞻性与抗风险能力提出更高要求。</w:t>
      </w:r>
    </w:p>
    <w:p>
      <w:pPr>
        <w:suppressAutoHyphens/>
        <w:adjustRightInd w:val="0"/>
        <w:snapToGrid w:val="0"/>
        <w:spacing w:line="560" w:lineRule="exact"/>
        <w:ind w:firstLine="640" w:firstLineChars="200"/>
        <w:rPr>
          <w:rFonts w:hint="default" w:ascii="仿宋_GB2312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综合来看，园区发展机遇与挑战并存</w:t>
      </w:r>
      <w:r>
        <w:rPr>
          <w:rFonts w:hint="eastAsia" w:ascii="仿宋_GB2312" w:hAnsi="Times New Roman" w:eastAsia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_GB2312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需牢牢把握</w:t>
      </w:r>
      <w:r>
        <w:rPr>
          <w:rFonts w:hint="eastAsia" w:ascii="仿宋_GB2312" w:hAnsi="Times New Roman" w:eastAsia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产业</w:t>
      </w:r>
      <w:r>
        <w:rPr>
          <w:rFonts w:hint="eastAsia" w:ascii="仿宋_GB2312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转型</w:t>
      </w:r>
      <w:r>
        <w:rPr>
          <w:rFonts w:hint="eastAsia" w:ascii="仿宋_GB2312" w:hAnsi="Times New Roman" w:eastAsia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升级</w:t>
      </w:r>
      <w:r>
        <w:rPr>
          <w:rFonts w:hint="eastAsia" w:ascii="仿宋_GB2312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与科技创新</w:t>
      </w:r>
      <w:r>
        <w:rPr>
          <w:rFonts w:hint="eastAsia" w:ascii="仿宋_GB2312" w:hAnsi="Times New Roman" w:eastAsia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等</w:t>
      </w:r>
      <w:r>
        <w:rPr>
          <w:rFonts w:hint="eastAsia" w:ascii="仿宋_GB2312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战略机遇，通过强化特色定位、深化协同联动、破解制度障碍，将潜在挑战转化为发展动力，推动园区实现高质量跨越式发展</w:t>
      </w:r>
      <w:r>
        <w:rPr>
          <w:rFonts w:hint="eastAsia" w:ascii="仿宋_GB2312" w:hAnsi="Times New Roman" w:eastAsia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keepNext/>
        <w:keepLines/>
        <w:widowControl w:val="0"/>
        <w:shd w:val="clear" w:color="auto" w:fill="FFFFFF"/>
        <w:autoSpaceDE w:val="0"/>
        <w:bidi w:val="0"/>
        <w:spacing w:line="560" w:lineRule="exact"/>
        <w:ind w:firstLine="640" w:firstLineChars="200"/>
        <w:jc w:val="both"/>
        <w:outlineLvl w:val="0"/>
        <w:rPr>
          <w:rFonts w:hint="default" w:ascii="Times New Roman" w:hAnsi="Times New Roman" w:eastAsia="黑体" w:cs="Times New Roman"/>
          <w:b w:val="0"/>
          <w:bCs w:val="0"/>
          <w:color w:val="000000" w:themeColor="text1"/>
          <w:kern w:val="2"/>
          <w:sz w:val="32"/>
          <w:szCs w:val="48"/>
          <w:lang w:val="en-US" w:eastAsia="zh-CN" w:bidi="ar-SA"/>
          <w14:textFill>
            <w14:solidFill>
              <w14:schemeClr w14:val="tx1"/>
            </w14:solidFill>
          </w14:textFill>
        </w:rPr>
      </w:pPr>
      <w:bookmarkStart w:id="90" w:name="_Toc266"/>
      <w:bookmarkStart w:id="91" w:name="_Toc6465"/>
      <w:bookmarkStart w:id="92" w:name="_Toc12139"/>
      <w:bookmarkStart w:id="93" w:name="_Toc9240"/>
      <w:bookmarkStart w:id="94" w:name="_Toc25642"/>
      <w:bookmarkStart w:id="95" w:name="_Toc15448"/>
      <w:bookmarkStart w:id="96" w:name="_Toc433"/>
      <w:bookmarkStart w:id="97" w:name="_Toc22945"/>
      <w:bookmarkStart w:id="98" w:name="_Toc17009"/>
      <w:bookmarkStart w:id="99" w:name="_Toc12571"/>
      <w:r>
        <w:rPr>
          <w:rFonts w:hint="eastAsia" w:ascii="Times New Roman" w:hAnsi="Times New Roman" w:eastAsia="黑体" w:cs="Times New Roman"/>
          <w:b w:val="0"/>
          <w:bCs w:val="0"/>
          <w:color w:val="000000" w:themeColor="text1"/>
          <w:kern w:val="2"/>
          <w:sz w:val="32"/>
          <w:szCs w:val="48"/>
          <w:lang w:val="en-US" w:eastAsia="zh-CN" w:bidi="ar-SA"/>
          <w14:textFill>
            <w14:solidFill>
              <w14:schemeClr w14:val="tx1"/>
            </w14:solidFill>
          </w14:textFill>
        </w:rPr>
        <w:t>三、总体</w:t>
      </w:r>
      <w:bookmarkEnd w:id="90"/>
      <w:bookmarkEnd w:id="91"/>
      <w:r>
        <w:rPr>
          <w:rFonts w:hint="eastAsia" w:ascii="Times New Roman" w:hAnsi="Times New Roman" w:eastAsia="黑体" w:cs="Times New Roman"/>
          <w:b w:val="0"/>
          <w:bCs w:val="0"/>
          <w:color w:val="000000" w:themeColor="text1"/>
          <w:kern w:val="2"/>
          <w:sz w:val="32"/>
          <w:szCs w:val="48"/>
          <w:lang w:val="en-US" w:eastAsia="zh-CN" w:bidi="ar-SA"/>
          <w14:textFill>
            <w14:solidFill>
              <w14:schemeClr w14:val="tx1"/>
            </w14:solidFill>
          </w14:textFill>
        </w:rPr>
        <w:t>要求</w:t>
      </w:r>
      <w:bookmarkEnd w:id="92"/>
      <w:bookmarkEnd w:id="93"/>
      <w:bookmarkEnd w:id="94"/>
      <w:bookmarkEnd w:id="95"/>
      <w:bookmarkEnd w:id="96"/>
      <w:bookmarkEnd w:id="97"/>
      <w:bookmarkEnd w:id="98"/>
      <w:bookmarkEnd w:id="99"/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1"/>
        <w:rPr>
          <w:rFonts w:hint="eastAsia" w:ascii="楷体_GB2312" w:hAnsi="楷体_GB2312" w:eastAsia="楷体_GB2312" w:cs="楷体_GB2312"/>
          <w:b w:val="0"/>
          <w:bCs w:val="0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</w:pPr>
      <w:bookmarkStart w:id="100" w:name="_Toc27343"/>
      <w:bookmarkStart w:id="101" w:name="_Toc30399"/>
      <w:bookmarkStart w:id="102" w:name="_Toc4300"/>
      <w:bookmarkStart w:id="103" w:name="_Toc29887"/>
      <w:bookmarkStart w:id="104" w:name="_Toc22074"/>
      <w:bookmarkStart w:id="105" w:name="_Toc25992"/>
      <w:bookmarkStart w:id="106" w:name="_Toc6502"/>
      <w:bookmarkStart w:id="107" w:name="_Toc4221"/>
      <w:bookmarkStart w:id="108" w:name="_Toc22877"/>
      <w:bookmarkStart w:id="109" w:name="_Toc8885"/>
      <w:r>
        <w:rPr>
          <w:rFonts w:hint="eastAsia" w:ascii="楷体_GB2312" w:hAnsi="楷体_GB2312" w:eastAsia="楷体_GB2312" w:cs="楷体_GB2312"/>
          <w:b w:val="0"/>
          <w:bCs w:val="0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（一）指导思想</w:t>
      </w:r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</w:p>
    <w:p>
      <w:pPr>
        <w:suppressAutoHyphens/>
        <w:adjustRightInd w:val="0"/>
        <w:snapToGrid w:val="0"/>
        <w:spacing w:line="560" w:lineRule="exact"/>
        <w:ind w:firstLine="640" w:firstLineChars="200"/>
        <w:rPr>
          <w:rFonts w:hint="eastAsia" w:ascii="仿宋_GB2312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以习近平新时代中国特色社会主义思想为指导，全面贯彻落实中央及市委、市政府决策部署，立足新时代首都发展，全面贯彻新发展理念，以培育新质生产力为核心、高质量发展为主线，</w:t>
      </w:r>
      <w:r>
        <w:rPr>
          <w:rFonts w:hint="eastAsia" w:ascii="仿宋_GB2312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紧密围绕石景山区“一核三廊六</w:t>
      </w:r>
      <w:r>
        <w:rPr>
          <w:rFonts w:hint="eastAsia" w:ascii="仿宋_GB2312" w:hAnsi="Times New Roman" w:eastAsia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大特色园区</w:t>
      </w:r>
      <w:r>
        <w:rPr>
          <w:rFonts w:hint="eastAsia" w:ascii="仿宋_GB2312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仿宋_GB2312" w:hAnsi="Times New Roman" w:eastAsia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发展格局</w:t>
      </w:r>
      <w:r>
        <w:rPr>
          <w:rFonts w:hint="eastAsia" w:ascii="仿宋_GB2312" w:hAnsi="Times New Roman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_GB2312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以绿色低碳为核心发展理念，</w:t>
      </w:r>
      <w:r>
        <w:rPr>
          <w:rFonts w:hint="eastAsia" w:ascii="仿宋_GB2312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坚持创新引领、改革驱动、开放联动、绿色集约、特色发展，深化体制机制创新，强集群、聚人气、增动能、优服务，优化空间功能与产业生态，着力将园区打造成为创新活跃、产业集聚、产城融合、宜创宜业的西部</w:t>
      </w:r>
      <w:r>
        <w:rPr>
          <w:rFonts w:hint="eastAsia" w:ascii="仿宋_GB2312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产业发展核心动力源，</w:t>
      </w:r>
      <w:r>
        <w:rPr>
          <w:rFonts w:hint="eastAsia" w:ascii="仿宋_GB2312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支撑北京国际科技创新中心与中关村世界领先科技园区建设，为新时代首都发展贡献石景山力量。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1"/>
        <w:rPr>
          <w:rFonts w:hint="eastAsia" w:ascii="楷体_GB2312" w:hAnsi="楷体_GB2312" w:eastAsia="楷体_GB2312" w:cs="楷体_GB2312"/>
          <w:b w:val="0"/>
          <w:bCs w:val="0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</w:pPr>
      <w:bookmarkStart w:id="110" w:name="_Toc28038"/>
      <w:bookmarkStart w:id="111" w:name="_Toc25212"/>
      <w:bookmarkStart w:id="112" w:name="_Toc23713"/>
      <w:bookmarkStart w:id="113" w:name="_Toc7264"/>
      <w:bookmarkStart w:id="114" w:name="_Toc22600"/>
      <w:bookmarkStart w:id="115" w:name="_Toc12043"/>
      <w:bookmarkStart w:id="116" w:name="_Toc29174"/>
      <w:bookmarkStart w:id="117" w:name="_Toc21002"/>
      <w:r>
        <w:rPr>
          <w:rFonts w:hint="eastAsia" w:ascii="楷体_GB2312" w:hAnsi="楷体_GB2312" w:eastAsia="楷体_GB2312" w:cs="楷体_GB2312"/>
          <w:b w:val="0"/>
          <w:bCs w:val="0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（二）发展原则</w:t>
      </w:r>
      <w:bookmarkEnd w:id="110"/>
      <w:bookmarkEnd w:id="111"/>
      <w:bookmarkEnd w:id="112"/>
      <w:bookmarkEnd w:id="113"/>
      <w:bookmarkEnd w:id="114"/>
      <w:bookmarkEnd w:id="115"/>
      <w:bookmarkEnd w:id="116"/>
      <w:bookmarkEnd w:id="117"/>
    </w:p>
    <w:p>
      <w:pPr>
        <w:suppressAutoHyphens/>
        <w:adjustRightInd w:val="0"/>
        <w:snapToGrid w:val="0"/>
        <w:spacing w:line="560" w:lineRule="exact"/>
        <w:ind w:firstLine="643" w:firstLineChars="200"/>
        <w:rPr>
          <w:rFonts w:hint="eastAsia" w:ascii="仿宋_GB2312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坚持创新引领，梯度协同。</w:t>
      </w:r>
      <w:r>
        <w:rPr>
          <w:rFonts w:hint="eastAsia" w:ascii="仿宋_GB2312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把握世界科技前沿和国家战略需求，聚焦北京国际科技创新中心建设，积极承接国家级高新区溢出效应，强化区域创新资源整合与产业联动。构建“国家级—市级”高新区梯度发展格局，推动创新链与产业链深度融合，培育特色高精尖产业集群与未来产业，形成定位清晰、优势互补、协同发展的创新体系。</w:t>
      </w:r>
    </w:p>
    <w:p>
      <w:pPr>
        <w:suppressAutoHyphens/>
        <w:adjustRightInd w:val="0"/>
        <w:snapToGrid w:val="0"/>
        <w:spacing w:line="560" w:lineRule="exact"/>
        <w:ind w:firstLine="643" w:firstLineChars="200"/>
        <w:rPr>
          <w:rFonts w:hint="eastAsia" w:ascii="仿宋_GB2312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坚持改革驱动，动态优化。</w:t>
      </w:r>
      <w:r>
        <w:rPr>
          <w:rFonts w:hint="eastAsia" w:ascii="仿宋_GB2312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坚持市场化、法治化导向，深化管理体制与运营机制创新，完善“放管服”改革在园区落地实践。建立健全以高质量发展为导向的分类评价与动态调整机制，强化空间弹性适配与资源集约利用，实现园区区块的优胜劣汰与持续优化，充分激发各类市场主体创新活力与发展动能。</w:t>
      </w:r>
    </w:p>
    <w:p>
      <w:pPr>
        <w:suppressAutoHyphens/>
        <w:adjustRightInd w:val="0"/>
        <w:snapToGrid w:val="0"/>
        <w:spacing w:line="560" w:lineRule="exact"/>
        <w:ind w:firstLine="643" w:firstLineChars="200"/>
        <w:rPr>
          <w:rFonts w:hint="eastAsia" w:ascii="仿宋_GB2312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坚持开放联动，区域融合。</w:t>
      </w:r>
      <w:r>
        <w:rPr>
          <w:rFonts w:hint="eastAsia" w:ascii="仿宋_GB2312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立足西部地区发展定位，深化与</w:t>
      </w:r>
      <w:r>
        <w:rPr>
          <w:rFonts w:hint="eastAsia" w:ascii="Times New Roman" w:hAnsi="Times New Roman" w:eastAsia="仿宋_GB2312" w:cs="Times New Roman"/>
          <w:b w:val="0"/>
          <w:color w:val="000000" w:themeColor="text1"/>
          <w:sz w:val="32"/>
          <w:szCs w:val="24"/>
          <w14:textFill>
            <w14:solidFill>
              <w14:schemeClr w14:val="tx1"/>
            </w14:solidFill>
          </w14:textFill>
        </w:rPr>
        <w:t>中关村</w:t>
      </w:r>
      <w:r>
        <w:rPr>
          <w:rFonts w:hint="eastAsia" w:ascii="Times New Roman" w:hAnsi="Times New Roman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工业互联网产业园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、银保园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 w:eastAsia="仿宋_GB2312" w:cs="Times New Roman"/>
          <w:b w:val="0"/>
          <w:color w:val="000000" w:themeColor="text1"/>
          <w:sz w:val="32"/>
          <w:szCs w:val="24"/>
          <w14:textFill>
            <w14:solidFill>
              <w14:schemeClr w14:val="tx1"/>
            </w14:solidFill>
          </w14:textFill>
        </w:rPr>
        <w:t>中关村虚拟现实产业园</w:t>
      </w:r>
      <w:r>
        <w:rPr>
          <w:rFonts w:hint="eastAsia" w:ascii="Times New Roman" w:hAnsi="Times New Roman" w:eastAsia="仿宋_GB2312" w:cs="Times New Roman"/>
          <w:b w:val="0"/>
          <w:color w:val="000000" w:themeColor="text1"/>
          <w:sz w:val="32"/>
          <w:szCs w:val="24"/>
          <w:lang w:val="en-US" w:eastAsia="zh-CN"/>
          <w14:textFill>
            <w14:solidFill>
              <w14:schemeClr w14:val="tx1"/>
            </w14:solidFill>
          </w14:textFill>
        </w:rPr>
        <w:t>等区内特色园区</w:t>
      </w:r>
      <w:r>
        <w:rPr>
          <w:rFonts w:hint="eastAsia" w:ascii="仿宋_GB2312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的协同联动，构建“研发—中试—转化—服务”跨园区协同链条，主动融入全市高精尖产业空间布局，加强与中关村各分园、周边区域及京津冀重点节点的联动，深化产业链、供应链、创新链跨区域协作，推动产教融合与大中小企业融通创新，构建“区内协同、全市融入、跨域互补”的开放协同、内外循环互促产业生态体系。</w:t>
      </w:r>
    </w:p>
    <w:p>
      <w:pPr>
        <w:suppressAutoHyphens/>
        <w:adjustRightInd w:val="0"/>
        <w:snapToGrid w:val="0"/>
        <w:spacing w:line="560" w:lineRule="exact"/>
        <w:ind w:firstLine="643" w:firstLineChars="200"/>
        <w:rPr>
          <w:rFonts w:hint="eastAsia" w:ascii="仿宋_GB2312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坚持绿色集约，智慧赋能。</w:t>
      </w:r>
      <w:r>
        <w:rPr>
          <w:rFonts w:hint="eastAsia" w:ascii="仿宋_GB2312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践行绿色低碳发展理念，推动绿色技术、绿色产业与绿色场景深度融合，提高资源能源利用效率。加快数字化、智能化技术与园区建设、管理、服务全流程融合，打造智慧园区平台，提升运营管理效能与可持续发展水平，试点建设零碳智慧园区。</w:t>
      </w:r>
    </w:p>
    <w:p>
      <w:pPr>
        <w:suppressAutoHyphens/>
        <w:adjustRightInd w:val="0"/>
        <w:snapToGrid w:val="0"/>
        <w:spacing w:line="560" w:lineRule="exact"/>
        <w:ind w:firstLine="643" w:firstLineChars="200"/>
        <w:rPr>
          <w:rFonts w:hint="eastAsia" w:ascii="仿宋_GB2312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坚持特色发展，分类指导。</w:t>
      </w:r>
      <w:r>
        <w:rPr>
          <w:rFonts w:hint="eastAsia" w:ascii="仿宋_GB2312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立足区域资源禀赋与产业基础，明确差异化、特色化发展方向，聚焦产业链价值链关键环节，培育具有核心竞争力的主导产业集群。实施分类指导与精准施策，建立健全符合园区发展特色的差异化评价考核体系，探索特色鲜明、路径清晰的高质量发展模式。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1"/>
        <w:rPr>
          <w:rFonts w:hint="eastAsia" w:ascii="楷体_GB2312" w:hAnsi="楷体_GB2312" w:eastAsia="楷体_GB2312" w:cs="楷体_GB2312"/>
          <w:b w:val="0"/>
          <w:bCs w:val="0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</w:pPr>
      <w:bookmarkStart w:id="118" w:name="_Toc26001"/>
      <w:bookmarkStart w:id="119" w:name="_Toc4576"/>
      <w:bookmarkStart w:id="120" w:name="_Toc20106"/>
      <w:bookmarkStart w:id="121" w:name="_Toc27656"/>
      <w:bookmarkStart w:id="122" w:name="_Toc17856"/>
      <w:bookmarkStart w:id="123" w:name="_Toc29483"/>
      <w:bookmarkStart w:id="124" w:name="_Toc21062"/>
      <w:bookmarkStart w:id="125" w:name="_Toc12667"/>
      <w:bookmarkStart w:id="126" w:name="OLE_LINK18"/>
      <w:bookmarkStart w:id="127" w:name="OLE_LINK20"/>
      <w:r>
        <w:rPr>
          <w:rFonts w:hint="eastAsia" w:ascii="楷体_GB2312" w:hAnsi="楷体_GB2312" w:eastAsia="楷体_GB2312" w:cs="楷体_GB2312"/>
          <w:b w:val="0"/>
          <w:bCs w:val="0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（三）规划定位</w:t>
      </w:r>
      <w:bookmarkEnd w:id="118"/>
      <w:bookmarkEnd w:id="119"/>
      <w:bookmarkEnd w:id="120"/>
      <w:bookmarkEnd w:id="121"/>
      <w:bookmarkEnd w:id="122"/>
      <w:bookmarkEnd w:id="123"/>
      <w:bookmarkEnd w:id="124"/>
      <w:bookmarkEnd w:id="125"/>
    </w:p>
    <w:p>
      <w:pPr>
        <w:numPr>
          <w:ilvl w:val="-1"/>
          <w:numId w:val="0"/>
        </w:numPr>
        <w:shd w:val="clear"/>
        <w:autoSpaceDE/>
        <w:adjustRightInd w:val="0"/>
        <w:snapToGrid w:val="0"/>
        <w:spacing w:line="560" w:lineRule="exact"/>
        <w:ind w:firstLine="640" w:firstLineChars="200"/>
        <w:outlineLvl w:val="9"/>
        <w:rPr>
          <w:rFonts w:hint="eastAsia" w:ascii="仿宋_GB2312" w:hAnsi="Times New Roman" w:eastAsia="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立足石景山“三区”定位，依托西部地区绿色山水生态环境优势和市级高新区制造业发展基础，主动匹配全区“254”现代化产业体系发展需求，加强区域协同联动，聚焦科技研发设计和工业小试中试等重点环节，拓展升级科技服务业，提质增效高端制造业，科技赋能智慧康养业态，打造动力强劲、绿色智慧、开放融合的“未来绿谷”。</w:t>
      </w:r>
      <w:bookmarkEnd w:id="126"/>
    </w:p>
    <w:p>
      <w:pPr>
        <w:numPr>
          <w:ilvl w:val="-1"/>
          <w:numId w:val="0"/>
        </w:numPr>
        <w:shd w:val="clear" w:color="auto" w:fill="FFFFFF"/>
        <w:autoSpaceDE w:val="0"/>
        <w:spacing w:line="560" w:lineRule="exact"/>
        <w:ind w:firstLine="643" w:firstLineChars="200"/>
        <w:outlineLvl w:val="2"/>
        <w:rPr>
          <w:rFonts w:hint="eastAsia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1.西部发展主引擎</w:t>
      </w:r>
    </w:p>
    <w:p>
      <w:pPr>
        <w:numPr>
          <w:ilvl w:val="-1"/>
          <w:numId w:val="0"/>
        </w:numPr>
        <w:shd w:val="clear" w:color="auto" w:fill="FFFFFF"/>
        <w:autoSpaceDE w:val="0"/>
        <w:spacing w:line="560" w:lineRule="exact"/>
        <w:ind w:firstLine="640" w:firstLineChars="200"/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以科技服务业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提质升级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与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eastAsia="zh-CN"/>
          <w14:textFill>
            <w14:solidFill>
              <w14:schemeClr w14:val="tx1"/>
            </w14:solidFill>
          </w14:textFill>
        </w:rPr>
        <w:t>新型高端制造业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突破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发展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为核心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动力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，精准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对接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全区“254”现代化产业体系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建设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需求，突出两业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深度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融合特色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eastAsia="zh-CN"/>
          <w14:textFill>
            <w14:solidFill>
              <w14:schemeClr w14:val="tx1"/>
            </w14:solidFill>
          </w14:textFill>
        </w:rPr>
        <w:t>。聚焦资源环境、节能环保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与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eastAsia="zh-CN"/>
          <w14:textFill>
            <w14:solidFill>
              <w14:schemeClr w14:val="tx1"/>
            </w14:solidFill>
          </w14:textFill>
        </w:rPr>
        <w:t>数智设计等优势领域，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做强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eastAsia="zh-CN"/>
          <w14:textFill>
            <w14:solidFill>
              <w14:schemeClr w14:val="tx1"/>
            </w14:solidFill>
          </w14:textFill>
        </w:rPr>
        <w:t>绿色科技研发服务，拓展两业融合数智服务，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培育壮大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eastAsia="zh-CN"/>
          <w14:textFill>
            <w14:solidFill>
              <w14:schemeClr w14:val="tx1"/>
            </w14:solidFill>
          </w14:textFill>
        </w:rPr>
        <w:t>新型智造、空天技术等未来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产业，强化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eastAsia="zh-CN"/>
          <w14:textFill>
            <w14:solidFill>
              <w14:schemeClr w14:val="tx1"/>
            </w14:solidFill>
          </w14:textFill>
        </w:rPr>
        <w:t>小试、中试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等关键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eastAsia="zh-CN"/>
          <w14:textFill>
            <w14:solidFill>
              <w14:schemeClr w14:val="tx1"/>
            </w14:solidFill>
          </w14:textFill>
        </w:rPr>
        <w:t>环节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支撑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Times New Roman" w:hAnsi="Times New Roman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依托低成本特色空间</w:t>
      </w:r>
      <w:r>
        <w:rPr>
          <w:rFonts w:hint="eastAsia" w:ascii="Times New Roman" w:hAnsi="Times New Roman" w:eastAsia="仿宋_GB2312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载体</w:t>
      </w:r>
      <w:r>
        <w:rPr>
          <w:rFonts w:hint="eastAsia" w:ascii="Times New Roman" w:hAnsi="Times New Roman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与精准政策叠加优势，</w:t>
      </w:r>
      <w:r>
        <w:rPr>
          <w:rFonts w:hint="eastAsia" w:ascii="Times New Roman" w:hAnsi="Times New Roman" w:eastAsia="仿宋_GB2312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主动</w:t>
      </w:r>
      <w:r>
        <w:rPr>
          <w:rFonts w:hint="eastAsia" w:ascii="Times New Roman" w:hAnsi="Times New Roman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承接中关村石景山园创新</w:t>
      </w:r>
      <w:r>
        <w:rPr>
          <w:rFonts w:hint="eastAsia" w:ascii="Times New Roman" w:hAnsi="Times New Roman" w:eastAsia="仿宋_GB2312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成果</w:t>
      </w:r>
      <w:r>
        <w:rPr>
          <w:rFonts w:hint="eastAsia" w:ascii="Times New Roman" w:hAnsi="Times New Roman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外溢</w:t>
      </w:r>
      <w:r>
        <w:rPr>
          <w:rFonts w:hint="eastAsia" w:ascii="Times New Roman" w:hAnsi="Times New Roman" w:eastAsia="仿宋_GB2312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及</w:t>
      </w:r>
      <w:r>
        <w:rPr>
          <w:rFonts w:hint="eastAsia" w:ascii="Times New Roman" w:hAnsi="Times New Roman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产业配套需求，激活西部</w:t>
      </w:r>
      <w:r>
        <w:rPr>
          <w:rFonts w:hint="eastAsia" w:ascii="Times New Roman" w:hAnsi="Times New Roman" w:eastAsia="仿宋_GB2312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地区</w:t>
      </w:r>
      <w:r>
        <w:rPr>
          <w:rFonts w:hint="eastAsia" w:ascii="Times New Roman" w:hAnsi="Times New Roman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发展动能，</w:t>
      </w:r>
      <w:r>
        <w:rPr>
          <w:rFonts w:hint="eastAsia" w:ascii="Times New Roman" w:hAnsi="Times New Roman" w:eastAsia="仿宋_GB2312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持续</w:t>
      </w:r>
      <w:r>
        <w:rPr>
          <w:rFonts w:hint="eastAsia" w:ascii="Times New Roman" w:hAnsi="Times New Roman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提升区域产业能级，扭转发展</w:t>
      </w:r>
      <w:r>
        <w:rPr>
          <w:rFonts w:hint="eastAsia" w:ascii="Times New Roman" w:hAnsi="Times New Roman" w:eastAsia="仿宋_GB2312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相对</w:t>
      </w:r>
      <w:r>
        <w:rPr>
          <w:rFonts w:hint="eastAsia" w:ascii="Times New Roman" w:hAnsi="Times New Roman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滞后</w:t>
      </w:r>
      <w:r>
        <w:rPr>
          <w:rFonts w:hint="eastAsia" w:ascii="Times New Roman" w:hAnsi="Times New Roman" w:eastAsia="仿宋_GB2312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态势</w:t>
      </w:r>
      <w:r>
        <w:rPr>
          <w:rFonts w:hint="eastAsia" w:ascii="Times New Roman" w:hAnsi="Times New Roman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仿宋_GB2312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打造</w:t>
      </w:r>
      <w:r>
        <w:rPr>
          <w:rFonts w:hint="eastAsia" w:ascii="Times New Roman" w:hAnsi="Times New Roman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拉动</w:t>
      </w:r>
      <w:r>
        <w:rPr>
          <w:rFonts w:hint="eastAsia" w:ascii="Times New Roman" w:hAnsi="Times New Roman" w:eastAsia="仿宋_GB2312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区域</w:t>
      </w:r>
      <w:r>
        <w:rPr>
          <w:rFonts w:hint="eastAsia" w:ascii="Times New Roman" w:hAnsi="Times New Roman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经济增长、</w:t>
      </w:r>
      <w:r>
        <w:rPr>
          <w:rFonts w:hint="eastAsia" w:ascii="Times New Roman" w:hAnsi="Times New Roman" w:eastAsia="仿宋_GB2312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促进</w:t>
      </w:r>
      <w:r>
        <w:rPr>
          <w:rFonts w:hint="eastAsia" w:ascii="Times New Roman" w:hAnsi="Times New Roman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区域协同均衡发展的核心动力源。</w:t>
      </w:r>
    </w:p>
    <w:p>
      <w:pPr>
        <w:numPr>
          <w:ilvl w:val="0"/>
          <w:numId w:val="0"/>
        </w:numPr>
        <w:shd w:val="clear" w:color="auto" w:fill="FFFFFF"/>
        <w:autoSpaceDE w:val="0"/>
        <w:spacing w:line="560" w:lineRule="exact"/>
        <w:ind w:firstLine="643" w:firstLineChars="200"/>
        <w:outlineLvl w:val="2"/>
        <w:rPr>
          <w:rFonts w:hint="eastAsia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绿色智慧特色园</w:t>
      </w:r>
    </w:p>
    <w:p>
      <w:pPr>
        <w:pStyle w:val="21"/>
        <w:spacing w:line="560" w:lineRule="exact"/>
        <w:ind w:firstLine="640" w:firstLineChars="200"/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坚持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绿色低碳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发展理念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，将生态优先、节约集约贯穿园区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规划、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建设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和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运营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全周期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，试点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推进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零碳园区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21"/>
          <w14:textFill>
            <w14:solidFill>
              <w14:schemeClr w14:val="tx1"/>
            </w14:solidFill>
          </w14:textFill>
        </w:rPr>
        <w:t>负碳</w:t>
      </w:r>
      <w:r>
        <w:rPr>
          <w:rFonts w:hint="eastAsia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21"/>
          <w:lang w:val="en-US" w:eastAsia="zh-CN"/>
          <w14:textFill>
            <w14:solidFill>
              <w14:schemeClr w14:val="tx1"/>
            </w14:solidFill>
          </w14:textFill>
        </w:rPr>
        <w:t>园区建设，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实施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基础设施低碳化改造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与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21"/>
          <w:shd w:val="clear" w:fill="auto"/>
          <w14:textFill>
            <w14:solidFill>
              <w14:schemeClr w14:val="tx1"/>
            </w14:solidFill>
          </w14:textFill>
        </w:rPr>
        <w:t>产业用地复合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21"/>
          <w:shd w:val="clear" w:fill="auto"/>
          <w:lang w:val="en-US" w:eastAsia="zh-CN"/>
          <w14:textFill>
            <w14:solidFill>
              <w14:schemeClr w14:val="tx1"/>
            </w14:solidFill>
          </w14:textFill>
        </w:rPr>
        <w:t>高效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21"/>
          <w:shd w:val="clear" w:fill="auto"/>
          <w14:textFill>
            <w14:solidFill>
              <w14:schemeClr w14:val="tx1"/>
            </w14:solidFill>
          </w14:textFill>
        </w:rPr>
        <w:t>利用，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21"/>
          <w:shd w:val="clear" w:fill="auto"/>
          <w:lang w:val="en-US" w:eastAsia="zh-CN"/>
          <w14:textFill>
            <w14:solidFill>
              <w14:schemeClr w14:val="tx1"/>
            </w14:solidFill>
          </w14:textFill>
        </w:rPr>
        <w:t>大力推广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21"/>
          <w:shd w:val="clear" w:fill="auto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21"/>
          <w:shd w:val="clear" w:fill="auto"/>
          <w:lang w:val="en-US" w:eastAsia="zh-CN"/>
          <w14:textFill>
            <w14:solidFill>
              <w14:schemeClr w14:val="tx1"/>
            </w14:solidFill>
          </w14:textFill>
        </w:rPr>
        <w:t>工业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21"/>
          <w:shd w:val="clear" w:fill="auto"/>
          <w14:textFill>
            <w14:solidFill>
              <w14:schemeClr w14:val="tx1"/>
            </w14:solidFill>
          </w14:textFill>
        </w:rPr>
        <w:t>上楼”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21"/>
          <w:shd w:val="clear" w:fill="auto"/>
          <w:lang w:val="en-US" w:eastAsia="zh-CN"/>
          <w14:textFill>
            <w14:solidFill>
              <w14:schemeClr w14:val="tx1"/>
            </w14:solidFill>
          </w14:textFill>
        </w:rPr>
        <w:t>发展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21"/>
          <w:shd w:val="clear" w:fill="auto"/>
          <w14:textFill>
            <w14:solidFill>
              <w14:schemeClr w14:val="tx1"/>
            </w14:solidFill>
          </w14:textFill>
        </w:rPr>
        <w:t>模式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21"/>
          <w:shd w:val="clear" w:fill="auto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Times New Roman" w:hAnsi="Times New Roman" w:eastAsia="仿宋_GB2312"/>
          <w:color w:val="000000" w:themeColor="text1"/>
          <w:sz w:val="32"/>
          <w:shd w:val="clear" w:fill="auto"/>
          <w14:textFill>
            <w14:solidFill>
              <w14:schemeClr w14:val="tx1"/>
            </w14:solidFill>
          </w14:textFill>
        </w:rPr>
        <w:t>聚焦科技研发设计</w:t>
      </w:r>
      <w:r>
        <w:rPr>
          <w:rFonts w:hint="eastAsia" w:ascii="Times New Roman" w:hAnsi="Times New Roman" w:eastAsia="仿宋_GB2312"/>
          <w:color w:val="000000" w:themeColor="text1"/>
          <w:sz w:val="32"/>
          <w:shd w:val="clear" w:fill="auto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 w:eastAsia="仿宋_GB2312"/>
          <w:color w:val="000000" w:themeColor="text1"/>
          <w:sz w:val="32"/>
          <w:shd w:val="clear" w:fill="auto"/>
          <w14:textFill>
            <w14:solidFill>
              <w14:schemeClr w14:val="tx1"/>
            </w14:solidFill>
          </w14:textFill>
        </w:rPr>
        <w:t>工业小试中试</w:t>
      </w:r>
      <w:r>
        <w:rPr>
          <w:rFonts w:hint="eastAsia" w:ascii="Times New Roman" w:hAnsi="Times New Roman" w:eastAsia="仿宋_GB2312"/>
          <w:color w:val="000000" w:themeColor="text1"/>
          <w:sz w:val="32"/>
          <w:shd w:val="clear" w:fill="auto"/>
          <w:lang w:val="en-US" w:eastAsia="zh-CN"/>
          <w14:textFill>
            <w14:solidFill>
              <w14:schemeClr w14:val="tx1"/>
            </w14:solidFill>
          </w14:textFill>
        </w:rPr>
        <w:t>等</w:t>
      </w:r>
      <w:r>
        <w:rPr>
          <w:rFonts w:hint="eastAsia" w:ascii="Times New Roman" w:hAnsi="Times New Roman" w:eastAsia="仿宋_GB2312"/>
          <w:color w:val="000000" w:themeColor="text1"/>
          <w:sz w:val="32"/>
          <w:shd w:val="clear" w:fill="auto"/>
          <w14:textFill>
            <w14:solidFill>
              <w14:schemeClr w14:val="tx1"/>
            </w14:solidFill>
          </w14:textFill>
        </w:rPr>
        <w:t>关键环节，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21"/>
          <w:shd w:val="clear" w:fill="auto"/>
          <w:lang w:val="en-US" w:eastAsia="zh-CN"/>
          <w14:textFill>
            <w14:solidFill>
              <w14:schemeClr w14:val="tx1"/>
            </w14:solidFill>
          </w14:textFill>
        </w:rPr>
        <w:t>高标准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21"/>
          <w:shd w:val="clear" w:fill="auto"/>
          <w14:textFill>
            <w14:solidFill>
              <w14:schemeClr w14:val="tx1"/>
            </w14:solidFill>
          </w14:textFill>
        </w:rPr>
        <w:t>建设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21"/>
          <w:shd w:val="clear" w:fill="auto"/>
          <w:lang w:val="en-US" w:eastAsia="zh-CN"/>
          <w14:textFill>
            <w14:solidFill>
              <w14:schemeClr w14:val="tx1"/>
            </w14:solidFill>
          </w14:textFill>
        </w:rPr>
        <w:t>绿色技术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21"/>
          <w:shd w:val="clear" w:fill="auto"/>
          <w14:textFill>
            <w14:solidFill>
              <w14:schemeClr w14:val="tx1"/>
            </w14:solidFill>
          </w14:textFill>
        </w:rPr>
        <w:t>中试平台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21"/>
          <w:shd w:val="clear" w:fill="auto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21"/>
          <w:shd w:val="clear" w:fill="auto"/>
          <w:lang w:val="en-US" w:eastAsia="zh-CN"/>
          <w14:textFill>
            <w14:solidFill>
              <w14:schemeClr w14:val="tx1"/>
            </w14:solidFill>
          </w14:textFill>
        </w:rPr>
        <w:t>共享中试设施及环保处理配套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21"/>
          <w:shd w:val="clear" w:fill="auto"/>
          <w14:textFill>
            <w14:solidFill>
              <w14:schemeClr w14:val="tx1"/>
            </w14:solidFill>
          </w14:textFill>
        </w:rPr>
        <w:t>，构建“技术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21"/>
          <w:shd w:val="clear" w:fill="auto"/>
          <w:lang w:val="en-US" w:eastAsia="zh-CN"/>
          <w14:textFill>
            <w14:solidFill>
              <w14:schemeClr w14:val="tx1"/>
            </w14:solidFill>
          </w14:textFill>
        </w:rPr>
        <w:t>研发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21"/>
          <w:shd w:val="clear" w:fill="auto"/>
          <w14:textFill>
            <w14:solidFill>
              <w14:schemeClr w14:val="tx1"/>
            </w14:solidFill>
          </w14:textFill>
        </w:rPr>
        <w:t>—中试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21"/>
          <w:shd w:val="clear" w:fill="auto"/>
          <w:lang w:val="en-US" w:eastAsia="zh-CN"/>
          <w14:textFill>
            <w14:solidFill>
              <w14:schemeClr w14:val="tx1"/>
            </w14:solidFill>
          </w14:textFill>
        </w:rPr>
        <w:t>熟化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21"/>
          <w:shd w:val="clear" w:fill="auto"/>
          <w14:textFill>
            <w14:solidFill>
              <w14:schemeClr w14:val="tx1"/>
            </w14:solidFill>
          </w14:textFill>
        </w:rPr>
        <w:t>—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21"/>
          <w:shd w:val="clear" w:fill="auto"/>
          <w:lang w:val="en-US" w:eastAsia="zh-CN"/>
          <w14:textFill>
            <w14:solidFill>
              <w14:schemeClr w14:val="tx1"/>
            </w14:solidFill>
          </w14:textFill>
        </w:rPr>
        <w:t>成果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21"/>
          <w:shd w:val="clear" w:fill="auto"/>
          <w14:textFill>
            <w14:solidFill>
              <w14:schemeClr w14:val="tx1"/>
            </w14:solidFill>
          </w14:textFill>
        </w:rPr>
        <w:t>转化”全链条绿色产业生态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21"/>
          <w:shd w:val="clear" w:fill="auto"/>
          <w:lang w:val="en-US" w:eastAsia="zh-CN"/>
          <w14:textFill>
            <w14:solidFill>
              <w14:schemeClr w14:val="tx1"/>
            </w14:solidFill>
          </w14:textFill>
        </w:rPr>
        <w:t>体系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21"/>
          <w:shd w:val="clear" w:fill="auto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深度融合物联网、大数据与人工智能技术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等数字技术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搭建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数字孪生运营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中枢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与“一网统管”智慧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治理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体系，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实现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智慧能源管理、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产业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精准匹配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和园区精细治理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等场景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全覆盖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统筹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完善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公服设施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、慢行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交通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系统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与生态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绿地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空间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，打造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贯通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产业载体、居住社区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与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生态廊道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的绿色慢行网络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，构建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功能复合、产城融合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、宜创宜业的绿色智慧产城社区，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建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成市级高新区绿色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低碳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发展与智慧运营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管理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的特色示范园。</w:t>
      </w:r>
    </w:p>
    <w:p>
      <w:pPr>
        <w:numPr>
          <w:ilvl w:val="0"/>
          <w:numId w:val="0"/>
        </w:numPr>
        <w:shd w:val="clear" w:color="auto" w:fill="FFFFFF"/>
        <w:autoSpaceDE w:val="0"/>
        <w:spacing w:line="560" w:lineRule="exact"/>
        <w:ind w:firstLine="643" w:firstLineChars="200"/>
        <w:outlineLvl w:val="2"/>
        <w:rPr>
          <w:rFonts w:hint="eastAsia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区域协同新支点</w:t>
      </w:r>
    </w:p>
    <w:p>
      <w:pPr>
        <w:numPr>
          <w:ilvl w:val="-1"/>
          <w:numId w:val="0"/>
        </w:numPr>
        <w:shd w:val="clear" w:color="auto" w:fill="FFFFFF"/>
        <w:autoSpaceDE w:val="0"/>
        <w:spacing w:line="560" w:lineRule="exact"/>
        <w:ind w:firstLine="640" w:firstLineChars="200"/>
        <w:rPr>
          <w:rFonts w:hint="default"/>
          <w:lang w:val="en-US" w:eastAsia="zh-CN"/>
        </w:rPr>
      </w:pP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立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足西部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地区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战略区位，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强化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与</w:t>
      </w:r>
      <w:r>
        <w:rPr>
          <w:rFonts w:hint="eastAsia" w:ascii="Times New Roman" w:hAnsi="Times New Roman" w:eastAsia="仿宋_GB2312" w:cs="Times New Roman"/>
          <w:b w:val="0"/>
          <w:color w:val="000000" w:themeColor="text1"/>
          <w:sz w:val="32"/>
          <w:szCs w:val="24"/>
          <w14:textFill>
            <w14:solidFill>
              <w14:schemeClr w14:val="tx1"/>
            </w14:solidFill>
          </w14:textFill>
        </w:rPr>
        <w:t>中关村</w:t>
      </w:r>
      <w:r>
        <w:rPr>
          <w:rFonts w:hint="eastAsia" w:ascii="Times New Roman" w:hAnsi="Times New Roman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工业互联网产业园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、银保园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 w:eastAsia="仿宋_GB2312" w:cs="Times New Roman"/>
          <w:b w:val="0"/>
          <w:color w:val="000000" w:themeColor="text1"/>
          <w:sz w:val="32"/>
          <w:szCs w:val="24"/>
          <w14:textFill>
            <w14:solidFill>
              <w14:schemeClr w14:val="tx1"/>
            </w14:solidFill>
          </w14:textFill>
        </w:rPr>
        <w:t>中关村虚拟现实产业园</w:t>
      </w:r>
      <w:r>
        <w:rPr>
          <w:rFonts w:hint="eastAsia" w:ascii="Times New Roman" w:hAnsi="Times New Roman" w:eastAsia="仿宋_GB2312" w:cs="Times New Roman"/>
          <w:b w:val="0"/>
          <w:color w:val="000000" w:themeColor="text1"/>
          <w:sz w:val="32"/>
          <w:szCs w:val="24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 w:eastAsia="仿宋_GB2312" w:cs="Times New Roman"/>
          <w:b w:val="0"/>
          <w:color w:val="000000" w:themeColor="text1"/>
          <w:sz w:val="32"/>
          <w:szCs w:val="24"/>
          <w:lang w:val="en-US" w:eastAsia="zh-CN"/>
          <w14:textFill>
            <w14:solidFill>
              <w14:schemeClr w14:val="tx1"/>
            </w14:solidFill>
          </w14:textFill>
        </w:rPr>
        <w:t>新首钢等区内重点园区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的联动协作，构建“研发</w:t>
      </w:r>
      <w:r>
        <w:rPr>
          <w:rFonts w:hint="eastAsia" w:ascii="Times New Roman" w:hAnsi="Times New Roman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—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中试</w:t>
      </w:r>
      <w:r>
        <w:rPr>
          <w:rFonts w:hint="eastAsia" w:ascii="Times New Roman" w:hAnsi="Times New Roman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—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转化</w:t>
      </w:r>
      <w:r>
        <w:rPr>
          <w:rFonts w:hint="eastAsia" w:ascii="Times New Roman" w:hAnsi="Times New Roman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—服务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”跨园区协同链条，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21"/>
          <w:shd w:val="clear"/>
          <w14:textFill>
            <w14:solidFill>
              <w14:schemeClr w14:val="tx1"/>
            </w14:solidFill>
          </w14:textFill>
        </w:rPr>
        <w:t>发展“前店后厂”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21"/>
          <w:shd w:val="clear"/>
          <w:lang w:val="en-US" w:eastAsia="zh-CN"/>
          <w14:textFill>
            <w14:solidFill>
              <w14:schemeClr w14:val="tx1"/>
            </w14:solidFill>
          </w14:textFill>
        </w:rPr>
        <w:t>联动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21"/>
          <w:shd w:val="clear"/>
          <w14:textFill>
            <w14:solidFill>
              <w14:schemeClr w14:val="tx1"/>
            </w14:solidFill>
          </w14:textFill>
        </w:rPr>
        <w:t>模式，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21"/>
          <w:shd w:val="clear"/>
          <w:lang w:val="en-US" w:eastAsia="zh-CN"/>
          <w14:textFill>
            <w14:solidFill>
              <w14:schemeClr w14:val="tx1"/>
            </w14:solidFill>
          </w14:textFill>
        </w:rPr>
        <w:t>高效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承接核心区功能疏解与产业外溢。加强与海淀区、门头沟区等周边区域产业协同，推动绿色技术、创新人才、应用场景等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创新要素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跨区域流动，链接京津冀绿色产业资源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协同发展绿色制造与文化科技融合产业，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highlight w:val="none"/>
          <w14:textFill>
            <w14:solidFill>
              <w14:schemeClr w14:val="tx1"/>
            </w14:solidFill>
          </w14:textFill>
        </w:rPr>
        <w:t>打造首都西部绿色创新与产业协同发展的重要枢纽。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24"/>
          <w:shd w:val="clear"/>
          <w14:textFill>
            <w14:solidFill>
              <w14:schemeClr w14:val="tx1"/>
            </w14:solidFill>
          </w14:textFill>
        </w:rPr>
        <w:t>积极引入生态环境部、中节能等龙头机构，</w:t>
      </w:r>
      <w:r>
        <w:rPr>
          <w:rFonts w:hint="eastAsia" w:ascii="Times New Roman" w:hAnsi="Times New Roman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布局环境检测认证、碳管理咨询、绿色技术交易等专业服务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24"/>
          <w:shd w:val="clear"/>
          <w14:textFill>
            <w14:solidFill>
              <w14:schemeClr w14:val="tx1"/>
            </w14:solidFill>
          </w14:textFill>
        </w:rPr>
        <w:t>，打造服务首都、辐射京津冀的绿色科技研发应用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24"/>
          <w:shd w:val="clear"/>
          <w:lang w:val="en-US" w:eastAsia="zh-CN"/>
          <w14:textFill>
            <w14:solidFill>
              <w14:schemeClr w14:val="tx1"/>
            </w14:solidFill>
          </w14:textFill>
        </w:rPr>
        <w:t>枢纽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24"/>
          <w:shd w:val="clear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深化“园区—高校—企业”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产学研用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合作机制，促进创新链、产业链、资金链、人才链深度融合，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构建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“区内联动、区外协同、跨域互补”发展格局，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打造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区域创新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协同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与产业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联动发展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关键节点。</w:t>
      </w:r>
    </w:p>
    <w:bookmarkEnd w:id="127"/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1"/>
        <w:rPr>
          <w:rFonts w:hint="default" w:ascii="楷体_GB2312" w:hAnsi="楷体_GB2312" w:eastAsia="楷体_GB2312" w:cs="楷体_GB2312"/>
          <w:b w:val="0"/>
          <w:bCs w:val="0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</w:pPr>
      <w:bookmarkStart w:id="128" w:name="_Toc2340"/>
      <w:bookmarkStart w:id="129" w:name="_Toc8322"/>
      <w:bookmarkStart w:id="130" w:name="_Toc25419"/>
      <w:bookmarkStart w:id="131" w:name="_Toc22420"/>
      <w:bookmarkStart w:id="132" w:name="_Toc20429"/>
      <w:bookmarkStart w:id="133" w:name="_Toc25323"/>
      <w:bookmarkStart w:id="134" w:name="_Toc18475"/>
      <w:bookmarkStart w:id="135" w:name="_Toc22386"/>
      <w:bookmarkStart w:id="136" w:name="_Toc22854"/>
      <w:bookmarkStart w:id="137" w:name="_Toc4788"/>
      <w:r>
        <w:rPr>
          <w:rFonts w:hint="eastAsia" w:ascii="楷体_GB2312" w:hAnsi="楷体_GB2312" w:eastAsia="楷体_GB2312" w:cs="楷体_GB2312"/>
          <w:b w:val="0"/>
          <w:bCs w:val="0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（四）</w:t>
      </w:r>
      <w:bookmarkEnd w:id="128"/>
      <w:bookmarkEnd w:id="129"/>
      <w:bookmarkEnd w:id="130"/>
      <w:r>
        <w:rPr>
          <w:rFonts w:hint="eastAsia" w:ascii="楷体_GB2312" w:hAnsi="楷体_GB2312" w:eastAsia="楷体_GB2312" w:cs="楷体_GB2312"/>
          <w:b w:val="0"/>
          <w:bCs w:val="0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功能</w:t>
      </w:r>
      <w:bookmarkEnd w:id="131"/>
      <w:bookmarkEnd w:id="132"/>
      <w:bookmarkEnd w:id="133"/>
      <w:bookmarkEnd w:id="134"/>
      <w:bookmarkEnd w:id="135"/>
      <w:r>
        <w:rPr>
          <w:rFonts w:hint="eastAsia" w:ascii="楷体_GB2312" w:hAnsi="楷体_GB2312" w:eastAsia="楷体_GB2312" w:cs="楷体_GB2312"/>
          <w:b w:val="0"/>
          <w:bCs w:val="0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布局</w:t>
      </w:r>
      <w:bookmarkEnd w:id="136"/>
      <w:bookmarkEnd w:id="137"/>
    </w:p>
    <w:p>
      <w:pPr>
        <w:numPr>
          <w:ilvl w:val="0"/>
          <w:numId w:val="0"/>
        </w:numPr>
        <w:shd w:val="clear" w:color="auto" w:fill="FFFFFF"/>
        <w:autoSpaceDE w:val="0"/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立足园区规划定位，统筹空间资源禀赋和产业发展需求，构建“四区一带”总体空间发展格局，统筹生产、生活和生态三大功能空间，推动空间集约高效利用与功能协同联动</w:t>
      </w:r>
      <w:r>
        <w:rPr>
          <w:rFonts w:hint="eastAsia" w:ascii="仿宋_GB2312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（见图3）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numPr>
          <w:ilvl w:val="0"/>
          <w:numId w:val="0"/>
        </w:numPr>
        <w:shd w:val="clear" w:color="auto" w:fill="FFFFFF"/>
        <w:autoSpaceDE w:val="0"/>
        <w:spacing w:line="560" w:lineRule="exact"/>
        <w:ind w:firstLine="643" w:firstLineChars="200"/>
        <w:outlineLvl w:val="2"/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Times New Roman" w:hAnsi="Times New Roman" w:eastAsia="仿宋_GB2312" w:cs="Times New Roman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四区协同：数智工厂区、绿色产业区、综合服务区、商务休闲区</w:t>
      </w:r>
    </w:p>
    <w:p>
      <w:pPr>
        <w:numPr>
          <w:ilvl w:val="0"/>
          <w:numId w:val="0"/>
        </w:numPr>
        <w:shd w:val="clear" w:color="auto" w:fill="FFFFFF"/>
        <w:autoSpaceDE w:val="0"/>
        <w:spacing w:line="560" w:lineRule="exact"/>
        <w:ind w:firstLine="643" w:firstLineChars="200"/>
        <w:jc w:val="left"/>
        <w:rPr>
          <w:rFonts w:hint="eastAsia" w:ascii="Times New Roman" w:hAnsi="Times New Roman" w:eastAsia="仿宋_GB2312"/>
          <w:b/>
          <w:bCs/>
          <w:color w:val="000000" w:themeColor="text1"/>
          <w:sz w:val="32"/>
          <w:highlight w:val="yellow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数智工厂区：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以西山机械厂中飞科技园为核心载体，聚焦绿色智能制造与中试转化核心功能，推进老旧厂房智能化、低碳化改造升级，重点布局中试平台、绿色制造研发中心等业态，配套建设共享中试设备、环保处理设施，打造集技术研发、工艺优化、小批量试制于一体的产业升级示范核心区，实现生产发展与生态保护协同共进。</w:t>
      </w:r>
    </w:p>
    <w:p>
      <w:pPr>
        <w:numPr>
          <w:ilvl w:val="0"/>
          <w:numId w:val="0"/>
        </w:numPr>
        <w:shd w:val="clear" w:color="auto" w:fill="FFFFFF"/>
        <w:autoSpaceDE w:val="0"/>
        <w:spacing w:line="560" w:lineRule="exact"/>
        <w:ind w:firstLine="643" w:firstLineChars="200"/>
        <w:rPr>
          <w:rFonts w:hint="eastAsia" w:ascii="Times New Roman" w:hAnsi="Times New Roman" w:eastAsia="仿宋_GB2312" w:cs="Times New Roman"/>
          <w:color w:val="000000" w:themeColor="text1"/>
          <w:sz w:val="32"/>
          <w:highlight w:val="yellow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绿色产业区：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位于园区五里坨西部发展预留用地，对标国家零碳园区建设标准，全面推行“工业上楼”模式，集约高效利用土地资源，配套建设高标准绿色技术中试平台、低碳新材料研发空间，重点集聚绿色低碳技术研发、数字低碳解决方案、节能环保服务等核心业态，构建“技术研发—中试验证—成果转化”全链条绿色产业生态。</w:t>
      </w:r>
    </w:p>
    <w:p>
      <w:pPr>
        <w:numPr>
          <w:ilvl w:val="0"/>
          <w:numId w:val="0"/>
        </w:numPr>
        <w:shd w:val="clear" w:color="auto" w:fill="FFFFFF"/>
        <w:autoSpaceDE w:val="0"/>
        <w:spacing w:line="560" w:lineRule="exact"/>
        <w:ind w:firstLine="643" w:firstLineChars="200"/>
        <w:rPr>
          <w:rFonts w:hint="eastAsia" w:ascii="Times New Roman" w:hAnsi="Times New Roman" w:eastAsia="仿宋_GB2312" w:cs="Times New Roman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综合服务区：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位于园区053地块和055地块，紧扣“产城融合”发展需求，整合商务办公、科技康养、绿色专业服务及高品质居住配套功能，重点布局企业总部、研发办公、人才公寓、政务服务中心、智慧康养等载体，配套建设青创基地、共享会议室、创业孵化空间，打造服务园区企业与人才的一站式综合服务枢纽，实现工作、生活和创业无缝衔接。</w:t>
      </w:r>
    </w:p>
    <w:p>
      <w:pPr>
        <w:numPr>
          <w:ilvl w:val="0"/>
          <w:numId w:val="0"/>
        </w:numPr>
        <w:shd w:val="clear" w:color="auto" w:fill="FFFFFF"/>
        <w:autoSpaceDE w:val="0"/>
        <w:spacing w:line="560" w:lineRule="exact"/>
        <w:ind w:firstLine="643" w:firstLineChars="200"/>
        <w:rPr>
          <w:rFonts w:hint="eastAsia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商务休闲区：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位于潭峪路两侧地块，联动西部浅山生态资源，建设文科商旅体展深度融合的高品质商业综合体，重点强化商务接待、特色商业、休闲娱乐功能，引入品牌首店、夜间经济场景、生态文旅体验项目，配套建设社区商业中心、亲子活动空间、健康休闲场馆，完善区域消费与社交功能，全面提升西部地区商业服务能级。</w:t>
      </w:r>
    </w:p>
    <w:p>
      <w:pPr>
        <w:numPr>
          <w:ilvl w:val="0"/>
          <w:numId w:val="0"/>
        </w:numPr>
        <w:shd w:val="clear" w:color="auto" w:fill="FFFFFF"/>
        <w:autoSpaceDE w:val="0"/>
        <w:spacing w:line="560" w:lineRule="exact"/>
        <w:ind w:firstLine="643" w:firstLineChars="200"/>
        <w:outlineLvl w:val="2"/>
        <w:rPr>
          <w:rFonts w:hint="eastAsia" w:ascii="Times New Roman" w:hAnsi="Times New Roman" w:eastAsia="仿宋_GB2312" w:cs="Times New Roman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Times New Roman" w:hAnsi="Times New Roman" w:eastAsia="仿宋_GB2312" w:cs="Times New Roman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一带串联：活力共享绿带</w:t>
      </w:r>
    </w:p>
    <w:p>
      <w:pPr>
        <w:numPr>
          <w:ilvl w:val="0"/>
          <w:numId w:val="0"/>
        </w:numPr>
        <w:shd w:val="clear" w:color="auto" w:fill="FFFFFF"/>
        <w:autoSpaceDE w:val="0"/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构建贯穿园区东中西的线性绿色廊道，衔接数智工厂区、绿色产业区、综合服务区和商务休闲区，融合通勤联络、生态休闲、公共活动三大功能。绿带内规划连续慢行步道、口袋公园、生态驿站，串联产业载体、居住社区与公共空间，植入绿色低碳技术展示、科普教育等场景，打造“可走、可游、可赏”的绿色纽带，促进各片区功能互动与空间融合。</w:t>
      </w:r>
    </w:p>
    <w:p>
      <w:pPr>
        <w:pStyle w:val="8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59070" cy="2011680"/>
            <wp:effectExtent l="0" t="0" r="11430" b="7620"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shd w:val="clear" w:color="auto" w:fill="FFFFFF"/>
        <w:autoSpaceDE w:val="0"/>
        <w:spacing w:line="560" w:lineRule="exact"/>
        <w:ind w:firstLineChars="0"/>
        <w:jc w:val="center"/>
        <w:rPr>
          <w:rFonts w:hint="eastAsia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图3功能分区布局图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1"/>
        <w:rPr>
          <w:rFonts w:hint="eastAsia" w:ascii="楷体_GB2312" w:hAnsi="楷体_GB2312" w:eastAsia="楷体_GB2312" w:cs="楷体_GB2312"/>
          <w:b w:val="0"/>
          <w:bCs w:val="0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</w:pPr>
      <w:bookmarkStart w:id="138" w:name="_Toc18390"/>
      <w:r>
        <w:rPr>
          <w:rFonts w:hint="eastAsia" w:ascii="楷体_GB2312" w:hAnsi="楷体_GB2312" w:eastAsia="楷体_GB2312" w:cs="楷体_GB2312"/>
          <w:b w:val="0"/>
          <w:bCs w:val="0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（五）发展目标</w:t>
      </w:r>
      <w:bookmarkEnd w:id="138"/>
    </w:p>
    <w:p>
      <w:pPr>
        <w:shd w:val="clear" w:color="auto" w:fill="FFFFFF"/>
        <w:autoSpaceDE w:val="0"/>
        <w:spacing w:line="560" w:lineRule="exact"/>
        <w:ind w:firstLine="640" w:firstLineChars="200"/>
        <w:rPr>
          <w:rFonts w:hint="eastAsia" w:ascii="Times New Roman" w:hAnsi="Times New Roman" w:eastAsia="仿宋_GB2312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至2027年，</w:t>
      </w:r>
      <w:r>
        <w:rPr>
          <w:rFonts w:hint="eastAsia" w:ascii="Times New Roman" w:hAnsi="Times New Roman" w:eastAsia="仿宋_GB2312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园区建设</w:t>
      </w:r>
      <w:r>
        <w:rPr>
          <w:rFonts w:hint="default" w:ascii="Times New Roman" w:hAnsi="Times New Roman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全面启动</w:t>
      </w:r>
      <w:r>
        <w:rPr>
          <w:rFonts w:hint="eastAsia" w:ascii="Times New Roman" w:hAnsi="Times New Roman" w:eastAsia="仿宋_GB2312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实施</w:t>
      </w:r>
      <w:r>
        <w:rPr>
          <w:rFonts w:hint="default" w:ascii="Times New Roman" w:hAnsi="Times New Roman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，空间载体与基础设施骨架基本</w:t>
      </w:r>
      <w:r>
        <w:rPr>
          <w:rFonts w:hint="eastAsia" w:ascii="Times New Roman" w:hAnsi="Times New Roman" w:eastAsia="仿宋_GB2312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搭建完成</w:t>
      </w:r>
      <w:r>
        <w:rPr>
          <w:rFonts w:hint="default" w:ascii="Times New Roman" w:hAnsi="Times New Roman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，主导产业发展方向</w:t>
      </w:r>
      <w:r>
        <w:rPr>
          <w:rFonts w:hint="eastAsia" w:ascii="Times New Roman" w:hAnsi="Times New Roman" w:eastAsia="仿宋_GB2312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明确</w:t>
      </w:r>
      <w:r>
        <w:rPr>
          <w:rFonts w:hint="default" w:ascii="Times New Roman" w:hAnsi="Times New Roman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清晰，初步构建以绿色低碳为核心的产业生态</w:t>
      </w:r>
      <w:r>
        <w:rPr>
          <w:rFonts w:hint="eastAsia" w:ascii="Times New Roman" w:hAnsi="Times New Roman" w:eastAsia="仿宋_GB2312"/>
          <w:color w:val="000000" w:themeColor="text1"/>
          <w:sz w:val="32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仿宋_GB2312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发展成效初步彰显，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特色产业园初步建成</w:t>
      </w:r>
      <w:r>
        <w:rPr>
          <w:rFonts w:hint="default" w:ascii="Times New Roman" w:hAnsi="Times New Roman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。</w:t>
      </w:r>
    </w:p>
    <w:p>
      <w:pPr>
        <w:shd w:val="clear" w:color="auto" w:fill="FFFFFF"/>
        <w:autoSpaceDE w:val="0"/>
        <w:spacing w:line="560" w:lineRule="exact"/>
        <w:ind w:firstLine="640" w:firstLineChars="200"/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至2030年，</w:t>
      </w:r>
      <w:r>
        <w:rPr>
          <w:rFonts w:hint="eastAsia" w:ascii="Times New Roman" w:hAnsi="Times New Roman" w:eastAsia="仿宋_GB2312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园区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发展成效显著提升，</w:t>
      </w:r>
      <w:r>
        <w:rPr>
          <w:rFonts w:hint="eastAsia" w:ascii="Times New Roman" w:hAnsi="Times New Roman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创新链与产业链深度融合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，特色产业集群竞争力明显增强，经济发展实现质效跃升，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争创市级特色产业园，力争纳入中关村石景山园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shd w:val="clear" w:color="auto" w:fill="FFFFFF"/>
        <w:autoSpaceDE w:val="0"/>
        <w:spacing w:line="560" w:lineRule="exact"/>
        <w:ind w:firstLine="640" w:firstLineChars="200"/>
        <w:rPr>
          <w:rFonts w:hint="eastAsia"/>
          <w:lang w:val="en-US" w:eastAsia="zh-CN"/>
        </w:rPr>
      </w:pP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至2035年，</w:t>
      </w:r>
      <w:r>
        <w:rPr>
          <w:rFonts w:hint="eastAsia" w:ascii="Times New Roman" w:hAnsi="Times New Roman" w:eastAsia="仿宋_GB2312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园区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发展实现示范引领，现代化产业高地全面建成投用，产业集群品牌影响力显著提升，经济发展迈入高质量发展新阶段，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shd w:val="clear" w:color="auto" w:fill="auto"/>
          <w:lang w:val="en-US" w:eastAsia="zh-CN" w:bidi="ar-SA"/>
        </w:rPr>
        <w:t>地均产出比肩中关村水平，打造成为京西科创示范标杆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keepNext/>
        <w:keepLines/>
        <w:widowControl w:val="0"/>
        <w:numPr>
          <w:ilvl w:val="-1"/>
          <w:numId w:val="0"/>
        </w:numPr>
        <w:shd w:val="clear" w:color="auto" w:fill="FFFFFF"/>
        <w:autoSpaceDE w:val="0"/>
        <w:bidi w:val="0"/>
        <w:spacing w:line="560" w:lineRule="exact"/>
        <w:ind w:firstLine="640" w:firstLineChars="200"/>
        <w:jc w:val="both"/>
        <w:outlineLvl w:val="0"/>
        <w:rPr>
          <w:rFonts w:hint="eastAsia" w:ascii="Times New Roman" w:hAnsi="Times New Roman" w:eastAsia="黑体" w:cs="Times New Roman"/>
          <w:b w:val="0"/>
          <w:bCs w:val="0"/>
          <w:color w:val="000000" w:themeColor="text1"/>
          <w:kern w:val="2"/>
          <w:sz w:val="32"/>
          <w:szCs w:val="48"/>
          <w:lang w:val="en-US" w:eastAsia="zh-CN" w:bidi="ar-SA"/>
          <w14:textFill>
            <w14:solidFill>
              <w14:schemeClr w14:val="tx1"/>
            </w14:solidFill>
          </w14:textFill>
        </w:rPr>
      </w:pPr>
      <w:bookmarkStart w:id="139" w:name="_Toc12419"/>
      <w:bookmarkStart w:id="140" w:name="_Toc10293"/>
      <w:bookmarkStart w:id="141" w:name="_Toc5180"/>
      <w:bookmarkStart w:id="142" w:name="_Toc31726"/>
      <w:bookmarkStart w:id="143" w:name="_Toc4056"/>
      <w:bookmarkStart w:id="144" w:name="_Toc3562"/>
      <w:bookmarkStart w:id="145" w:name="_Toc32240"/>
      <w:bookmarkStart w:id="146" w:name="_Toc12137"/>
      <w:bookmarkStart w:id="147" w:name="_Toc1876"/>
      <w:bookmarkStart w:id="148" w:name="_Toc11965"/>
      <w:r>
        <w:rPr>
          <w:rFonts w:hint="eastAsia" w:ascii="Times New Roman" w:hAnsi="Times New Roman" w:eastAsia="黑体" w:cs="Times New Roman"/>
          <w:b w:val="0"/>
          <w:bCs w:val="0"/>
          <w:color w:val="000000" w:themeColor="text1"/>
          <w:kern w:val="2"/>
          <w:sz w:val="32"/>
          <w:szCs w:val="48"/>
          <w:lang w:val="en-US" w:eastAsia="zh-CN" w:bidi="ar-SA"/>
          <w14:textFill>
            <w14:solidFill>
              <w14:schemeClr w14:val="tx1"/>
            </w14:solidFill>
          </w14:textFill>
        </w:rPr>
        <w:t>四、重点任务</w:t>
      </w:r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1"/>
        <w:rPr>
          <w:rFonts w:hint="default" w:ascii="楷体" w:hAnsi="楷体" w:eastAsia="楷体" w:cs="楷体"/>
          <w:b w:val="0"/>
          <w:bCs w:val="0"/>
          <w:color w:val="000000" w:themeColor="text1"/>
          <w:sz w:val="32"/>
          <w:szCs w:val="40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149" w:name="_Toc19918"/>
      <w:bookmarkStart w:id="150" w:name="_Toc32110"/>
      <w:bookmarkStart w:id="151" w:name="_Toc29654"/>
      <w:bookmarkStart w:id="152" w:name="_Toc8132"/>
      <w:bookmarkStart w:id="153" w:name="OLE_LINK3"/>
      <w:bookmarkStart w:id="154" w:name="_Toc4513"/>
      <w:bookmarkStart w:id="155" w:name="_Toc2809"/>
      <w:bookmarkStart w:id="156" w:name="_Toc17240"/>
      <w:bookmarkStart w:id="157" w:name="_Toc29975"/>
      <w:bookmarkStart w:id="158" w:name="_Toc10198"/>
      <w:bookmarkStart w:id="159" w:name="_Toc21423"/>
      <w:r>
        <w:rPr>
          <w:rFonts w:hint="eastAsia" w:ascii="楷体" w:hAnsi="楷体" w:eastAsia="楷体" w:cs="楷体"/>
          <w:b w:val="0"/>
          <w:bCs w:val="0"/>
          <w:color w:val="000000" w:themeColor="text1"/>
          <w:sz w:val="32"/>
          <w:szCs w:val="40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（一）以绿为底，打造京西发展动力源</w:t>
      </w:r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</w:p>
    <w:p>
      <w:pPr>
        <w:numPr>
          <w:ilvl w:val="0"/>
          <w:numId w:val="0"/>
        </w:numPr>
        <w:shd w:val="clear" w:color="auto" w:fill="FFFFFF"/>
        <w:autoSpaceDE w:val="0"/>
        <w:spacing w:line="560" w:lineRule="exact"/>
        <w:ind w:leftChars="0" w:firstLine="640" w:firstLineChars="200"/>
        <w:outlineLvl w:val="9"/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立足市级高新区“西部发展主引擎”定位，</w:t>
      </w:r>
      <w:r>
        <w:rPr>
          <w:rFonts w:hint="eastAsia" w:ascii="Times New Roman" w:hAnsi="Times New Roman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锚定全区“254”现代化产业体系</w:t>
      </w:r>
      <w:r>
        <w:rPr>
          <w:rFonts w:hint="eastAsia" w:ascii="Times New Roman" w:hAnsi="Times New Roman" w:eastAsia="仿宋_GB2312"/>
          <w:color w:val="000000" w:themeColor="text1"/>
          <w:sz w:val="32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以</w:t>
      </w:r>
      <w:r>
        <w:rPr>
          <w:rFonts w:hint="eastAsia" w:ascii="Times New Roman" w:hAnsi="Times New Roman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绿色低碳</w:t>
      </w:r>
      <w:r>
        <w:rPr>
          <w:rFonts w:hint="eastAsia" w:ascii="Times New Roman" w:hAnsi="Times New Roman" w:eastAsia="仿宋_GB2312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为核心理念</w:t>
      </w:r>
      <w:r>
        <w:rPr>
          <w:rFonts w:hint="eastAsia" w:ascii="Times New Roman" w:hAnsi="Times New Roman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仿宋_GB2312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推动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科技创新与产业转型深度融合，聚焦绿色制造与文化科技融合两大方向，重点发展资源环境与节能环保、“254”产业相关绿色科技研发服务业及新型高端制造业。</w:t>
      </w:r>
      <w:r>
        <w:rPr>
          <w:rFonts w:hint="eastAsia" w:ascii="Times New Roman" w:hAnsi="Times New Roman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依托低成本空间与精准政策叠加优势，承接中关村石景山园创新外溢与产业配套，打造立足京西、服务首都、</w:t>
      </w:r>
      <w:r>
        <w:rPr>
          <w:rFonts w:hint="eastAsia" w:ascii="Times New Roman" w:hAnsi="Times New Roman" w:eastAsia="仿宋_GB2312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联动</w:t>
      </w:r>
      <w:r>
        <w:rPr>
          <w:rFonts w:hint="eastAsia" w:ascii="Times New Roman" w:hAnsi="Times New Roman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京津冀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的产业集聚区。</w:t>
      </w:r>
    </w:p>
    <w:p>
      <w:pPr>
        <w:numPr>
          <w:ilvl w:val="-1"/>
          <w:numId w:val="0"/>
        </w:numPr>
        <w:shd w:val="clear" w:color="auto" w:fill="FFFFFF"/>
        <w:autoSpaceDE w:val="0"/>
        <w:spacing w:line="560" w:lineRule="exact"/>
        <w:ind w:firstLine="643" w:firstLineChars="200"/>
        <w:outlineLvl w:val="2"/>
        <w:rPr>
          <w:rFonts w:hint="eastAsia" w:ascii="Times New Roman" w:hAnsi="Times New Roman" w:eastAsia="仿宋_GB2312"/>
          <w:b/>
          <w:bCs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培育以资源环境与节能环保、数智设计等为优势的研发服务</w:t>
      </w:r>
    </w:p>
    <w:p>
      <w:pPr>
        <w:numPr>
          <w:ilvl w:val="0"/>
          <w:numId w:val="0"/>
        </w:numPr>
        <w:shd w:val="clear" w:color="auto" w:fill="FFFFFF"/>
        <w:autoSpaceDE w:val="0"/>
        <w:spacing w:line="560" w:lineRule="exact"/>
        <w:ind w:firstLine="640" w:firstLineChars="200"/>
        <w:outlineLvl w:val="9"/>
        <w:rPr>
          <w:rFonts w:hint="eastAsia" w:ascii="Times New Roman" w:hAnsi="Times New Roman" w:eastAsia="仿宋_GB2312"/>
          <w:color w:val="000000" w:themeColor="text1"/>
          <w:sz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以综合服务区</w:t>
      </w:r>
      <w:r>
        <w:rPr>
          <w:rFonts w:hint="eastAsia" w:ascii="Times New Roman" w:hAnsi="Times New Roman" w:eastAsia="仿宋_GB2312" w:cs="Times New Roman"/>
          <w:b w:val="0"/>
          <w:bCs w:val="0"/>
          <w:color w:val="000000" w:themeColor="text1"/>
          <w:sz w:val="32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 w:eastAsia="仿宋_GB2312" w:cs="Times New Roman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数智工厂区</w:t>
      </w:r>
      <w:r>
        <w:rPr>
          <w:rFonts w:hint="eastAsia" w:ascii="Times New Roman" w:hAnsi="Times New Roman" w:eastAsia="仿宋_GB2312" w:cs="Times New Roman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为</w:t>
      </w:r>
      <w:r>
        <w:rPr>
          <w:rFonts w:hint="eastAsia" w:ascii="Times New Roman" w:hAnsi="Times New Roman" w:eastAsia="仿宋_GB2312" w:cs="Times New Roman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核心</w:t>
      </w:r>
      <w:r>
        <w:rPr>
          <w:rFonts w:hint="eastAsia" w:ascii="Times New Roman" w:hAnsi="Times New Roman" w:eastAsia="仿宋_GB2312" w:cs="Times New Roman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载体，</w:t>
      </w:r>
      <w:r>
        <w:rPr>
          <w:rFonts w:hint="eastAsia" w:ascii="Times New Roman" w:hAnsi="Times New Roman" w:eastAsia="仿宋_GB2312" w:cs="Times New Roman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聚焦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24"/>
          <w:shd w:val="clear" w:fill="FFFFFF"/>
          <w14:textFill>
            <w14:solidFill>
              <w14:schemeClr w14:val="tx1"/>
            </w14:solidFill>
          </w14:textFill>
        </w:rPr>
        <w:t>研发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24"/>
          <w:shd w:val="clear"/>
          <w:lang w:val="en-US" w:eastAsia="zh-CN"/>
          <w14:textFill>
            <w14:solidFill>
              <w14:schemeClr w14:val="tx1"/>
            </w14:solidFill>
          </w14:textFill>
        </w:rPr>
        <w:t>试验与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24"/>
          <w:shd w:val="clear" w:fill="FFFFFF"/>
          <w14:textFill>
            <w14:solidFill>
              <w14:schemeClr w14:val="tx1"/>
            </w14:solidFill>
          </w14:textFill>
        </w:rPr>
        <w:t>专业技术服务</w:t>
      </w:r>
      <w:r>
        <w:rPr>
          <w:rFonts w:hint="eastAsia" w:ascii="Times New Roman" w:hAnsi="Times New Roman" w:eastAsia="仿宋_GB2312" w:cs="Times New Roman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，培育</w:t>
      </w:r>
      <w:r>
        <w:rPr>
          <w:rFonts w:hint="eastAsia" w:ascii="Times New Roman" w:hAnsi="Times New Roman" w:eastAsia="仿宋_GB2312" w:cs="Times New Roman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高附加值研发服务</w:t>
      </w:r>
      <w:r>
        <w:rPr>
          <w:rFonts w:hint="eastAsia" w:ascii="Times New Roman" w:hAnsi="Times New Roman" w:eastAsia="仿宋_GB2312" w:cs="Times New Roman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业态</w:t>
      </w:r>
      <w:r>
        <w:rPr>
          <w:rFonts w:hint="eastAsia" w:ascii="Times New Roman" w:hAnsi="Times New Roman" w:eastAsia="仿宋_GB2312" w:cs="Times New Roman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highlight w:val="none"/>
          <w14:textFill>
            <w14:solidFill>
              <w14:schemeClr w14:val="tx1"/>
            </w14:solidFill>
          </w14:textFill>
        </w:rPr>
        <w:t>一是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做强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highlight w:val="none"/>
          <w14:textFill>
            <w14:solidFill>
              <w14:schemeClr w14:val="tx1"/>
            </w14:solidFill>
          </w14:textFill>
        </w:rPr>
        <w:t>绿色科技研发服务。</w:t>
      </w:r>
      <w:r>
        <w:rPr>
          <w:rFonts w:hint="eastAsia" w:ascii="Times New Roman" w:hAnsi="Times New Roman" w:eastAsia="仿宋_GB2312"/>
          <w:color w:val="000000" w:themeColor="text1"/>
          <w:sz w:val="32"/>
          <w:highlight w:val="none"/>
          <w14:textFill>
            <w14:solidFill>
              <w14:schemeClr w14:val="tx1"/>
            </w14:solidFill>
          </w14:textFill>
        </w:rPr>
        <w:t>围绕生态环境治理、低碳新材料研制，重点发展资源循环利用装备研发、超低能耗建筑技术、绿色建材研发等业态，筑牢绿色低碳产业</w:t>
      </w:r>
      <w:r>
        <w:rPr>
          <w:rFonts w:hint="eastAsia" w:ascii="Times New Roman" w:hAnsi="Times New Roman" w:eastAsia="仿宋_GB2312"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基础</w:t>
      </w:r>
      <w:r>
        <w:rPr>
          <w:rFonts w:hint="eastAsia" w:ascii="Times New Roman" w:hAnsi="Times New Roman" w:eastAsia="仿宋_GB2312"/>
          <w:color w:val="000000" w:themeColor="text1"/>
          <w:sz w:val="32"/>
          <w:highlight w:val="none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highlight w:val="none"/>
          <w14:textFill>
            <w14:solidFill>
              <w14:schemeClr w14:val="tx1"/>
            </w14:solidFill>
          </w14:textFill>
        </w:rPr>
        <w:t>二是拓展两业融合数智服务。</w:t>
      </w:r>
      <w:r>
        <w:rPr>
          <w:rFonts w:hint="eastAsia" w:ascii="Times New Roman" w:hAnsi="Times New Roman" w:eastAsia="仿宋_GB2312"/>
          <w:color w:val="000000" w:themeColor="text1"/>
          <w:sz w:val="32"/>
          <w:highlight w:val="none"/>
          <w14:textFill>
            <w14:solidFill>
              <w14:schemeClr w14:val="tx1"/>
            </w14:solidFill>
          </w14:textFill>
        </w:rPr>
        <w:t>围绕智能建造、数智设计等领域，发展工业产品数智设计、数智化环境监测检测等业态，强化产业链协同联动。发展</w:t>
      </w:r>
      <w:r>
        <w:rPr>
          <w:rFonts w:hint="eastAsia" w:ascii="Times New Roman" w:hAnsi="Times New Roman" w:eastAsia="仿宋_GB2312"/>
          <w:color w:val="000000" w:themeColor="text1"/>
          <w:sz w:val="32"/>
          <w:highlight w:val="none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Times New Roman" w:hAnsi="Times New Roman" w:eastAsia="仿宋_GB2312"/>
          <w:color w:val="000000" w:themeColor="text1"/>
          <w:sz w:val="32"/>
          <w:highlight w:val="none"/>
          <w14:textFill>
            <w14:solidFill>
              <w14:schemeClr w14:val="tx1"/>
            </w14:solidFill>
          </w14:textFill>
        </w:rPr>
        <w:t>人工智能+视听</w:t>
      </w:r>
      <w:r>
        <w:rPr>
          <w:rFonts w:hint="eastAsia" w:ascii="Times New Roman" w:hAnsi="Times New Roman" w:eastAsia="仿宋_GB2312"/>
          <w:color w:val="000000" w:themeColor="text1"/>
          <w:sz w:val="32"/>
          <w:highlight w:val="none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Times New Roman" w:hAnsi="Times New Roman" w:eastAsia="仿宋_GB2312"/>
          <w:color w:val="000000" w:themeColor="text1"/>
          <w:sz w:val="32"/>
          <w:highlight w:val="none"/>
          <w14:textFill>
            <w14:solidFill>
              <w14:schemeClr w14:val="tx1"/>
            </w14:solidFill>
          </w14:textFill>
        </w:rPr>
        <w:t>、内容创作等文化科技融合业态，丰富产业融合场景。</w:t>
      </w:r>
    </w:p>
    <w:p>
      <w:pPr>
        <w:numPr>
          <w:ilvl w:val="-1"/>
          <w:numId w:val="0"/>
        </w:numPr>
        <w:shd w:val="clear" w:color="auto" w:fill="FFFFFF"/>
        <w:autoSpaceDE w:val="0"/>
        <w:spacing w:line="560" w:lineRule="exact"/>
        <w:ind w:firstLine="643" w:firstLineChars="200"/>
        <w:outlineLvl w:val="2"/>
        <w:rPr>
          <w:rFonts w:hint="eastAsia" w:ascii="Times New Roman" w:hAnsi="Times New Roman" w:eastAsia="仿宋_GB2312"/>
          <w:b/>
          <w:bCs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发展以“254”前沿增量领域为特色的新型高端制造</w:t>
      </w:r>
    </w:p>
    <w:p>
      <w:pPr>
        <w:numPr>
          <w:ilvl w:val="0"/>
          <w:numId w:val="0"/>
        </w:numPr>
        <w:shd w:val="clear" w:color="auto" w:fill="FFFFFF"/>
        <w:autoSpaceDE w:val="0"/>
        <w:spacing w:line="560" w:lineRule="exact"/>
        <w:ind w:firstLine="640" w:firstLineChars="200"/>
        <w:outlineLvl w:val="9"/>
        <w:rPr>
          <w:rFonts w:hint="eastAsia" w:ascii="Times New Roman" w:hAnsi="Times New Roman" w:eastAsia="仿宋_GB2312" w:cs="Times New Roman"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以数智工厂区、绿色产业区为核心承载，聚焦“254”前沿增量领域和小试中试环节，发展技术密集新型智造业态。</w:t>
      </w:r>
      <w:r>
        <w:rPr>
          <w:rFonts w:hint="eastAsia" w:ascii="Times New Roman" w:hAnsi="Times New Roman" w:eastAsia="仿宋_GB2312" w:cs="Times New Roman"/>
          <w:b/>
          <w:bCs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一是做强新型智造小试中试。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重点发展工业通信芯片、智能控制器等小试中试业态。</w:t>
      </w:r>
      <w:r>
        <w:rPr>
          <w:rFonts w:hint="eastAsia" w:ascii="Times New Roman" w:hAnsi="Times New Roman" w:eastAsia="仿宋_GB2312" w:cs="Times New Roman"/>
          <w:b/>
          <w:bCs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二是培育空天技术等未来空间产业增长点。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24"/>
          <w:highlight w:val="none"/>
          <w:shd w:val="clear" w:fill="FFFFFF"/>
          <w14:textFill>
            <w14:solidFill>
              <w14:schemeClr w14:val="tx1"/>
            </w14:solidFill>
          </w14:textFill>
        </w:rPr>
        <w:t>围绕卫星网络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24"/>
          <w:highlight w:val="none"/>
          <w:shd w:val="clear" w:fill="FFFFFF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24"/>
          <w:highlight w:val="none"/>
          <w:shd w:val="clear" w:fill="FFFFFF"/>
          <w14:textFill>
            <w14:solidFill>
              <w14:schemeClr w14:val="tx1"/>
            </w14:solidFill>
          </w14:textFill>
        </w:rPr>
        <w:t>空间信息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24"/>
          <w:highlight w:val="none"/>
          <w:shd w:val="clear" w:fill="FFFFFF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24"/>
          <w:highlight w:val="none"/>
          <w:shd w:val="clear"/>
          <w14:textFill>
            <w14:solidFill>
              <w14:schemeClr w14:val="tx1"/>
            </w14:solidFill>
          </w14:textFill>
        </w:rPr>
        <w:t>深空探测数字化技术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24"/>
          <w:highlight w:val="none"/>
          <w:shd w:val="clear" w:fill="FFFFFF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24"/>
          <w:highlight w:val="none"/>
          <w:shd w:val="clear"/>
          <w:lang w:val="en-US" w:eastAsia="zh-CN"/>
          <w14:textFill>
            <w14:solidFill>
              <w14:schemeClr w14:val="tx1"/>
            </w14:solidFill>
          </w14:textFill>
        </w:rPr>
        <w:t>空天智能通信装备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24"/>
          <w:highlight w:val="none"/>
          <w:shd w:val="clear" w:fill="FFFFFF"/>
          <w14:textFill>
            <w14:solidFill>
              <w14:schemeClr w14:val="tx1"/>
            </w14:solidFill>
          </w14:textFill>
        </w:rPr>
        <w:t>等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24"/>
          <w:highlight w:val="none"/>
          <w:shd w:val="clear"/>
          <w:lang w:val="en-US" w:eastAsia="zh-CN"/>
          <w14:textFill>
            <w14:solidFill>
              <w14:schemeClr w14:val="tx1"/>
            </w14:solidFill>
          </w14:textFill>
        </w:rPr>
        <w:t>领域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24"/>
          <w:highlight w:val="none"/>
          <w:shd w:val="clear" w:fill="FFFFFF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24"/>
          <w:highlight w:val="none"/>
          <w:shd w:val="clear"/>
          <w:lang w:val="en-US" w:eastAsia="zh-CN"/>
          <w14:textFill>
            <w14:solidFill>
              <w14:schemeClr w14:val="tx1"/>
            </w14:solidFill>
          </w14:textFill>
        </w:rPr>
        <w:t>加快星地异构网络互联融合和激光通信组件、高精度雷达和光学成像器件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、卫星通信终端装备等成果转化，助力北京未来数字空间创新试验区建设。</w:t>
      </w:r>
    </w:p>
    <w:bookmarkEnd w:id="158"/>
    <w:bookmarkEnd w:id="159"/>
    <w:p>
      <w:pPr>
        <w:shd w:val="clear" w:color="auto" w:fill="FFFFFF"/>
        <w:autoSpaceDE w:val="0"/>
        <w:spacing w:line="560" w:lineRule="exact"/>
        <w:ind w:firstLine="643" w:firstLineChars="200"/>
        <w:outlineLvl w:val="2"/>
        <w:rPr>
          <w:rFonts w:hint="default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160" w:name="OLE_LINK8"/>
      <w:bookmarkStart w:id="161" w:name="_Toc3792"/>
      <w:bookmarkStart w:id="162" w:name="_Toc32100"/>
      <w:bookmarkStart w:id="163" w:name="_Toc31784"/>
      <w:bookmarkStart w:id="164" w:name="_Toc12656"/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实施企业梯度培育融通发展</w:t>
      </w:r>
    </w:p>
    <w:p>
      <w:pPr>
        <w:shd w:val="clear" w:color="auto" w:fill="FFFFFF"/>
        <w:autoSpaceDE w:val="0"/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构建</w:t>
      </w:r>
      <w:r>
        <w:rPr>
          <w:rFonts w:hint="default" w:ascii="Times New Roman" w:hAnsi="Times New Roman" w:eastAsia="仿宋_GB2312" w:cs="Times New Roman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领军企业、腰部企业、中小企业梯队培育</w:t>
      </w:r>
      <w:r>
        <w:rPr>
          <w:rFonts w:hint="eastAsia" w:ascii="Times New Roman" w:hAnsi="Times New Roman" w:eastAsia="仿宋_GB2312" w:cs="Times New Roman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体系</w:t>
      </w:r>
      <w:r>
        <w:rPr>
          <w:rFonts w:hint="default" w:ascii="Times New Roman" w:hAnsi="Times New Roman" w:eastAsia="仿宋_GB2312" w:cs="Times New Roman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仿宋_GB2312" w:cs="Times New Roman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推动大中小企业融通发展。</w:t>
      </w:r>
      <w:r>
        <w:rPr>
          <w:rFonts w:hint="eastAsia" w:ascii="Times New Roman" w:hAnsi="Times New Roman" w:eastAsia="仿宋_GB2312" w:cs="Times New Roman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强化领军企业引领，</w:t>
      </w:r>
      <w:r>
        <w:rPr>
          <w:rFonts w:hint="eastAsia" w:ascii="Times New Roman" w:hAnsi="Times New Roman" w:eastAsia="仿宋_GB2312" w:cs="Times New Roman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加快引进科技领军企业与产业链主，深化场景招商、产业链招商、以商招商。</w:t>
      </w:r>
      <w:r>
        <w:rPr>
          <w:rFonts w:hint="eastAsia" w:ascii="Times New Roman" w:hAnsi="Times New Roman" w:eastAsia="仿宋_GB2312" w:cs="Times New Roman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推动腰部企业壮大，</w:t>
      </w:r>
      <w:r>
        <w:rPr>
          <w:rFonts w:hint="eastAsia" w:ascii="Times New Roman" w:hAnsi="Times New Roman" w:eastAsia="仿宋_GB2312" w:cs="Times New Roman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精准引育高潜力创新企业，实施专精特新梯度培育与高新技术企业全生命周期扶持，强化政策、资金与服务支持。</w:t>
      </w:r>
      <w:r>
        <w:rPr>
          <w:rFonts w:hint="eastAsia" w:ascii="Times New Roman" w:hAnsi="Times New Roman" w:eastAsia="仿宋_GB2312" w:cs="Times New Roman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促进大中小企业融通创新</w:t>
      </w:r>
      <w:r>
        <w:rPr>
          <w:rFonts w:hint="eastAsia" w:ascii="Times New Roman" w:hAnsi="Times New Roman" w:eastAsia="仿宋_GB2312" w:cs="Times New Roman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，建立对接机制、共建融通平台、开展“携手行动”，推动大企业开放场景、共享资源，形成以企兴链、以链集群发展格局。</w:t>
      </w:r>
    </w:p>
    <w:p>
      <w:pPr>
        <w:shd w:val="clear" w:color="auto" w:fill="FFFFFF"/>
        <w:autoSpaceDE w:val="0"/>
        <w:spacing w:line="560" w:lineRule="exact"/>
        <w:ind w:firstLine="643" w:firstLineChars="200"/>
        <w:outlineLvl w:val="2"/>
        <w:rPr>
          <w:rFonts w:hint="default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4.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打造高品质的产业空间载体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楷体_GB2312" w:hAnsi="楷体_GB2312" w:eastAsia="楷体_GB2312" w:cs="楷体_GB2312"/>
          <w:b w:val="0"/>
          <w:bCs w:val="0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紧扣绿色低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碳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核心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发展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理念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统筹推动园区、厂房、楼宇建设，优化园区环境品质，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打造适配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主导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产业的高品质空间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高标准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14:textFill>
            <w14:solidFill>
              <w14:schemeClr w14:val="tx1"/>
            </w14:solidFill>
          </w14:textFill>
        </w:rPr>
        <w:t>建设零碳园区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推动园区</w:t>
      </w:r>
      <w:r>
        <w:rPr>
          <w:rFonts w:hint="eastAsia" w:ascii="Times New Roman" w:hAnsi="Times New Roman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低碳零碳改造升级</w:t>
      </w:r>
      <w:r>
        <w:rPr>
          <w:rFonts w:hint="eastAsia" w:ascii="Times New Roman" w:hAnsi="Times New Roman" w:eastAsia="仿宋_GB2312"/>
          <w:color w:val="000000" w:themeColor="text1"/>
          <w:sz w:val="32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鼓励建设极致能效工厂、零碳</w:t>
      </w:r>
      <w:r>
        <w:rPr>
          <w:rFonts w:hint="eastAsia" w:ascii="Times New Roman" w:hAnsi="Times New Roman" w:eastAsia="仿宋_GB2312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建筑</w:t>
      </w:r>
      <w:r>
        <w:rPr>
          <w:rFonts w:hint="eastAsia" w:ascii="Times New Roman" w:hAnsi="Times New Roman" w:eastAsia="仿宋_GB2312"/>
          <w:color w:val="000000" w:themeColor="text1"/>
          <w:sz w:val="32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申请中央专项资金支持，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争创西部地区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碳中和产业社区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有序建设标准化厂房，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盘活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老旧与闲置厂房，推行定制化厂房精准匹配企业需求。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大力建设数智工厂，</w:t>
      </w:r>
      <w:r>
        <w:rPr>
          <w:rFonts w:hint="eastAsia" w:ascii="Times New Roman" w:hAnsi="Times New Roman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培育黑灯工厂，</w:t>
      </w:r>
      <w:r>
        <w:rPr>
          <w:rFonts w:hint="eastAsia" w:ascii="Times New Roman" w:hAnsi="Times New Roman" w:eastAsia="仿宋_GB2312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加快</w:t>
      </w:r>
      <w:r>
        <w:rPr>
          <w:rFonts w:hint="eastAsia" w:ascii="Times New Roman" w:hAnsi="Times New Roman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推动</w:t>
      </w:r>
      <w:r>
        <w:rPr>
          <w:rFonts w:hint="eastAsia" w:ascii="Times New Roman" w:hAnsi="Times New Roman" w:eastAsia="仿宋_GB2312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产业</w:t>
      </w:r>
      <w:r>
        <w:rPr>
          <w:rFonts w:hint="eastAsia" w:ascii="Times New Roman" w:hAnsi="Times New Roman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数</w:t>
      </w:r>
      <w:r>
        <w:rPr>
          <w:rFonts w:hint="eastAsia" w:ascii="Times New Roman" w:hAnsi="Times New Roman" w:eastAsia="仿宋_GB2312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智</w:t>
      </w:r>
      <w:r>
        <w:rPr>
          <w:rFonts w:hint="eastAsia" w:ascii="Times New Roman" w:hAnsi="Times New Roman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化转型，</w:t>
      </w:r>
      <w:r>
        <w:rPr>
          <w:rFonts w:hint="eastAsia" w:ascii="Times New Roman" w:hAnsi="Times New Roman" w:eastAsia="仿宋_GB2312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持续</w:t>
      </w:r>
      <w:r>
        <w:rPr>
          <w:rFonts w:hint="eastAsia" w:ascii="Times New Roman" w:hAnsi="Times New Roman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提升生产效率与产业能级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推动楼宇经济提质增效，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强化楼宇产业承载能力。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营造高品质园区环境，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优化提升园区及其周边区域的整体风貌，一体化打造</w:t>
      </w:r>
      <w:r>
        <w:rPr>
          <w:rFonts w:hint="eastAsia" w:ascii="Times New Roman" w:hAnsi="Times New Roman" w:eastAsia="仿宋_GB2312" w:cs="Times New Roman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活力共享绿带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，构建多层次、多元化交往空间。</w:t>
      </w:r>
      <w:bookmarkEnd w:id="160"/>
      <w:bookmarkEnd w:id="161"/>
      <w:bookmarkEnd w:id="162"/>
      <w:bookmarkEnd w:id="163"/>
      <w:bookmarkEnd w:id="164"/>
      <w:bookmarkStart w:id="165" w:name="_Toc4895"/>
      <w:bookmarkStart w:id="166" w:name="_Toc12627"/>
      <w:bookmarkStart w:id="167" w:name="_Toc30032"/>
      <w:bookmarkStart w:id="168" w:name="_Toc1734"/>
      <w:bookmarkStart w:id="169" w:name="_Toc20291"/>
      <w:bookmarkStart w:id="170" w:name="_Toc14755"/>
      <w:bookmarkStart w:id="171" w:name="_Toc18184"/>
      <w:bookmarkStart w:id="172" w:name="_Toc12018"/>
      <w:bookmarkStart w:id="173" w:name="_Toc15265"/>
      <w:bookmarkStart w:id="174" w:name="_Toc6856"/>
      <w:bookmarkStart w:id="175" w:name="OLE_LINK26"/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1"/>
        <w:rPr>
          <w:rFonts w:hint="default" w:ascii="楷体_GB2312" w:hAnsi="楷体_GB2312" w:eastAsia="楷体_GB2312" w:cs="楷体_GB2312"/>
          <w:b w:val="0"/>
          <w:bCs w:val="0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 w:val="0"/>
          <w:bCs w:val="0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（二）产城互促，</w:t>
      </w:r>
      <w:bookmarkEnd w:id="165"/>
      <w:bookmarkEnd w:id="166"/>
      <w:bookmarkEnd w:id="167"/>
      <w:r>
        <w:rPr>
          <w:rFonts w:hint="eastAsia" w:ascii="楷体_GB2312" w:hAnsi="楷体_GB2312" w:eastAsia="楷体_GB2312" w:cs="楷体_GB2312"/>
          <w:b w:val="0"/>
          <w:bCs w:val="0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建设产城融合新样板</w:t>
      </w:r>
      <w:bookmarkEnd w:id="168"/>
      <w:bookmarkEnd w:id="169"/>
      <w:bookmarkEnd w:id="170"/>
      <w:bookmarkEnd w:id="171"/>
      <w:bookmarkEnd w:id="172"/>
      <w:bookmarkEnd w:id="173"/>
    </w:p>
    <w:bookmarkEnd w:id="174"/>
    <w:p>
      <w:pPr>
        <w:shd w:val="clear" w:color="auto" w:fill="FFFFFF"/>
        <w:autoSpaceDE w:val="0"/>
        <w:spacing w:line="560" w:lineRule="exact"/>
        <w:ind w:firstLine="640" w:firstLineChars="200"/>
        <w:outlineLvl w:val="9"/>
        <w:rPr>
          <w:rFonts w:hint="eastAsia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176" w:name="_Toc16700"/>
      <w:bookmarkStart w:id="177" w:name="_Toc31477"/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立足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市级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高新区“绿色智慧特色园”定位，坚持产业发展与城市功能深度协同，以绿色低碳为基底、人本服务为核心，统筹推进公共服务、交通体系、市政设施、文科商旅体展融合、全龄友好街区建设，打造宜居宜业、智慧高效、富有活力的产城融合示范区，为区域高质量发展提供功能完善、生态友好、韧性宜居的综合承载空间。</w:t>
      </w:r>
    </w:p>
    <w:p>
      <w:pPr>
        <w:shd w:val="clear" w:color="auto" w:fill="FFFFFF"/>
        <w:autoSpaceDE w:val="0"/>
        <w:spacing w:line="560" w:lineRule="exact"/>
        <w:ind w:firstLine="643" w:firstLineChars="200"/>
        <w:outlineLvl w:val="2"/>
        <w:rPr>
          <w:rFonts w:hint="eastAsia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构建优质均衡的公服配套体系</w:t>
      </w:r>
    </w:p>
    <w:p>
      <w:pPr>
        <w:numPr>
          <w:ilvl w:val="0"/>
          <w:numId w:val="0"/>
        </w:numPr>
        <w:shd w:val="clear" w:color="auto" w:fill="FFFFFF"/>
        <w:autoSpaceDE w:val="0"/>
        <w:spacing w:line="560" w:lineRule="exact"/>
        <w:ind w:firstLine="643" w:firstLineChars="200"/>
        <w:rPr>
          <w:rFonts w:hint="eastAsia" w:ascii="Times New Roman" w:hAnsi="Times New Roman" w:eastAsia="仿宋_GB2312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完善园区高品质服务配套，统筹推进公共服务、职住平衡等重点领域建设。积极引导教育、医疗、养老和文化等优质资源向园区周边延伸布局，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优化优质教育设施布局、提高综合医院的服务能力、健全多层次养老服务体系、丰富公共文化服务供给，全面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2"/>
          <w:sz w:val="32"/>
          <w:szCs w:val="32"/>
          <w:highlight w:val="none"/>
          <w:lang w:val="en-US" w:eastAsia="zh-CN" w:bidi="ar"/>
          <w14:textFill>
            <w14:solidFill>
              <w14:schemeClr w14:val="tx1"/>
            </w14:solidFill>
          </w14:textFill>
          <w14:ligatures w14:val="standardContextual"/>
        </w:rPr>
        <w:t>提升园区综合服务品质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推动高品质的职住平衡，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重点保障园区职工住房需求，统筹调配</w:t>
      </w:r>
      <w:r>
        <w:rPr>
          <w:rFonts w:hint="eastAsia" w:ascii="Times New Roman" w:hAnsi="Times New Roman" w:eastAsia="仿宋_GB2312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燕保·景贤园等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存量房源，加快推进高标准安置房、保障性住房和人才公寓建设，</w:t>
      </w:r>
      <w:r>
        <w:rPr>
          <w:rFonts w:hint="eastAsia" w:ascii="Times New Roman" w:hAnsi="Times New Roman" w:eastAsia="仿宋_GB2312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推进定制公交线路等友好设施建设，建设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咖啡厅、会客厅等特色交往空间，构建活力共享的人才社区生态。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培育</w:t>
      </w:r>
      <w:r>
        <w:rPr>
          <w:rFonts w:hint="default" w:ascii="Times New Roman" w:hAnsi="Times New Roman" w:eastAsia="仿宋_GB2312"/>
          <w:b/>
          <w:bCs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壮大康养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服务业态</w:t>
      </w:r>
      <w:r>
        <w:rPr>
          <w:rFonts w:hint="default" w:ascii="Times New Roman" w:hAnsi="Times New Roman" w:eastAsia="仿宋_GB2312"/>
          <w:b/>
          <w:bCs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Times New Roman" w:hAnsi="Times New Roman" w:eastAsia="仿宋_GB2312"/>
          <w:b w:val="0"/>
          <w:bCs w:val="0"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发挥区域高端养老资源与区中医院辐射作用，延伸健康管理、临床治疗、中医康养、旅居养老等特色服务，联动清华大学附属医院等创新资源，培育合成生物、脑机接口、生物信息大数据等未来绿色生物融合业态。</w:t>
      </w:r>
    </w:p>
    <w:p>
      <w:pPr>
        <w:shd w:val="clear" w:color="auto" w:fill="FFFFFF"/>
        <w:autoSpaceDE w:val="0"/>
        <w:spacing w:line="560" w:lineRule="exact"/>
        <w:ind w:firstLine="643" w:firstLineChars="200"/>
        <w:outlineLvl w:val="2"/>
        <w:rPr>
          <w:rFonts w:hint="default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建立高效便捷的综合交通</w:t>
      </w:r>
      <w:bookmarkEnd w:id="176"/>
      <w:bookmarkEnd w:id="177"/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体系</w:t>
      </w:r>
    </w:p>
    <w:p>
      <w:pPr>
        <w:numPr>
          <w:ilvl w:val="0"/>
          <w:numId w:val="0"/>
        </w:numPr>
        <w:shd w:val="clear" w:color="auto" w:fill="FFFFFF"/>
        <w:autoSpaceDE w:val="0"/>
        <w:spacing w:line="560" w:lineRule="exact"/>
        <w:ind w:firstLine="643" w:firstLineChars="200"/>
        <w:rPr>
          <w:rFonts w:hint="eastAsia" w:ascii="Times New Roman" w:hAnsi="Times New Roman" w:eastAsia="仿宋_GB2312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提升园区内外交通易达性，优化对外交通网络、完善内部路网结构和畅通慢行系统。谋划建设高品质、高颜值快速连接通道，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加强市级高新区与中心城区、石景山东中部组团及五大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szCs w:val="24"/>
          <w:lang w:eastAsia="zh-CN"/>
          <w14:textFill>
            <w14:solidFill>
              <w14:schemeClr w14:val="tx1"/>
            </w14:solidFill>
          </w14:textFill>
        </w:rPr>
        <w:t>特色园区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szCs w:val="24"/>
          <w:lang w:val="en-US" w:eastAsia="zh-CN"/>
          <w14:textFill>
            <w14:solidFill>
              <w14:schemeClr w14:val="tx1"/>
            </w14:solidFill>
          </w14:textFill>
        </w:rPr>
        <w:t>的联系，</w:t>
      </w:r>
      <w:r>
        <w:rPr>
          <w:rFonts w:hint="eastAsia" w:ascii="Times New Roman" w:hAnsi="Times New Roman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高标准打造互联互通的产业园区内外部路网，优化交通路网与产业节点衔接</w:t>
      </w:r>
      <w:r>
        <w:rPr>
          <w:rFonts w:hint="eastAsia" w:ascii="Times New Roman" w:hAnsi="Times New Roman" w:eastAsia="仿宋_GB2312"/>
          <w:color w:val="000000" w:themeColor="text1"/>
          <w:sz w:val="32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仿宋_GB2312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全面提升园区通行效率</w:t>
      </w:r>
      <w:r>
        <w:rPr>
          <w:rFonts w:hint="eastAsia" w:ascii="Times New Roman" w:hAnsi="Times New Roman" w:eastAsia="仿宋_GB2312"/>
          <w:color w:val="000000" w:themeColor="text1"/>
          <w:sz w:val="32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增强轨道交通的辐射带动能力，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近期推动1号线高井站启用，远期推动M11号线西北延线建设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，优化轨道交通与地面交通接驳体系，推进站城融合发展。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提升过境交通的联通能力，</w:t>
      </w:r>
      <w:r>
        <w:rPr>
          <w:rFonts w:hint="eastAsia" w:ascii="Times New Roman" w:hAnsi="Times New Roman" w:eastAsia="仿宋_GB2312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研究109快速联络线增设快速联络线出入口，实施断头路贯通与道路拓宽工程，增强跨区域通行能力。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统筹布局跨区域快速公交线路</w:t>
      </w:r>
      <w:r>
        <w:rPr>
          <w:rFonts w:hint="eastAsia" w:ascii="Times New Roman" w:hAnsi="Times New Roman" w:eastAsia="仿宋_GB2312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，加密薄弱区域线路覆盖，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建立公交班次动态调整机制，加快推进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highlight w:val="none"/>
          <w:lang w:val="en-US" w:eastAsia="zh-CN" w:bidi="ar-SA"/>
        </w:rPr>
        <w:t>秀府路等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公交场站规划建设，完善区域性公交换乘体系，提升公交运营保障能力。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优化区域内部交通路网结构</w:t>
      </w:r>
      <w:r>
        <w:rPr>
          <w:rFonts w:hint="eastAsia" w:ascii="Times New Roman" w:hAnsi="Times New Roman" w:eastAsia="仿宋_GB2312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，统筹推进园区内部及周边道路建设与改造，优先打通园区与青石街的联通，畅通内部交通微循环。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系统谋划布局停车设施，</w:t>
      </w:r>
      <w:r>
        <w:rPr>
          <w:rFonts w:hint="eastAsia" w:ascii="Times New Roman" w:hAnsi="Times New Roman" w:eastAsia="仿宋_GB2312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结合重点区域开发建设立体停车设施，缓解静态交通压力。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打造连续友好的慢行系统，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衔接市级绿道</w:t>
      </w:r>
      <w:r>
        <w:rPr>
          <w:rFonts w:hint="eastAsia" w:ascii="Times New Roman" w:hAnsi="Times New Roman" w:eastAsia="仿宋_GB2312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网络规划，建设兼具通勤与休闲功能的慢行通道，串联产业载体、居住社区和公共空间，构建“效率快行、体验慢行”的绿色出行体系，提升园区环境品质。</w:t>
      </w:r>
    </w:p>
    <w:p>
      <w:pPr>
        <w:shd w:val="clear" w:color="auto" w:fill="FFFFFF"/>
        <w:autoSpaceDE w:val="0"/>
        <w:spacing w:line="560" w:lineRule="exact"/>
        <w:ind w:firstLine="643" w:firstLineChars="200"/>
        <w:outlineLvl w:val="2"/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Times New Roman" w:hAnsi="Times New Roman" w:eastAsia="仿宋_GB2312" w:cs="Times New Roman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筑牢安全可靠的市政保障体系</w:t>
      </w:r>
    </w:p>
    <w:p>
      <w:pPr>
        <w:numPr>
          <w:ilvl w:val="0"/>
          <w:numId w:val="0"/>
        </w:numPr>
        <w:shd w:val="clear" w:color="auto" w:fill="FFFFFF"/>
        <w:autoSpaceDE w:val="0"/>
        <w:spacing w:line="560" w:lineRule="exact"/>
        <w:ind w:firstLine="643" w:firstLineChars="200"/>
        <w:rPr>
          <w:rFonts w:hint="default" w:ascii="Times New Roman" w:hAnsi="Times New Roman" w:eastAsia="仿宋_GB2312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增强园区综合承载能力，</w:t>
      </w:r>
      <w:r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构建安全可靠、绿色低碳、智慧高效的市政设施体系</w:t>
      </w:r>
      <w:r>
        <w:rPr>
          <w:rFonts w:hint="eastAsia" w:ascii="Times New Roman" w:hAnsi="Times New Roman" w:eastAsia="仿宋_GB2312" w:cs="Times New Roman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。提升水安全保障与循环利用水平，</w:t>
      </w:r>
      <w:r>
        <w:rPr>
          <w:rFonts w:hint="eastAsia" w:ascii="Times New Roman" w:hAnsi="Times New Roman" w:eastAsia="仿宋_GB2312" w:cs="Times New Roman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优化供水系统，保障园区产业用水需求，推进老旧供水管网更新改造；加快污水处理设施与管网建设，推动再生水利用配套工程，实现污水收集处理率达100%。</w:t>
      </w:r>
      <w:r>
        <w:rPr>
          <w:rFonts w:hint="eastAsia" w:ascii="Times New Roman" w:hAnsi="Times New Roman" w:eastAsia="仿宋_GB2312" w:cs="Times New Roman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构建安全可靠的电力供应网络，</w:t>
      </w:r>
      <w:r>
        <w:rPr>
          <w:rFonts w:hint="eastAsia" w:ascii="Times New Roman" w:hAnsi="Times New Roman" w:eastAsia="仿宋_GB2312" w:cs="Times New Roman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推进变电站增容与线路改造，加强应急抢修能力建设，保障企业用电安全稳定。</w:t>
      </w:r>
      <w:r>
        <w:rPr>
          <w:rFonts w:hint="eastAsia" w:ascii="Times New Roman" w:hAnsi="Times New Roman" w:eastAsia="仿宋_GB2312" w:cs="Times New Roman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推进燃气安全与供热清洁化发展，</w:t>
      </w:r>
      <w:r>
        <w:rPr>
          <w:rFonts w:hint="eastAsia" w:ascii="Times New Roman" w:hAnsi="Times New Roman" w:eastAsia="仿宋_GB2312" w:cs="Times New Roman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实现燃气管网全覆盖，实施老旧管线更新与智能化监测；构建多能互补清洁供热体系，实现清洁能源供热100%。</w:t>
      </w:r>
      <w:r>
        <w:rPr>
          <w:rFonts w:hint="eastAsia" w:ascii="Times New Roman" w:hAnsi="Times New Roman" w:eastAsia="仿宋_GB2312" w:cs="Times New Roman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鼓励变电站、换热站、污水处理厂、垃圾处理等市政设施合理利用地下空间，</w:t>
      </w:r>
      <w:r>
        <w:rPr>
          <w:rFonts w:hint="eastAsia" w:ascii="Times New Roman" w:hAnsi="Times New Roman" w:eastAsia="仿宋_GB2312" w:cs="Times New Roman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增加绿化空间，提升园区环境品质。</w:t>
      </w:r>
    </w:p>
    <w:p>
      <w:pPr>
        <w:numPr>
          <w:ilvl w:val="0"/>
          <w:numId w:val="0"/>
        </w:numPr>
        <w:shd w:val="clear" w:color="auto" w:fill="FFFFFF"/>
        <w:autoSpaceDE w:val="0"/>
        <w:spacing w:line="560" w:lineRule="exact"/>
        <w:ind w:firstLine="643" w:firstLineChars="200"/>
        <w:rPr>
          <w:rFonts w:hint="eastAsia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提高区域安全韧性与应急保障能力，健全完善防灾减灾设施与响应机制。统筹推进“平急两用”基础设施建设，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街区统筹布局应急避难场所、物资储备设施和人防工程，增强公共空间与关键设施的应急功能转换能力。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高质高效推进海绵城市建设，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实施生态化雨水调蓄、河道综合治理与内涝防治工程，提升园区洪涝灾害抵御与水资源调蓄水平。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完善安全生产与应急联动响应机制，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加强跨部门、跨层级协同指挥和救援能力建设，提升园区在风险防控、应急处置和快速恢复的综合韧性。</w:t>
      </w:r>
    </w:p>
    <w:p>
      <w:pPr>
        <w:numPr>
          <w:ilvl w:val="-1"/>
          <w:numId w:val="0"/>
        </w:numPr>
        <w:shd w:val="clear" w:color="auto" w:fill="FFFFFF"/>
        <w:autoSpaceDE w:val="0"/>
        <w:spacing w:line="560" w:lineRule="exact"/>
        <w:ind w:firstLine="643" w:firstLineChars="200"/>
        <w:outlineLvl w:val="2"/>
        <w:rPr>
          <w:rFonts w:hint="eastAsia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4.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打造文科商旅体展融合服务体系</w:t>
      </w:r>
    </w:p>
    <w:p>
      <w:pPr>
        <w:numPr>
          <w:ilvl w:val="-1"/>
          <w:numId w:val="0"/>
        </w:numPr>
        <w:shd w:val="clear" w:color="auto" w:fill="FFFFFF"/>
        <w:autoSpaceDE w:val="0"/>
        <w:spacing w:line="560" w:lineRule="exact"/>
        <w:ind w:firstLine="640" w:firstLineChars="200"/>
        <w:rPr>
          <w:rFonts w:hint="default" w:ascii="Times New Roman" w:hAnsi="Times New Roman" w:eastAsia="仿宋_GB2312"/>
          <w:b w:val="0"/>
          <w:bCs w:val="0"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/>
          <w:color w:val="000000" w:themeColor="text1"/>
          <w:sz w:val="32"/>
          <w:highlight w:val="none"/>
          <w14:textFill>
            <w14:solidFill>
              <w14:schemeClr w14:val="tx1"/>
            </w14:solidFill>
          </w14:textFill>
        </w:rPr>
        <w:t>坚持融合发展理念，</w:t>
      </w:r>
      <w:r>
        <w:rPr>
          <w:rFonts w:hint="default" w:ascii="Times New Roman" w:hAnsi="Times New Roman" w:eastAsia="仿宋_GB2312"/>
          <w:b w:val="0"/>
          <w:bCs w:val="0"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统筹推动文化、科技、商业、旅游、体育、会展等产业融合发展，</w:t>
      </w:r>
      <w:r>
        <w:rPr>
          <w:rFonts w:hint="default" w:ascii="Times New Roman" w:hAnsi="Times New Roman" w:eastAsia="仿宋_GB2312"/>
          <w:color w:val="000000" w:themeColor="text1"/>
          <w:sz w:val="32"/>
          <w:highlight w:val="none"/>
          <w14:textFill>
            <w14:solidFill>
              <w14:schemeClr w14:val="tx1"/>
            </w14:solidFill>
          </w14:textFill>
        </w:rPr>
        <w:t>培育文旅融合新业态，创新文旅融合新模式</w:t>
      </w:r>
      <w:r>
        <w:rPr>
          <w:rFonts w:hint="default" w:ascii="Times New Roman" w:hAnsi="Times New Roman" w:eastAsia="仿宋_GB2312"/>
          <w:b w:val="0"/>
          <w:bCs w:val="0"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Times New Roman" w:hAnsi="Times New Roman" w:eastAsia="仿宋_GB2312"/>
          <w:color w:val="000000" w:themeColor="text1"/>
          <w:sz w:val="32"/>
          <w:highlight w:val="none"/>
          <w14:textFill>
            <w14:solidFill>
              <w14:schemeClr w14:val="tx1"/>
            </w14:solidFill>
          </w14:textFill>
        </w:rPr>
        <w:t>支撑</w:t>
      </w:r>
      <w:r>
        <w:rPr>
          <w:rFonts w:hint="eastAsia" w:ascii="Times New Roman" w:hAnsi="Times New Roman" w:eastAsia="仿宋_GB2312"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西部地区</w:t>
      </w:r>
      <w:r>
        <w:rPr>
          <w:rFonts w:hint="default" w:ascii="Times New Roman" w:hAnsi="Times New Roman" w:eastAsia="仿宋_GB2312"/>
          <w:color w:val="000000" w:themeColor="text1"/>
          <w:sz w:val="32"/>
          <w:highlight w:val="none"/>
          <w14:textFill>
            <w14:solidFill>
              <w14:schemeClr w14:val="tx1"/>
            </w14:solidFill>
          </w14:textFill>
        </w:rPr>
        <w:t>经济高质量发展</w:t>
      </w:r>
      <w:r>
        <w:rPr>
          <w:rFonts w:hint="default" w:ascii="Times New Roman" w:hAnsi="Times New Roman" w:eastAsia="仿宋_GB2312"/>
          <w:b w:val="0"/>
          <w:bCs w:val="0"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highlight w:val="none"/>
          <w14:textFill>
            <w14:solidFill>
              <w14:schemeClr w14:val="tx1"/>
            </w14:solidFill>
          </w14:textFill>
        </w:rPr>
        <w:t>打造休闲文旅新锚点</w:t>
      </w:r>
      <w:r>
        <w:rPr>
          <w:rFonts w:hint="default" w:ascii="Times New Roman" w:hAnsi="Times New Roman" w:eastAsia="仿宋_GB2312"/>
          <w:b/>
          <w:bCs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仿宋_GB2312"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探索</w:t>
      </w:r>
      <w:r>
        <w:rPr>
          <w:rFonts w:hint="eastAsia" w:ascii="Times New Roman" w:hAnsi="Times New Roman" w:eastAsia="仿宋_GB2312"/>
          <w:color w:val="000000" w:themeColor="text1"/>
          <w:sz w:val="32"/>
          <w:highlight w:val="none"/>
          <w14:textFill>
            <w14:solidFill>
              <w14:schemeClr w14:val="tx1"/>
            </w14:solidFill>
          </w14:textFill>
        </w:rPr>
        <w:t>串联古香道、古商道、古河道历史文脉，整合沿线历史文化与生态资源，</w:t>
      </w:r>
      <w:r>
        <w:rPr>
          <w:rFonts w:hint="eastAsia" w:ascii="Times New Roman" w:hAnsi="Times New Roman" w:eastAsia="仿宋_GB2312"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推动</w:t>
      </w:r>
      <w:r>
        <w:rPr>
          <w:rFonts w:hint="eastAsia" w:ascii="Times New Roman" w:hAnsi="Times New Roman" w:eastAsia="仿宋_GB2312"/>
          <w:color w:val="000000" w:themeColor="text1"/>
          <w:sz w:val="32"/>
          <w:highlight w:val="none"/>
          <w14:textFill>
            <w14:solidFill>
              <w14:schemeClr w14:val="tx1"/>
            </w14:solidFill>
          </w14:textFill>
        </w:rPr>
        <w:t>关帝庙、京西五里坨民俗陈列馆等文化空间提质升级，围绕关键节点布局沉浸式消费场景，提升西部地区文化标识度与文旅吸引力</w:t>
      </w:r>
      <w:r>
        <w:rPr>
          <w:rFonts w:hint="eastAsia" w:ascii="Times New Roman" w:hAnsi="Times New Roman" w:eastAsia="仿宋_GB2312"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highlight w:val="none"/>
          <w14:textFill>
            <w14:solidFill>
              <w14:schemeClr w14:val="tx1"/>
            </w14:solidFill>
          </w14:textFill>
        </w:rPr>
        <w:t>创新打造“文旅+科技”产品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highlight w:val="none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highlight w:val="none"/>
          <w14:textFill>
            <w14:solidFill>
              <w14:schemeClr w14:val="tx1"/>
            </w14:solidFill>
          </w14:textFill>
        </w:rPr>
        <w:t>紧抓科幻之城建设契机，依托人工智能、虚拟现实、数字孪生等前沿技术，在园区及周边打造科幻体验、数字沉浸、智慧零售、元宇宙互动等</w:t>
      </w:r>
      <w:r>
        <w:rPr>
          <w:rFonts w:hint="eastAsia" w:ascii="Times New Roman" w:hAnsi="Times New Roman" w:eastAsia="仿宋_GB2312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前沿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highlight w:val="none"/>
          <w14:textFill>
            <w14:solidFill>
              <w14:schemeClr w14:val="tx1"/>
            </w14:solidFill>
          </w14:textFill>
        </w:rPr>
        <w:t>消费场景，推动科技成果与文旅体验深度融合</w:t>
      </w:r>
      <w:r>
        <w:rPr>
          <w:rFonts w:hint="eastAsia" w:ascii="Times New Roman" w:hAnsi="Times New Roman" w:eastAsia="仿宋_GB2312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，吸引年轻潮流客群。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highlight w:val="none"/>
          <w14:textFill>
            <w14:solidFill>
              <w14:schemeClr w14:val="tx1"/>
            </w14:solidFill>
          </w14:textFill>
        </w:rPr>
        <w:t>拓展发展“文旅+商业”产品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highlight w:val="none"/>
          <w14:textFill>
            <w14:solidFill>
              <w14:schemeClr w14:val="tx1"/>
            </w14:solidFill>
          </w14:textFill>
        </w:rPr>
        <w:t>完善西部浅山商圈功能布局，建设特色消费空间，引入品牌首店、概念店、沉浸式展览、文化IP快闪、夜间经济等业态，推动商业空间与文化体验深度融合，提升区域商业活力与消费能级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Times New Roman" w:hAnsi="Times New Roman" w:eastAsia="仿宋_GB2312" w:cs="Times New Roman"/>
          <w:b/>
          <w:bCs/>
          <w:color w:val="000000" w:themeColor="text1"/>
          <w:sz w:val="32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特色打造“文旅+体育”产品，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打造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highlight w:val="none"/>
          <w14:textFill>
            <w14:solidFill>
              <w14:schemeClr w14:val="tx1"/>
            </w14:solidFill>
          </w14:textFill>
        </w:rPr>
        <w:t>精品体育旅游线路，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将</w:t>
      </w:r>
      <w:r>
        <w:rPr>
          <w:rFonts w:hint="eastAsia" w:ascii="Times New Roman" w:hAnsi="Times New Roman" w:eastAsia="仿宋_GB2312"/>
          <w:color w:val="000000" w:themeColor="text1"/>
          <w:sz w:val="32"/>
          <w:highlight w:val="none"/>
          <w14:textFill>
            <w14:solidFill>
              <w14:schemeClr w14:val="tx1"/>
            </w14:solidFill>
          </w14:textFill>
        </w:rPr>
        <w:t>露营、徒步、骑行等多类户外运动特色项目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嵌入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highlight w:val="none"/>
          <w14:textFill>
            <w14:solidFill>
              <w14:schemeClr w14:val="tx1"/>
            </w14:solidFill>
          </w14:textFill>
        </w:rPr>
        <w:t>西山永定河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文化带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highlight w:val="none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推动建设休闲绿道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highlight w:val="none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 w:eastAsia="仿宋_GB2312"/>
          <w:color w:val="000000" w:themeColor="text1"/>
          <w:sz w:val="32"/>
          <w:highlight w:val="none"/>
          <w14:textFill>
            <w14:solidFill>
              <w14:schemeClr w14:val="tx1"/>
            </w14:solidFill>
          </w14:textFill>
        </w:rPr>
        <w:t>登山步道、自行车骑道、骑行驿站等体育旅游公共设施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highlight w:val="none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仿宋_GB2312"/>
          <w:color w:val="000000" w:themeColor="text1"/>
          <w:sz w:val="32"/>
          <w:highlight w:val="none"/>
          <w14:textFill>
            <w14:solidFill>
              <w14:schemeClr w14:val="tx1"/>
            </w14:solidFill>
          </w14:textFill>
        </w:rPr>
        <w:t>提升</w:t>
      </w:r>
      <w:r>
        <w:rPr>
          <w:rFonts w:hint="eastAsia" w:ascii="Times New Roman" w:hAnsi="Times New Roman" w:eastAsia="仿宋_GB2312"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西部地区</w:t>
      </w:r>
      <w:r>
        <w:rPr>
          <w:rFonts w:hint="eastAsia" w:ascii="Times New Roman" w:hAnsi="Times New Roman" w:eastAsia="仿宋_GB2312"/>
          <w:color w:val="000000" w:themeColor="text1"/>
          <w:sz w:val="32"/>
          <w:highlight w:val="none"/>
          <w14:textFill>
            <w14:solidFill>
              <w14:schemeClr w14:val="tx1"/>
            </w14:solidFill>
          </w14:textFill>
        </w:rPr>
        <w:t>体育旅游服务供给与品质</w:t>
      </w:r>
      <w:r>
        <w:rPr>
          <w:rFonts w:hint="eastAsia" w:ascii="Times New Roman" w:hAnsi="Times New Roman" w:eastAsia="仿宋_GB2312" w:cs="Times New Roman"/>
          <w:b w:val="0"/>
          <w:bCs w:val="0"/>
          <w:color w:val="000000" w:themeColor="text1"/>
          <w:sz w:val="32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Times New Roman" w:hAnsi="Times New Roman" w:eastAsia="仿宋_GB2312" w:cs="Times New Roman"/>
          <w:b/>
          <w:bCs/>
          <w:color w:val="000000" w:themeColor="text1"/>
          <w:sz w:val="32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培育发展“文旅+会展”产品，</w:t>
      </w:r>
      <w:r>
        <w:rPr>
          <w:rFonts w:hint="eastAsia" w:ascii="Times New Roman" w:hAnsi="Times New Roman" w:eastAsia="仿宋_GB2312" w:cs="Times New Roman"/>
          <w:b w:val="0"/>
          <w:bCs w:val="0"/>
          <w:color w:val="000000" w:themeColor="text1"/>
          <w:sz w:val="32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紧抓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 w:bidi="ar-SA"/>
        </w:rPr>
        <w:t>首钢园会展小镇建设</w:t>
      </w:r>
      <w:r>
        <w:rPr>
          <w:rFonts w:hint="eastAsia" w:ascii="Times New Roman" w:hAnsi="Times New Roman" w:eastAsia="仿宋_GB2312" w:cs="Times New Roman"/>
          <w:b w:val="0"/>
          <w:bCs w:val="0"/>
          <w:color w:val="000000" w:themeColor="text1"/>
          <w:sz w:val="32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，延伸商务接待、住宿餐饮、文旅体验、休闲消费等服务链条，强化会展经济外溢效应，形成“以展促商、以商兴旅、以旅旺城”的良性循环，扩大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 w:bidi="ar-SA"/>
        </w:rPr>
        <w:t>会展赋能区域发展力度</w:t>
      </w:r>
      <w:r>
        <w:rPr>
          <w:rFonts w:hint="eastAsia" w:ascii="Times New Roman" w:hAnsi="Times New Roman" w:eastAsia="仿宋_GB2312" w:cs="Times New Roman"/>
          <w:b w:val="0"/>
          <w:bCs w:val="0"/>
          <w:color w:val="000000" w:themeColor="text1"/>
          <w:sz w:val="32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shd w:val="clear" w:color="auto" w:fill="FFFFFF"/>
        <w:autoSpaceDE w:val="0"/>
        <w:spacing w:line="560" w:lineRule="exact"/>
        <w:ind w:firstLine="643" w:firstLineChars="200"/>
        <w:outlineLvl w:val="2"/>
        <w:rPr>
          <w:rFonts w:hint="eastAsia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5.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建设多元融合的全龄友好街区</w:t>
      </w:r>
    </w:p>
    <w:p>
      <w:pPr>
        <w:numPr>
          <w:ilvl w:val="0"/>
          <w:numId w:val="0"/>
        </w:numPr>
        <w:shd w:val="clear" w:color="auto" w:fill="FFFFFF"/>
        <w:autoSpaceDE w:val="0"/>
        <w:spacing w:line="560" w:lineRule="exact"/>
        <w:ind w:firstLine="643" w:firstLineChars="200"/>
        <w:rPr>
          <w:rFonts w:hint="default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聚焦全龄人群生活、工作、休闲的多元需求，构建覆盖全生命周期的友好型街区空间，打造高品质人居环境。优化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完善“15分钟</w:t>
      </w:r>
      <w:r>
        <w:rPr>
          <w:rFonts w:hint="default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社区生活圈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”服务配套，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围绕园区周边布局商业、文化、健康等功能，嵌入智慧健康养老、儿童托管照料、青年创新创业支持等服务，实现功能复合、步行可达、服务集成</w:t>
      </w:r>
      <w:r>
        <w:rPr>
          <w:rFonts w:hint="default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default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推进公共空间与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公服</w:t>
      </w:r>
      <w:r>
        <w:rPr>
          <w:rFonts w:hint="default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设施适儿化、适老化改造，</w:t>
      </w:r>
      <w:r>
        <w:rPr>
          <w:rFonts w:hint="default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建设全龄共享的公园绿地、社区客厅与慢行网络，打造安全、便捷、活力的公共活动场景。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加强</w:t>
      </w:r>
      <w:r>
        <w:rPr>
          <w:rFonts w:hint="default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青年人才服务与职住平衡配套，</w:t>
      </w:r>
      <w:r>
        <w:rPr>
          <w:rFonts w:hint="default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重点建设青年公寓、人才社区，配建咖啡厅、会客厅等特色交往空间，增强对青年人才与创新创业群体的吸引力与归属感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14:textFill>
            <w14:solidFill>
              <w14:schemeClr w14:val="tx1"/>
            </w14:solidFill>
          </w14:textFill>
        </w:rPr>
        <w:t>坚持创新驱动引领智慧康养业态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发展，</w:t>
      </w:r>
      <w:r>
        <w:rPr>
          <w:rFonts w:hint="eastAsia" w:ascii="Times New Roman" w:hAnsi="Times New Roman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以现代智能科技赋能养老服务提质增效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依托</w:t>
      </w:r>
      <w:r>
        <w:rPr>
          <w:rFonts w:hint="eastAsia" w:ascii="Times New Roman" w:hAnsi="Times New Roman" w:eastAsia="仿宋_GB2312" w:cs="Times New Roman"/>
          <w:bCs w:val="0"/>
          <w:color w:val="000000" w:themeColor="text1"/>
          <w:sz w:val="32"/>
          <w:highlight w:val="none"/>
          <w14:textFill>
            <w14:solidFill>
              <w14:schemeClr w14:val="tx1"/>
            </w14:solidFill>
          </w14:textFill>
        </w:rPr>
        <w:t>天泰山古香道</w:t>
      </w:r>
      <w:r>
        <w:rPr>
          <w:rFonts w:hint="eastAsia" w:ascii="Times New Roman" w:hAnsi="Times New Roman" w:eastAsia="仿宋_GB2312" w:cs="Times New Roman"/>
          <w:bCs w:val="0"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休闲</w:t>
      </w:r>
      <w:r>
        <w:rPr>
          <w:rFonts w:hint="eastAsia" w:ascii="Times New Roman" w:hAnsi="Times New Roman" w:eastAsia="仿宋_GB2312" w:cs="Times New Roman"/>
          <w:bCs w:val="0"/>
          <w:color w:val="000000" w:themeColor="text1"/>
          <w:sz w:val="32"/>
          <w:highlight w:val="none"/>
          <w14:textFill>
            <w14:solidFill>
              <w14:schemeClr w14:val="tx1"/>
            </w14:solidFill>
          </w14:textFill>
        </w:rPr>
        <w:t>线</w:t>
      </w:r>
      <w:r>
        <w:rPr>
          <w:rFonts w:hint="eastAsia" w:ascii="Times New Roman" w:hAnsi="Times New Roman" w:eastAsia="仿宋_GB2312" w:cs="Times New Roman"/>
          <w:bCs w:val="0"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建设</w:t>
      </w:r>
      <w:r>
        <w:rPr>
          <w:rFonts w:hint="eastAsia" w:ascii="Times New Roman" w:hAnsi="Times New Roman" w:eastAsia="仿宋_GB2312" w:cs="Times New Roman"/>
          <w:bCs w:val="0"/>
          <w:color w:val="000000" w:themeColor="text1"/>
          <w:sz w:val="32"/>
          <w:highlight w:val="none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打造集养护、康复、休闲于一体的智慧康养示范场景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推动养老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民生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服务与科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创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产业深度融合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default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推动共建共治共享，</w:t>
      </w:r>
      <w:r>
        <w:rPr>
          <w:rFonts w:hint="default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鼓励多元主体参与街区更新与治理，营造开放包容、归属感强、持续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焕新</w:t>
      </w:r>
      <w:r>
        <w:rPr>
          <w:rFonts w:hint="default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的全龄友好人居环境，提升园区整体生活品质与社会融合度。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1"/>
        <w:rPr>
          <w:rFonts w:hint="default" w:ascii="楷体_GB2312" w:hAnsi="楷体_GB2312" w:eastAsia="楷体_GB2312" w:cs="楷体_GB2312"/>
          <w:b w:val="0"/>
          <w:bCs w:val="0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</w:pPr>
      <w:bookmarkStart w:id="178" w:name="_Toc4508"/>
      <w:bookmarkStart w:id="179" w:name="_Toc16355"/>
      <w:bookmarkStart w:id="180" w:name="_Toc15603"/>
      <w:bookmarkStart w:id="181" w:name="_Toc15179"/>
      <w:bookmarkStart w:id="182" w:name="_Toc25866"/>
      <w:bookmarkStart w:id="183" w:name="_Toc24484"/>
      <w:bookmarkStart w:id="184" w:name="OLE_LINK29"/>
      <w:r>
        <w:rPr>
          <w:rFonts w:hint="eastAsia" w:ascii="楷体_GB2312" w:hAnsi="楷体_GB2312" w:eastAsia="楷体_GB2312" w:cs="楷体_GB2312"/>
          <w:b w:val="0"/>
          <w:bCs w:val="0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（三）内外联动，激发资源统筹新动能</w:t>
      </w:r>
      <w:bookmarkEnd w:id="178"/>
      <w:bookmarkEnd w:id="179"/>
      <w:bookmarkEnd w:id="180"/>
      <w:bookmarkEnd w:id="181"/>
      <w:bookmarkEnd w:id="182"/>
      <w:bookmarkEnd w:id="183"/>
    </w:p>
    <w:p>
      <w:pPr>
        <w:numPr>
          <w:ilvl w:val="-1"/>
          <w:numId w:val="0"/>
        </w:numPr>
        <w:shd w:val="clear" w:color="auto" w:fill="FFFFFF"/>
        <w:autoSpaceDE w:val="0"/>
        <w:spacing w:line="560" w:lineRule="exact"/>
        <w:ind w:left="0" w:leftChars="0" w:firstLine="640" w:firstLineChars="200"/>
        <w:outlineLvl w:val="9"/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立足市级高新区“区域协同新支点”定位，围绕“区内协同、区外联动、政企互动、跨区互补”的目标，着力健全跨层级、跨区域的融合发展机制，全面打通创新链、产业链、资金链、人才链，推动创新资源整合与产业协作联动，加快形成开发协同、优势互补的发展新格局，持续提升园区辐射力和影响力。</w:t>
      </w:r>
    </w:p>
    <w:p>
      <w:pPr>
        <w:numPr>
          <w:ilvl w:val="0"/>
          <w:numId w:val="0"/>
        </w:numPr>
        <w:shd w:val="clear" w:color="auto" w:fill="FFFFFF"/>
        <w:autoSpaceDE w:val="0"/>
        <w:spacing w:line="560" w:lineRule="exact"/>
        <w:ind w:left="0" w:leftChars="0" w:firstLine="643" w:firstLineChars="200"/>
        <w:outlineLvl w:val="2"/>
        <w:rPr>
          <w:rFonts w:hint="default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深化区内协同，构建产业联动生态</w:t>
      </w:r>
    </w:p>
    <w:p>
      <w:pPr>
        <w:numPr>
          <w:ilvl w:val="-1"/>
          <w:numId w:val="0"/>
        </w:numPr>
        <w:shd w:val="clear" w:color="auto" w:fill="FFFFFF"/>
        <w:autoSpaceDE w:val="0"/>
        <w:spacing w:line="560" w:lineRule="exact"/>
        <w:ind w:left="0" w:leftChars="0" w:firstLine="643" w:firstLineChars="200"/>
        <w:outlineLvl w:val="9"/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b/>
          <w:bCs/>
          <w:i w:val="0"/>
          <w:iCs w:val="0"/>
          <w:caps w:val="0"/>
          <w:color w:val="000000" w:themeColor="text1"/>
          <w:spacing w:val="0"/>
          <w:sz w:val="32"/>
          <w:szCs w:val="24"/>
          <w:shd w:val="clear"/>
          <w:lang w:val="en-US" w:eastAsia="zh-CN"/>
          <w14:textFill>
            <w14:solidFill>
              <w14:schemeClr w14:val="tx1"/>
            </w14:solidFill>
          </w14:textFill>
        </w:rPr>
        <w:t>推动重点园区联动发展，</w:t>
      </w:r>
      <w:r>
        <w:rPr>
          <w:rFonts w:hint="eastAsia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24"/>
          <w:shd w:val="clear"/>
          <w:lang w:val="en-US" w:eastAsia="zh-CN"/>
          <w14:textFill>
            <w14:solidFill>
              <w14:schemeClr w14:val="tx1"/>
            </w14:solidFill>
          </w14:textFill>
        </w:rPr>
        <w:t>深化</w:t>
      </w:r>
      <w:r>
        <w:rPr>
          <w:rFonts w:hint="eastAsia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24"/>
          <w:shd w:val="clear" w:fill="auto"/>
          <w14:textFill>
            <w14:solidFill>
              <w14:schemeClr w14:val="tx1"/>
            </w14:solidFill>
          </w14:textFill>
        </w:rPr>
        <w:t>与人工智能产业集聚区、科幻游戏产业集聚区、银保园暨中国电科智能科技园、中关村工业互联网产业园、中关村虚拟现实产业园等区内</w:t>
      </w:r>
      <w:r>
        <w:rPr>
          <w:rFonts w:hint="eastAsia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24"/>
          <w:shd w:val="clear" w:fill="auto"/>
          <w:lang w:val="en-US" w:eastAsia="zh-CN"/>
          <w14:textFill>
            <w14:solidFill>
              <w14:schemeClr w14:val="tx1"/>
            </w14:solidFill>
          </w14:textFill>
        </w:rPr>
        <w:t>重点</w:t>
      </w:r>
      <w:r>
        <w:rPr>
          <w:rFonts w:hint="eastAsia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24"/>
          <w:shd w:val="clear"/>
          <w:lang w:val="en-US" w:eastAsia="zh-CN"/>
          <w14:textFill>
            <w14:solidFill>
              <w14:schemeClr w14:val="tx1"/>
            </w14:solidFill>
          </w14:textFill>
        </w:rPr>
        <w:t>园区</w:t>
      </w:r>
      <w:r>
        <w:rPr>
          <w:rFonts w:hint="eastAsia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24"/>
          <w:shd w:val="clear" w:fill="auto"/>
          <w14:textFill>
            <w14:solidFill>
              <w14:schemeClr w14:val="tx1"/>
            </w14:solidFill>
          </w14:textFill>
        </w:rPr>
        <w:t>协作，</w:t>
      </w:r>
      <w:r>
        <w:rPr>
          <w:rFonts w:hint="eastAsia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24"/>
          <w:shd w:val="clear" w:fill="auto"/>
          <w:lang w:val="en-US" w:eastAsia="zh-CN"/>
          <w14:textFill>
            <w14:solidFill>
              <w14:schemeClr w14:val="tx1"/>
            </w14:solidFill>
          </w14:textFill>
        </w:rPr>
        <w:t>主动承接核心区功能疏解与产业外溢，</w:t>
      </w:r>
      <w:r>
        <w:rPr>
          <w:rFonts w:hint="eastAsia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24"/>
          <w:shd w:val="clear" w:fill="auto"/>
          <w14:textFill>
            <w14:solidFill>
              <w14:schemeClr w14:val="tx1"/>
            </w14:solidFill>
          </w14:textFill>
        </w:rPr>
        <w:t>构建“研发</w:t>
      </w:r>
      <w:r>
        <w:rPr>
          <w:rFonts w:hint="eastAsia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24"/>
          <w:shd w:val="clear" w:fill="auto"/>
          <w:lang w:eastAsia="zh-CN"/>
          <w14:textFill>
            <w14:solidFill>
              <w14:schemeClr w14:val="tx1"/>
            </w14:solidFill>
          </w14:textFill>
        </w:rPr>
        <w:t>—</w:t>
      </w:r>
      <w:r>
        <w:rPr>
          <w:rFonts w:hint="eastAsia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24"/>
          <w:shd w:val="clear" w:fill="auto"/>
          <w14:textFill>
            <w14:solidFill>
              <w14:schemeClr w14:val="tx1"/>
            </w14:solidFill>
          </w14:textFill>
        </w:rPr>
        <w:t>中试</w:t>
      </w:r>
      <w:r>
        <w:rPr>
          <w:rFonts w:hint="eastAsia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24"/>
          <w:shd w:val="clear" w:fill="auto"/>
          <w:lang w:eastAsia="zh-CN"/>
          <w14:textFill>
            <w14:solidFill>
              <w14:schemeClr w14:val="tx1"/>
            </w14:solidFill>
          </w14:textFill>
        </w:rPr>
        <w:t>—</w:t>
      </w:r>
      <w:r>
        <w:rPr>
          <w:rFonts w:hint="eastAsia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24"/>
          <w:shd w:val="clear" w:fill="auto"/>
          <w14:textFill>
            <w14:solidFill>
              <w14:schemeClr w14:val="tx1"/>
            </w14:solidFill>
          </w14:textFill>
        </w:rPr>
        <w:t>转化</w:t>
      </w:r>
      <w:r>
        <w:rPr>
          <w:rFonts w:hint="eastAsia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24"/>
          <w:shd w:val="clear" w:fill="auto"/>
          <w:lang w:eastAsia="zh-CN"/>
          <w14:textFill>
            <w14:solidFill>
              <w14:schemeClr w14:val="tx1"/>
            </w14:solidFill>
          </w14:textFill>
        </w:rPr>
        <w:t>—</w:t>
      </w:r>
      <w:r>
        <w:rPr>
          <w:rFonts w:hint="eastAsia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24"/>
          <w:shd w:val="clear" w:fill="auto"/>
          <w:lang w:val="en-US" w:eastAsia="zh-CN"/>
          <w14:textFill>
            <w14:solidFill>
              <w14:schemeClr w14:val="tx1"/>
            </w14:solidFill>
          </w14:textFill>
        </w:rPr>
        <w:t>服务</w:t>
      </w:r>
      <w:r>
        <w:rPr>
          <w:rFonts w:hint="eastAsia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24"/>
          <w:shd w:val="clear" w:fill="auto"/>
          <w14:textFill>
            <w14:solidFill>
              <w14:schemeClr w14:val="tx1"/>
            </w14:solidFill>
          </w14:textFill>
        </w:rPr>
        <w:t>”跨园区协同</w:t>
      </w:r>
      <w:r>
        <w:rPr>
          <w:rFonts w:hint="eastAsia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24"/>
          <w:shd w:val="clear" w:fill="auto"/>
          <w:lang w:val="en-US" w:eastAsia="zh-CN"/>
          <w14:textFill>
            <w14:solidFill>
              <w14:schemeClr w14:val="tx1"/>
            </w14:solidFill>
          </w14:textFill>
        </w:rPr>
        <w:t>产业</w:t>
      </w:r>
      <w:r>
        <w:rPr>
          <w:rFonts w:hint="eastAsia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24"/>
          <w:shd w:val="clear" w:fill="auto"/>
          <w14:textFill>
            <w14:solidFill>
              <w14:schemeClr w14:val="tx1"/>
            </w14:solidFill>
          </w14:textFill>
        </w:rPr>
        <w:t>链条</w:t>
      </w:r>
      <w:r>
        <w:rPr>
          <w:rFonts w:hint="eastAsia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24"/>
          <w:shd w:val="clear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Times New Roman" w:hAnsi="Times New Roman" w:eastAsia="仿宋_GB2312" w:cs="Times New Roman"/>
          <w:b/>
          <w:bCs/>
          <w:i w:val="0"/>
          <w:iCs w:val="0"/>
          <w:caps w:val="0"/>
          <w:color w:val="000000" w:themeColor="text1"/>
          <w:spacing w:val="0"/>
          <w:sz w:val="32"/>
          <w:szCs w:val="24"/>
          <w:shd w:val="clear"/>
          <w:lang w:eastAsia="zh-CN"/>
          <w14:textFill>
            <w14:solidFill>
              <w14:schemeClr w14:val="tx1"/>
            </w14:solidFill>
          </w14:textFill>
        </w:rPr>
        <w:t>促进创新要素与场景资源共享，</w:t>
      </w:r>
      <w:r>
        <w:rPr>
          <w:rFonts w:hint="eastAsia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24"/>
          <w:shd w:val="clear"/>
          <w14:textFill>
            <w14:solidFill>
              <w14:schemeClr w14:val="tx1"/>
            </w14:solidFill>
          </w14:textFill>
        </w:rPr>
        <w:t>聚焦绿色低碳、人工智能等重点领域，推动中试平台、检验检测设施、科技数据与应用场景开放共享，</w:t>
      </w:r>
      <w:r>
        <w:rPr>
          <w:rFonts w:hint="eastAsia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24"/>
          <w:shd w:val="clear"/>
          <w:lang w:val="en-US" w:eastAsia="zh-CN"/>
          <w14:textFill>
            <w14:solidFill>
              <w14:schemeClr w14:val="tx1"/>
            </w14:solidFill>
          </w14:textFill>
        </w:rPr>
        <w:t>着力发展</w:t>
      </w:r>
      <w:r>
        <w:rPr>
          <w:rFonts w:hint="eastAsia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24"/>
          <w:shd w:val="clear"/>
          <w14:textFill>
            <w14:solidFill>
              <w14:schemeClr w14:val="tx1"/>
            </w14:solidFill>
          </w14:textFill>
        </w:rPr>
        <w:t>“前店后厂”模式</w:t>
      </w:r>
      <w:r>
        <w:rPr>
          <w:rFonts w:hint="eastAsia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24"/>
          <w:shd w:val="clear" w:fill="auto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Times New Roman" w:hAnsi="Times New Roman" w:eastAsia="仿宋_GB2312" w:cs="Times New Roman"/>
          <w:b/>
          <w:bCs/>
          <w:i w:val="0"/>
          <w:iCs w:val="0"/>
          <w:caps w:val="0"/>
          <w:color w:val="000000" w:themeColor="text1"/>
          <w:spacing w:val="0"/>
          <w:sz w:val="32"/>
          <w:szCs w:val="24"/>
          <w:shd w:val="clear"/>
          <w14:textFill>
            <w14:solidFill>
              <w14:schemeClr w14:val="tx1"/>
            </w14:solidFill>
          </w14:textFill>
        </w:rPr>
        <w:t>强化龙头企业产业链带动</w:t>
      </w:r>
      <w:r>
        <w:rPr>
          <w:rFonts w:hint="eastAsia" w:ascii="Times New Roman" w:hAnsi="Times New Roman" w:eastAsia="仿宋_GB2312" w:cs="Times New Roman"/>
          <w:b/>
          <w:bCs/>
          <w:i w:val="0"/>
          <w:iCs w:val="0"/>
          <w:caps w:val="0"/>
          <w:color w:val="000000" w:themeColor="text1"/>
          <w:spacing w:val="0"/>
          <w:sz w:val="32"/>
          <w:szCs w:val="24"/>
          <w:shd w:val="clear" w:fill="auto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24"/>
          <w:shd w:val="clear"/>
          <w14:textFill>
            <w14:solidFill>
              <w14:schemeClr w14:val="tx1"/>
            </w14:solidFill>
          </w14:textFill>
        </w:rPr>
        <w:t>依托首钢国际、东土科技等企业优势，引导园区中小企业融入其配套体系，形成“龙头引领+配套集聚”的发展格局</w:t>
      </w:r>
      <w:r>
        <w:rPr>
          <w:rFonts w:hint="eastAsia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24"/>
          <w:shd w:val="clear" w:fill="auto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Times New Roman" w:hAnsi="Times New Roman" w:eastAsia="仿宋_GB2312" w:cs="Times New Roman"/>
          <w:b/>
          <w:bCs/>
          <w:i w:val="0"/>
          <w:iCs w:val="0"/>
          <w:caps w:val="0"/>
          <w:color w:val="000000" w:themeColor="text1"/>
          <w:spacing w:val="0"/>
          <w:sz w:val="32"/>
          <w:szCs w:val="24"/>
          <w:shd w:val="clear"/>
          <w14:textFill>
            <w14:solidFill>
              <w14:schemeClr w14:val="tx1"/>
            </w14:solidFill>
          </w14:textFill>
        </w:rPr>
        <w:t>链接高能级平台</w:t>
      </w:r>
      <w:r>
        <w:rPr>
          <w:rFonts w:hint="eastAsia" w:ascii="Times New Roman" w:hAnsi="Times New Roman" w:eastAsia="仿宋_GB2312" w:cs="Times New Roman"/>
          <w:b/>
          <w:bCs/>
          <w:i w:val="0"/>
          <w:iCs w:val="0"/>
          <w:caps w:val="0"/>
          <w:color w:val="000000" w:themeColor="text1"/>
          <w:spacing w:val="0"/>
          <w:sz w:val="32"/>
          <w:szCs w:val="24"/>
          <w:shd w:val="clear"/>
          <w:lang w:val="en-US" w:eastAsia="zh-CN"/>
          <w14:textFill>
            <w14:solidFill>
              <w14:schemeClr w14:val="tx1"/>
            </w14:solidFill>
          </w14:textFill>
        </w:rPr>
        <w:t>资源</w:t>
      </w:r>
      <w:r>
        <w:rPr>
          <w:rFonts w:hint="eastAsia" w:ascii="Times New Roman" w:hAnsi="Times New Roman" w:eastAsia="仿宋_GB2312" w:cs="Times New Roman"/>
          <w:b/>
          <w:bCs/>
          <w:i w:val="0"/>
          <w:iCs w:val="0"/>
          <w:caps w:val="0"/>
          <w:color w:val="000000" w:themeColor="text1"/>
          <w:spacing w:val="0"/>
          <w:sz w:val="32"/>
          <w:szCs w:val="24"/>
          <w:shd w:val="clear" w:fill="auto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24"/>
          <w:shd w:val="clear"/>
          <w14:textFill>
            <w14:solidFill>
              <w14:schemeClr w14:val="tx1"/>
            </w14:solidFill>
          </w14:textFill>
        </w:rPr>
        <w:t>主动对接</w:t>
      </w:r>
      <w:r>
        <w:rPr>
          <w:rFonts w:hint="eastAsia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24"/>
          <w:shd w:val="clear"/>
          <w:lang w:eastAsia="zh-CN"/>
          <w14:textFill>
            <w14:solidFill>
              <w14:schemeClr w14:val="tx1"/>
            </w14:solidFill>
          </w14:textFill>
        </w:rPr>
        <w:t>中国科学院</w:t>
      </w:r>
      <w:r>
        <w:rPr>
          <w:rFonts w:hint="eastAsia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24"/>
          <w:shd w:val="clear"/>
          <w14:textFill>
            <w14:solidFill>
              <w14:schemeClr w14:val="tx1"/>
            </w14:solidFill>
          </w14:textFill>
        </w:rPr>
        <w:t>高能所、哈工大北京研究院等重点实验室与研发机构，为企业提供技术攻关、成果转化与人才支撑</w:t>
      </w:r>
      <w:r>
        <w:rPr>
          <w:rFonts w:hint="eastAsia" w:ascii="Times New Roman" w:hAnsi="Times New Roman" w:eastAsia="仿宋_GB2312" w:cs="Times New Roman"/>
          <w:b w:val="0"/>
          <w:bCs w:val="0"/>
          <w:i w:val="0"/>
          <w:iCs w:val="0"/>
          <w:caps w:val="0"/>
          <w:color w:val="000000" w:themeColor="text1"/>
          <w:spacing w:val="0"/>
          <w:sz w:val="32"/>
          <w:szCs w:val="24"/>
          <w:shd w:val="clear" w:fill="auto"/>
          <w14:textFill>
            <w14:solidFill>
              <w14:schemeClr w14:val="tx1"/>
            </w14:solidFill>
          </w14:textFill>
        </w:rPr>
        <w:t>。</w:t>
      </w:r>
    </w:p>
    <w:p>
      <w:pPr>
        <w:numPr>
          <w:ilvl w:val="0"/>
          <w:numId w:val="0"/>
        </w:numPr>
        <w:shd w:val="clear" w:color="auto" w:fill="FFFFFF"/>
        <w:autoSpaceDE w:val="0"/>
        <w:spacing w:line="560" w:lineRule="exact"/>
        <w:ind w:left="0" w:leftChars="0" w:firstLine="643" w:firstLineChars="200"/>
        <w:outlineLvl w:val="2"/>
        <w:rPr>
          <w:rFonts w:hint="default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加强区外联动，融入区域发展大局</w:t>
      </w:r>
    </w:p>
    <w:p>
      <w:pPr>
        <w:shd w:val="clear" w:color="auto" w:fill="FFFFFF"/>
        <w:autoSpaceDE w:val="0"/>
        <w:bidi w:val="0"/>
        <w:spacing w:line="560" w:lineRule="exact"/>
        <w:ind w:firstLine="643" w:firstLineChars="200"/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深化区域空间联动发展，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强化与海淀区、门头沟区等周边区域的产业协作与资源共享，重点对接海淀高校科研院所、门头沟特色医疗器械产业资源，吸引链主企业布局和发展</w:t>
      </w:r>
      <w:r>
        <w:rPr>
          <w:rFonts w:hint="eastAsia" w:ascii="Times New Roman" w:hAnsi="Times New Roman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产业链加工制造等</w:t>
      </w:r>
      <w:r>
        <w:rPr>
          <w:rFonts w:hint="eastAsia" w:ascii="Times New Roman" w:hAnsi="Times New Roman" w:eastAsia="仿宋_GB2312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关键</w:t>
      </w:r>
      <w:r>
        <w:rPr>
          <w:rFonts w:hint="eastAsia" w:ascii="Times New Roman" w:hAnsi="Times New Roman" w:eastAsia="仿宋_GB2312"/>
          <w:color w:val="000000" w:themeColor="text1"/>
          <w:sz w:val="32"/>
          <w14:textFill>
            <w14:solidFill>
              <w14:schemeClr w14:val="tx1"/>
            </w14:solidFill>
          </w14:textFill>
        </w:rPr>
        <w:t>环节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，提升区域产业链上下游配套能力，同步推动区域基础设施互联互通和公共服务共建共享。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加强市区联动聚合力谋发展，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紧密衔接市级产业规划与政策导向，主动争取市级项目、资金及试点资源支持，积极承接市级创新资源投放。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融入京津冀协同发展战略，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立足高新区空间禀赋与产业基础，聚焦绿色技术研发、资源循环利用等重点领域，加强与津冀地区深化产业合作，推动技术成果跨区域转化应用。</w:t>
      </w:r>
    </w:p>
    <w:p>
      <w:pPr>
        <w:numPr>
          <w:ilvl w:val="0"/>
          <w:numId w:val="0"/>
        </w:numPr>
        <w:shd w:val="clear" w:color="auto" w:fill="FFFFFF"/>
        <w:autoSpaceDE w:val="0"/>
        <w:bidi w:val="0"/>
        <w:spacing w:line="560" w:lineRule="exact"/>
        <w:ind w:firstLine="643" w:firstLineChars="200"/>
        <w:outlineLvl w:val="2"/>
        <w:rPr>
          <w:rFonts w:hint="default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推动政企互动，激活产学研用动能</w:t>
      </w:r>
    </w:p>
    <w:p>
      <w:pPr>
        <w:shd w:val="clear" w:color="auto" w:fill="FFFFFF"/>
        <w:autoSpaceDE w:val="0"/>
        <w:bidi w:val="0"/>
        <w:spacing w:line="560" w:lineRule="exact"/>
        <w:ind w:firstLine="643" w:firstLineChars="200"/>
        <w:rPr>
          <w:rFonts w:hint="eastAsia" w:ascii="Times New Roman" w:hAnsi="Times New Roman" w:eastAsia="仿宋_GB2312"/>
          <w:b/>
          <w:bCs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促进“产学研用”深度协同，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联合北京工业职业技术学院、北方工业大学等属地高校，以及材料循环低碳再生全国重点实验室、哈工大研究院等科研院所，共建“园区—高校—企业”合作机制，围绕产业痛点开展联合攻关。深化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24"/>
          <w:highlight w:val="none"/>
          <w14:textFill>
            <w14:solidFill>
              <w14:schemeClr w14:val="tx1"/>
            </w14:solidFill>
          </w14:textFill>
        </w:rPr>
        <w:t>与中交集团等龙头企业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合作，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24"/>
          <w:highlight w:val="none"/>
          <w14:textFill>
            <w14:solidFill>
              <w14:schemeClr w14:val="tx1"/>
            </w14:solidFill>
          </w14:textFill>
        </w:rPr>
        <w:t>共建绿色建材公共服务、小试中试公共服务等平台，形成聚合发展合力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推动实验室成果在园区优先转化，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搭建概念验证、中试熟化等关键环节服务平台，打通科技成果转化“最后一公里”。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探索推广</w:t>
      </w:r>
      <w:bookmarkStart w:id="185" w:name="OLE_LINK30"/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“拨投联动”</w:t>
      </w:r>
      <w:bookmarkEnd w:id="185"/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机制，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引导社会资本参与产学研合作项目，促进创新链与产业链深度融合，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000000" w:themeColor="text1"/>
          <w:spacing w:val="0"/>
          <w:sz w:val="32"/>
          <w:szCs w:val="24"/>
          <w:highlight w:val="none"/>
          <w:shd w:val="clear" w:fill="auto"/>
          <w14:textFill>
            <w14:solidFill>
              <w14:schemeClr w14:val="tx1"/>
            </w14:solidFill>
          </w14:textFill>
        </w:rPr>
        <w:t>助力企业早期成长和持续发展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鼓励龙头企业牵头组建创新联合体，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集聚产学研用多方资源，开展产业关键核心技术攻关，实现资源要素集约高效配置。</w:t>
      </w:r>
    </w:p>
    <w:bookmarkEnd w:id="175"/>
    <w:p>
      <w:pPr>
        <w:numPr>
          <w:ilvl w:val="0"/>
          <w:numId w:val="0"/>
        </w:numPr>
        <w:shd w:val="clear" w:color="auto" w:fill="FFFFFF"/>
        <w:autoSpaceDE w:val="0"/>
        <w:spacing w:line="560" w:lineRule="exact"/>
        <w:ind w:left="0" w:leftChars="0" w:firstLine="643" w:firstLineChars="200"/>
        <w:outlineLvl w:val="2"/>
        <w:rPr>
          <w:rFonts w:hint="default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186" w:name="_Toc23249"/>
      <w:bookmarkStart w:id="187" w:name="_Toc22263"/>
      <w:bookmarkStart w:id="188" w:name="_Toc22870"/>
      <w:bookmarkStart w:id="189" w:name="_Toc29430"/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4.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优化营商环境，强化要素集聚能力</w:t>
      </w:r>
    </w:p>
    <w:p>
      <w:pPr>
        <w:numPr>
          <w:ilvl w:val="0"/>
          <w:numId w:val="0"/>
        </w:numPr>
        <w:shd w:val="clear" w:color="auto" w:fill="FFFFFF"/>
        <w:autoSpaceDE w:val="0"/>
        <w:spacing w:line="560" w:lineRule="exact"/>
        <w:ind w:firstLine="643" w:firstLineChars="200"/>
        <w:rPr>
          <w:rFonts w:hint="eastAsia" w:ascii="Times New Roman" w:hAnsi="Times New Roman" w:eastAsia="仿宋_GB2312"/>
          <w:color w:val="000000" w:themeColor="text1"/>
          <w:sz w:val="32"/>
          <w:highlight w:val="yellow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构建与产业生态相匹配的新型政务服务体系，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在园区内建立“一站式”政务服务中心，</w:t>
      </w:r>
      <w:r>
        <w:rPr>
          <w:rFonts w:hint="eastAsia" w:ascii="Times New Roman" w:hAnsi="Times New Roman" w:eastAsia="仿宋_GB2312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为企业办理工商注册、税务登记、资质申报、知识产权等业务提供便捷。</w:t>
      </w:r>
      <w:r>
        <w:rPr>
          <w:rFonts w:hint="default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加快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科技成果转化</w:t>
      </w:r>
      <w:r>
        <w:rPr>
          <w:rFonts w:hint="default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平台建设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引进专业化孵化器、加速器，配套创业培训、融资对接、场景验证等服务，</w:t>
      </w:r>
      <w:r>
        <w:rPr>
          <w:rFonts w:hint="default" w:ascii="Times New Roman" w:hAnsi="Times New Roman" w:eastAsia="仿宋_GB2312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积极对接国家级科研院所、行业领军企业和新型研发机构，引进人工智能大模型、未来健康交叉学科、绿色低碳技术等领域的重点实验室、工程技术研究中心和新型研发机构，提升园区在前沿技术领域的原始创新能力</w:t>
      </w:r>
      <w:r>
        <w:rPr>
          <w:rFonts w:hint="eastAsia" w:ascii="Times New Roman" w:hAnsi="Times New Roman" w:eastAsia="仿宋_GB2312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搭建多层次交流对接平台，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定期举办技术研讨会、产业对接会、创新成果展等常态化活动，依托服贸会、中关村论坛等重大平台拓宽合作渠道，</w:t>
      </w:r>
      <w:r>
        <w:rPr>
          <w:rFonts w:hint="eastAsia" w:ascii="Times New Roman" w:hAnsi="Times New Roman" w:eastAsia="仿宋_GB2312"/>
          <w:color w:val="000000" w:themeColor="text1"/>
          <w:sz w:val="32"/>
          <w:highlight w:val="none"/>
          <w14:textFill>
            <w14:solidFill>
              <w14:schemeClr w14:val="tx1"/>
            </w14:solidFill>
          </w14:textFill>
        </w:rPr>
        <w:t>同时引进培育数智设计、高端制造等领域相关论坛与产学研活动，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促进资源互通，营造协同创新良好生态</w:t>
      </w:r>
      <w:r>
        <w:rPr>
          <w:rFonts w:hint="eastAsia" w:ascii="Times New Roman" w:hAnsi="Times New Roman" w:eastAsia="仿宋_GB2312"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bookmarkEnd w:id="184"/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1"/>
        <w:rPr>
          <w:rFonts w:hint="default" w:ascii="楷体_GB2312" w:hAnsi="楷体_GB2312" w:eastAsia="楷体_GB2312" w:cs="楷体_GB2312"/>
          <w:b w:val="0"/>
          <w:bCs w:val="0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</w:pPr>
      <w:bookmarkStart w:id="190" w:name="_Toc12852"/>
      <w:bookmarkStart w:id="191" w:name="_Toc20498"/>
      <w:bookmarkStart w:id="192" w:name="_Toc9252"/>
      <w:bookmarkStart w:id="193" w:name="_Toc15723"/>
      <w:bookmarkStart w:id="194" w:name="_Toc600"/>
      <w:bookmarkStart w:id="195" w:name="_Toc15410"/>
      <w:r>
        <w:rPr>
          <w:rFonts w:hint="eastAsia" w:ascii="楷体_GB2312" w:hAnsi="楷体_GB2312" w:eastAsia="楷体_GB2312" w:cs="楷体_GB2312"/>
          <w:b w:val="0"/>
          <w:bCs w:val="0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（四）机制护航，</w:t>
      </w:r>
      <w:bookmarkEnd w:id="186"/>
      <w:bookmarkEnd w:id="187"/>
      <w:bookmarkEnd w:id="188"/>
      <w:r>
        <w:rPr>
          <w:rFonts w:hint="eastAsia" w:ascii="楷体_GB2312" w:hAnsi="楷体_GB2312" w:eastAsia="楷体_GB2312" w:cs="楷体_GB2312"/>
          <w:b w:val="0"/>
          <w:bCs w:val="0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强化运营管理硬支撑</w:t>
      </w:r>
      <w:bookmarkEnd w:id="190"/>
      <w:bookmarkEnd w:id="191"/>
      <w:bookmarkEnd w:id="192"/>
      <w:bookmarkEnd w:id="193"/>
      <w:bookmarkEnd w:id="194"/>
      <w:bookmarkEnd w:id="195"/>
    </w:p>
    <w:bookmarkEnd w:id="189"/>
    <w:p>
      <w:pPr>
        <w:shd w:val="clear" w:color="auto" w:fill="FFFFFF"/>
        <w:autoSpaceDE w:val="0"/>
        <w:spacing w:line="560" w:lineRule="exact"/>
        <w:ind w:firstLine="640" w:firstLineChars="200"/>
        <w:outlineLvl w:val="9"/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196" w:name="_Toc6830"/>
      <w:bookmarkStart w:id="197" w:name="_Toc21771"/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聚焦规划落地与可持续发展，着力构建系统完备、运转高效、协同有力的实施保障体系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，通过创新管理运营、打造智慧园区、优化要素配置、完善政策支持，形成“高位统筹、市场运作、部门协同、动态优化”的全周期保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障机制，为园区高质量发展提供坚实的制度支撑与持续动能。</w:t>
      </w:r>
    </w:p>
    <w:p>
      <w:pPr>
        <w:shd w:val="clear" w:color="auto" w:fill="FFFFFF"/>
        <w:autoSpaceDE w:val="0"/>
        <w:spacing w:line="560" w:lineRule="exact"/>
        <w:ind w:firstLine="643" w:firstLineChars="200"/>
        <w:outlineLvl w:val="2"/>
        <w:rPr>
          <w:rFonts w:hint="eastAsia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1.</w:t>
      </w:r>
      <w:bookmarkEnd w:id="196"/>
      <w:bookmarkEnd w:id="197"/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创新管理运营模式</w:t>
      </w:r>
    </w:p>
    <w:p>
      <w:pPr>
        <w:shd w:val="clear" w:color="auto" w:fill="FFFFFF"/>
        <w:autoSpaceDE w:val="0"/>
        <w:spacing w:line="560" w:lineRule="exact"/>
        <w:ind w:firstLine="643" w:firstLineChars="200"/>
        <w:jc w:val="both"/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强化顶层设计与统筹决策机制，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成立园区统筹领导小组，建立“统筹领导、协同推进、分工负责”的决策执行体系，领导小组办公室具体负责园区发展规划编制、重要政策拟定、跨部门重大事项协调及重点工作督查考核等规划统筹工作。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构建“管委会+专业化平台公司”协同运营架构，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由专业化运营实体负责园区的开发建设、空间运营及企业服务等具体工作，推行职业经理人制度提升市场化水平，同步搭建产业服务平台，强化资源整合与服务能力。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创新建立“1+N”市场化招商激励机制，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由专业化招商部门统筹负责园区整体招商引资工作，联合社会化招商机构、行业协会等组建若干“招商共同体”，开展精准招商与产业孵化；同时，创新探索园区招商模式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，依法制定招商引资激励政策，调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动各方力量构建“以商招商”良性机制，强化精准招商与产业培育，全面提升招商与产业培育效能。</w:t>
      </w:r>
    </w:p>
    <w:p>
      <w:pPr>
        <w:numPr>
          <w:ilvl w:val="0"/>
          <w:numId w:val="0"/>
        </w:numPr>
        <w:shd w:val="clear" w:color="auto" w:fill="FFFFFF"/>
        <w:autoSpaceDE w:val="0"/>
        <w:spacing w:line="560" w:lineRule="exact"/>
        <w:ind w:left="0" w:leftChars="0" w:firstLine="643" w:firstLineChars="200"/>
        <w:outlineLvl w:val="2"/>
        <w:rPr>
          <w:rFonts w:hint="default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198" w:name="_Toc31263"/>
      <w:bookmarkStart w:id="199" w:name="_Toc2116"/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打造智慧园区样板</w:t>
      </w:r>
    </w:p>
    <w:p>
      <w:pPr>
        <w:numPr>
          <w:ilvl w:val="0"/>
          <w:numId w:val="0"/>
        </w:numPr>
        <w:shd w:val="clear" w:color="auto" w:fill="FFFFFF"/>
        <w:autoSpaceDE w:val="0"/>
        <w:spacing w:line="560" w:lineRule="exact"/>
        <w:ind w:firstLine="643" w:firstLineChars="200"/>
        <w:rPr>
          <w:rFonts w:hint="default" w:ascii="Times New Roman" w:hAnsi="Times New Roman" w:eastAsia="仿宋_GB2312"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打造一站式数智管理服务平台，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对标高标准数字园区建设要求，深化“AI+政务服务”创新应用，实现园区治理数字化、产业服务精准化，提升园区运营效能与服务水平</w:t>
      </w:r>
      <w:r>
        <w:rPr>
          <w:rFonts w:hint="default" w:ascii="Times New Roman" w:hAnsi="Times New Roman" w:eastAsia="仿宋_GB2312"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default" w:ascii="Times New Roman" w:hAnsi="Times New Roman" w:eastAsia="仿宋_GB2312"/>
          <w:b/>
          <w:bCs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打造虚实融合的沉浸式展示场景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Times New Roman" w:hAnsi="Times New Roman" w:eastAsia="仿宋_GB2312"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构建产业生态可视化体验区，为企业考察、技术交流提供沉浸式展示载体。</w:t>
      </w:r>
      <w:r>
        <w:rPr>
          <w:rFonts w:hint="default" w:ascii="Times New Roman" w:hAnsi="Times New Roman" w:eastAsia="仿宋_GB2312"/>
          <w:b/>
          <w:bCs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常态化开展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数智创新、产业对接等</w:t>
      </w:r>
      <w:r>
        <w:rPr>
          <w:rFonts w:hint="default" w:ascii="Times New Roman" w:hAnsi="Times New Roman" w:eastAsia="仿宋_GB2312"/>
          <w:b/>
          <w:bCs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主题活动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Times New Roman" w:hAnsi="Times New Roman" w:eastAsia="仿宋_GB2312"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链接政产学研用资源，聚焦绿色低碳、数字经济等领域</w:t>
      </w:r>
      <w:r>
        <w:rPr>
          <w:rFonts w:hint="eastAsia" w:ascii="Times New Roman" w:hAnsi="Times New Roman" w:eastAsia="仿宋_GB2312"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Times New Roman" w:hAnsi="Times New Roman" w:eastAsia="仿宋_GB2312"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拓展会展会务新业态，</w:t>
      </w:r>
      <w:r>
        <w:rPr>
          <w:rFonts w:hint="eastAsia" w:ascii="Times New Roman" w:hAnsi="Times New Roman" w:eastAsia="仿宋_GB2312"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打造</w:t>
      </w:r>
      <w:r>
        <w:rPr>
          <w:rFonts w:hint="default" w:ascii="Times New Roman" w:hAnsi="Times New Roman" w:eastAsia="仿宋_GB2312"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区域绿色产业交流枢纽与对外展示名片。</w:t>
      </w:r>
    </w:p>
    <w:p>
      <w:pPr>
        <w:numPr>
          <w:ilvl w:val="0"/>
          <w:numId w:val="0"/>
        </w:numPr>
        <w:shd w:val="clear" w:color="auto" w:fill="FFFFFF"/>
        <w:autoSpaceDE w:val="0"/>
        <w:spacing w:line="560" w:lineRule="exact"/>
        <w:ind w:left="0" w:leftChars="0" w:firstLine="643" w:firstLineChars="200"/>
        <w:outlineLvl w:val="2"/>
        <w:rPr>
          <w:rFonts w:hint="eastAsia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健全要素配置机制</w:t>
      </w:r>
      <w:bookmarkEnd w:id="198"/>
      <w:bookmarkEnd w:id="199"/>
    </w:p>
    <w:p>
      <w:pPr>
        <w:shd w:val="clear" w:color="auto" w:fill="FFFFFF"/>
        <w:autoSpaceDE w:val="0"/>
        <w:bidi w:val="0"/>
        <w:spacing w:line="560" w:lineRule="exact"/>
        <w:ind w:firstLine="643" w:firstLineChars="200"/>
        <w:rPr>
          <w:rFonts w:hint="default" w:ascii="Times New Roman" w:hAnsi="Times New Roman" w:eastAsia="仿宋_GB2312"/>
          <w:b w:val="0"/>
          <w:bCs w:val="0"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健全完善土地、人才、金融等关键要素配置机制，为园区高质量发展提供有力支撑。提升土地集约节约利用水平，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严格落实国土空间规划管控，盘活闲置与低效用地，鼓励地上地下空间一体化复合开发，为产业发展拓展高质量空间载体。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构建人才“引育留用”全链条服务体系，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坚持政策引才、平台育才、服务留才、机制用才，完善高层次人才支持举措，健全人才评价与激励机制。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加大金融财政支持力度，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落实贷款贴息、融资补贴等扶持政策，鼓励设立市级高新区产业发展引导基金，更好满足企业多样化融资需求，筑牢园区高质量发展金融保障。</w:t>
      </w:r>
    </w:p>
    <w:p>
      <w:pPr>
        <w:numPr>
          <w:ilvl w:val="0"/>
          <w:numId w:val="0"/>
        </w:numPr>
        <w:shd w:val="clear" w:color="auto" w:fill="FFFFFF"/>
        <w:autoSpaceDE w:val="0"/>
        <w:spacing w:line="560" w:lineRule="exact"/>
        <w:ind w:left="0" w:leftChars="0" w:firstLine="643" w:firstLineChars="200"/>
        <w:outlineLvl w:val="2"/>
        <w:rPr>
          <w:rFonts w:hint="default" w:ascii="Times New Roman" w:hAnsi="Times New Roman" w:eastAsia="仿宋_GB2312"/>
          <w:b/>
          <w:bCs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200" w:name="OLE_LINK31"/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4.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完善政策支持措施</w:t>
      </w:r>
    </w:p>
    <w:p>
      <w:pPr>
        <w:shd w:val="clear" w:color="auto" w:fill="FFFFFF"/>
        <w:autoSpaceDE w:val="0"/>
        <w:spacing w:line="560" w:lineRule="exact"/>
        <w:ind w:firstLine="643" w:firstLineChars="200"/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b/>
          <w:bCs/>
          <w:kern w:val="2"/>
          <w:sz w:val="32"/>
          <w:szCs w:val="32"/>
          <w:highlight w:val="none"/>
          <w:u w:val="none"/>
          <w:lang w:val="en-US" w:eastAsia="zh-CN" w:bidi="ar-SA"/>
        </w:rPr>
        <w:t>积极争取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国家及市级创新政策，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贯彻落实国家顶层设计要求以及北京市相关部署，确保园区发展定位、产业方向与上位规划精准衔接。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研究制定园区发展政策举措，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聚焦企业梯度培育、创新平台建设、人才引育等重点领域，出台精准化、差异化措施，强化土地复合利用、应用场景开放等要素保障。</w:t>
      </w:r>
    </w:p>
    <w:bookmarkEnd w:id="200"/>
    <w:p>
      <w:pPr>
        <w:keepNext/>
        <w:keepLines/>
        <w:widowControl w:val="0"/>
        <w:shd w:val="clear" w:color="auto" w:fill="FFFFFF"/>
        <w:autoSpaceDE w:val="0"/>
        <w:bidi w:val="0"/>
        <w:spacing w:line="560" w:lineRule="exact"/>
        <w:ind w:firstLine="640" w:firstLineChars="200"/>
        <w:jc w:val="both"/>
        <w:outlineLvl w:val="0"/>
        <w:rPr>
          <w:rFonts w:hint="default" w:ascii="Times New Roman" w:hAnsi="Times New Roman" w:eastAsia="黑体" w:cs="Times New Roman"/>
          <w:color w:val="000000" w:themeColor="text1"/>
          <w:kern w:val="2"/>
          <w:sz w:val="32"/>
          <w:szCs w:val="48"/>
          <w:lang w:val="en-US" w:eastAsia="zh-CN" w:bidi="ar-SA"/>
          <w14:textFill>
            <w14:solidFill>
              <w14:schemeClr w14:val="tx1"/>
            </w14:solidFill>
          </w14:textFill>
        </w:rPr>
      </w:pPr>
      <w:bookmarkStart w:id="201" w:name="_Toc20036"/>
      <w:bookmarkStart w:id="202" w:name="_Toc14216"/>
      <w:bookmarkStart w:id="203" w:name="_Toc22895"/>
      <w:bookmarkStart w:id="204" w:name="_Toc6073"/>
      <w:bookmarkStart w:id="205" w:name="_Toc15250"/>
      <w:bookmarkStart w:id="206" w:name="_Toc12501"/>
      <w:bookmarkStart w:id="207" w:name="_Toc32085"/>
      <w:bookmarkStart w:id="208" w:name="_Toc13268"/>
      <w:bookmarkStart w:id="209" w:name="_Toc17233"/>
      <w:bookmarkStart w:id="210" w:name="_Toc3076"/>
      <w:r>
        <w:rPr>
          <w:rFonts w:hint="eastAsia" w:ascii="Times New Roman" w:hAnsi="Times New Roman" w:eastAsia="黑体" w:cs="Times New Roman"/>
          <w:color w:val="000000" w:themeColor="text1"/>
          <w:kern w:val="2"/>
          <w:sz w:val="32"/>
          <w:szCs w:val="48"/>
          <w:lang w:val="en-US" w:eastAsia="zh-CN" w:bidi="ar-SA"/>
          <w14:textFill>
            <w14:solidFill>
              <w14:schemeClr w14:val="tx1"/>
            </w14:solidFill>
          </w14:textFill>
        </w:rPr>
        <w:t>五、保障措施</w:t>
      </w:r>
      <w:bookmarkEnd w:id="201"/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outlineLvl w:val="1"/>
        <w:rPr>
          <w:rFonts w:hint="default"/>
          <w:color w:val="FF0000"/>
          <w:lang w:val="en-US"/>
        </w:rPr>
      </w:pPr>
      <w:r>
        <w:rPr>
          <w:rFonts w:hint="eastAsia" w:ascii="Times New Roman" w:hAnsi="Times New Roman" w:eastAsia="仿宋_GB2312" w:cs="Times New Roman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构建多元化共治体系，</w:t>
      </w:r>
      <w:r>
        <w:rPr>
          <w:rFonts w:hint="eastAsia" w:ascii="Times New Roman" w:hAnsi="Times New Roman" w:eastAsia="仿宋_GB2312" w:cs="Times New Roman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配强科技创新、产业发展、招商运营等专业力量，设立园区专业化运营公司，</w:t>
      </w:r>
      <w:r>
        <w:rPr>
          <w:rFonts w:hint="eastAsia" w:ascii="Times New Roman" w:hAnsi="Times New Roman" w:eastAsia="仿宋_GB2312" w:cs="Times New Roman"/>
          <w:b w:val="0"/>
          <w:bCs w:val="0"/>
          <w:color w:val="000000" w:themeColor="text1"/>
          <w:sz w:val="32"/>
          <w:szCs w:val="24"/>
          <w:lang w:val="en-US" w:eastAsia="zh-CN"/>
          <w14:textFill>
            <w14:solidFill>
              <w14:schemeClr w14:val="tx1"/>
            </w14:solidFill>
          </w14:textFill>
        </w:rPr>
        <w:t>组建园区发展</w:t>
      </w:r>
      <w:r>
        <w:rPr>
          <w:rFonts w:hint="eastAsia" w:ascii="Times New Roman" w:hAnsi="Times New Roman" w:eastAsia="仿宋_GB2312" w:cs="Times New Roman"/>
          <w:b w:val="0"/>
          <w:bCs w:val="0"/>
          <w:color w:val="000000" w:themeColor="text1"/>
          <w:sz w:val="32"/>
          <w:szCs w:val="24"/>
          <w14:textFill>
            <w14:solidFill>
              <w14:schemeClr w14:val="tx1"/>
            </w14:solidFill>
          </w14:textFill>
        </w:rPr>
        <w:t>专家</w:t>
      </w:r>
      <w:r>
        <w:rPr>
          <w:rFonts w:hint="eastAsia" w:ascii="Times New Roman" w:hAnsi="Times New Roman" w:eastAsia="仿宋_GB2312" w:cs="Times New Roman"/>
          <w:b w:val="0"/>
          <w:bCs w:val="0"/>
          <w:color w:val="000000" w:themeColor="text1"/>
          <w:sz w:val="32"/>
          <w:szCs w:val="24"/>
          <w:lang w:val="en-US" w:eastAsia="zh-CN"/>
          <w14:textFill>
            <w14:solidFill>
              <w14:schemeClr w14:val="tx1"/>
            </w14:solidFill>
          </w14:textFill>
        </w:rPr>
        <w:t>咨询委员会</w:t>
      </w:r>
      <w:r>
        <w:rPr>
          <w:rFonts w:hint="eastAsia" w:ascii="Times New Roman" w:hAnsi="Times New Roman" w:eastAsia="仿宋_GB2312" w:cs="Times New Roman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，提供从对接洽谈、落地建设到运营发展的全流程定制化服务</w:t>
      </w:r>
      <w:r>
        <w:rPr>
          <w:rFonts w:hint="eastAsia" w:ascii="Times New Roman" w:hAnsi="Times New Roman" w:eastAsia="仿宋_GB2312" w:cs="Times New Roman"/>
          <w:b w:val="0"/>
          <w:bCs w:val="0"/>
          <w:color w:val="000000" w:themeColor="text1"/>
          <w:sz w:val="32"/>
          <w:szCs w:val="24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14:textFill>
            <w14:solidFill>
              <w14:schemeClr w14:val="tx1"/>
            </w14:solidFill>
          </w14:textFill>
        </w:rPr>
        <w:t>建立全周期动态监测体系</w:t>
      </w:r>
      <w:r>
        <w:rPr>
          <w:rFonts w:hint="eastAsia" w:ascii="Times New Roman" w:hAnsi="Times New Roman" w:eastAsia="仿宋_GB2312"/>
          <w:b/>
          <w:bCs/>
          <w:color w:val="000000" w:themeColor="text1"/>
          <w:sz w:val="32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运用大数据、人工智能等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新</w:t>
      </w:r>
      <w:r>
        <w:rPr>
          <w:rFonts w:hint="eastAsia" w:ascii="Times New Roman" w:hAnsi="Times New Roman" w:eastAsia="仿宋_GB2312"/>
          <w:b w:val="0"/>
          <w:bCs w:val="0"/>
          <w:color w:val="000000" w:themeColor="text1"/>
          <w:sz w:val="32"/>
          <w14:textFill>
            <w14:solidFill>
              <w14:schemeClr w14:val="tx1"/>
            </w14:solidFill>
          </w14:textFill>
        </w:rPr>
        <w:t>手段，对规划目标、重点任务、项目建设、要素保障等实施全过程跟踪监测，精准掌握园区发展态势。</w:t>
      </w:r>
      <w:r>
        <w:rPr>
          <w:rFonts w:hint="eastAsia" w:ascii="Times New Roman" w:hAnsi="Times New Roman" w:eastAsia="仿宋_GB2312" w:cs="Times New Roman"/>
          <w:b/>
          <w:bCs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实施园区品牌提升行动，</w:t>
      </w:r>
      <w:r>
        <w:rPr>
          <w:rFonts w:hint="eastAsia" w:ascii="Times New Roman" w:hAnsi="Times New Roman" w:eastAsia="仿宋_GB2312" w:cs="Times New Roman"/>
          <w:b w:val="0"/>
          <w:bCs w:val="0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健全常态化宣传矩阵，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通过发布创新发展报告、开展年度产业评选等举措，塑造特色产业名片，吸引优质企业与创新资源集聚。</w:t>
      </w:r>
    </w:p>
    <w:bookmarkEnd w:id="202"/>
    <w:bookmarkEnd w:id="203"/>
    <w:bookmarkEnd w:id="204"/>
    <w:bookmarkEnd w:id="205"/>
    <w:bookmarkEnd w:id="206"/>
    <w:bookmarkEnd w:id="207"/>
    <w:bookmarkEnd w:id="208"/>
    <w:bookmarkEnd w:id="209"/>
    <w:bookmarkEnd w:id="210"/>
    <w:p/>
    <w:sectPr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DF5D2A28-CA8B-43B2-A313-F25840CF7BF7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96AB24E0-2638-4261-BE6B-C21ECD950ECA}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3" w:fontKey="{F2274D40-84CA-4305-8526-537A0C4B2CE7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97961458-705A-48F2-9A2B-1A7EB3282B41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D1A5EEC8-D5B5-4B96-99C2-23218C45DC6E}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CESI黑体-GB2312">
    <w:altName w:val="黑体"/>
    <w:panose1 w:val="02000500000000000000"/>
    <w:charset w:val="86"/>
    <w:family w:val="auto"/>
    <w:pitch w:val="default"/>
    <w:sig w:usb0="00000000" w:usb1="00000000" w:usb2="00000012" w:usb3="00000000" w:csb0="0004000F" w:csb1="00000000"/>
    <w:embedRegular r:id="rId6" w:fontKey="{05D465DD-74AE-465F-BD6F-A55F3BFAF338}"/>
  </w:font>
  <w:font w:name="方正书宋_GBK">
    <w:altName w:val="微软雅黑"/>
    <w:panose1 w:val="02000000000000000000"/>
    <w:charset w:val="86"/>
    <w:family w:val="auto"/>
    <w:pitch w:val="default"/>
    <w:sig w:usb0="00000000" w:usb1="00000000" w:usb2="00082016" w:usb3="00000000" w:csb0="00040001" w:csb1="00000000"/>
  </w:font>
  <w:font w:name="方正黑体_GBK">
    <w:altName w:val="微软雅黑"/>
    <w:panose1 w:val="02000000000000000000"/>
    <w:charset w:val="86"/>
    <w:family w:val="auto"/>
    <w:pitch w:val="default"/>
    <w:sig w:usb0="00000000" w:usb1="00000000" w:usb2="00082016" w:usb3="00000000" w:csb0="00040001" w:csb1="00000000"/>
  </w:font>
  <w:font w:name="DejaVu Sans">
    <w:altName w:val="Segoe Print"/>
    <w:panose1 w:val="020B0603030804020204"/>
    <w:charset w:val="00"/>
    <w:family w:val="auto"/>
    <w:pitch w:val="default"/>
    <w:sig w:usb0="00000000" w:usb1="00000000" w:usb2="0A246029" w:usb3="0400200C" w:csb0="600001FF" w:csb1="D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9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- 45 -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4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DOqXm5zwAAAAUBAAAPAAAAAAAAAAEAIAAAACIAAABkcnMvZG93bnJldi54bWxQSwEC&#10;FAAUAAAACACHTuJAksI0ocQBAABxAwAADgAAAAAAAAABACAAAAAeAQAAZHJzL2Uyb0RvYy54bWxQ&#10;SwUGAAAAAAYABgBZAQAAV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- 45 -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9"/>
    </w:pPr>
  </w:p>
  <w:p>
    <w:pPr>
      <w:pStyle w:val="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id="0">
    <w:p>
      <w:pPr>
        <w:pStyle w:val="12"/>
        <w:snapToGrid w:val="0"/>
        <w:rPr>
          <w:rFonts w:hint="eastAsia" w:ascii="楷体" w:hAnsi="楷体" w:eastAsia="楷体" w:cs="楷体"/>
          <w:sz w:val="20"/>
          <w:szCs w:val="28"/>
        </w:rPr>
      </w:pPr>
      <w:r>
        <w:rPr>
          <w:rStyle w:val="18"/>
        </w:rPr>
        <w:footnoteRef/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="楷体" w:hAnsi="楷体" w:eastAsia="楷体" w:cs="楷体"/>
          <w:color w:val="auto"/>
          <w:sz w:val="20"/>
          <w:szCs w:val="28"/>
        </w:rPr>
        <w:t>北京工业职业技术学院</w:t>
      </w:r>
      <w:r>
        <w:rPr>
          <w:rFonts w:hint="eastAsia" w:ascii="楷体" w:hAnsi="楷体" w:eastAsia="楷体" w:cs="楷体"/>
          <w:color w:val="auto"/>
          <w:sz w:val="20"/>
          <w:szCs w:val="28"/>
          <w:lang w:val="en-US" w:eastAsia="zh-CN"/>
        </w:rPr>
        <w:t>计划</w:t>
      </w:r>
      <w:r>
        <w:rPr>
          <w:rFonts w:hint="eastAsia" w:ascii="楷体" w:hAnsi="楷体" w:eastAsia="楷体" w:cs="楷体"/>
          <w:b w:val="0"/>
          <w:bCs w:val="0"/>
          <w:color w:val="auto"/>
          <w:sz w:val="20"/>
          <w:szCs w:val="28"/>
          <w:lang w:val="en-US" w:eastAsia="zh-CN"/>
        </w:rPr>
        <w:t>“十五五”期间升级为职业本科大学。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C98BFBA"/>
    <w:multiLevelType w:val="singleLevel"/>
    <w:tmpl w:val="EC98BFBA"/>
    <w:lvl w:ilvl="0" w:tentative="0">
      <w:start w:val="1"/>
      <w:numFmt w:val="decimal"/>
      <w:pStyle w:val="5"/>
      <w:suff w:val="space"/>
      <w:lvlText w:val="(%1)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embedTrueTypeFonts/>
  <w:saveSubsetFonts/>
  <w:bordersDoNotSurroundHeader w:val="0"/>
  <w:bordersDoNotSurroundFooter w:val="0"/>
  <w:trackRevisions w:val="1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942B7"/>
    <w:rsid w:val="0011760F"/>
    <w:rsid w:val="00172E78"/>
    <w:rsid w:val="001747B4"/>
    <w:rsid w:val="00197A08"/>
    <w:rsid w:val="001C048E"/>
    <w:rsid w:val="002630BB"/>
    <w:rsid w:val="00291864"/>
    <w:rsid w:val="002A098D"/>
    <w:rsid w:val="003720B1"/>
    <w:rsid w:val="00377268"/>
    <w:rsid w:val="003A0914"/>
    <w:rsid w:val="00455A64"/>
    <w:rsid w:val="0046375D"/>
    <w:rsid w:val="004A1099"/>
    <w:rsid w:val="004B48CF"/>
    <w:rsid w:val="004C178B"/>
    <w:rsid w:val="00507CF4"/>
    <w:rsid w:val="005539A0"/>
    <w:rsid w:val="00627E6B"/>
    <w:rsid w:val="006D6F3B"/>
    <w:rsid w:val="0075194C"/>
    <w:rsid w:val="007C717F"/>
    <w:rsid w:val="007F6C6F"/>
    <w:rsid w:val="00920750"/>
    <w:rsid w:val="009C7015"/>
    <w:rsid w:val="00A67D58"/>
    <w:rsid w:val="00AB7A64"/>
    <w:rsid w:val="00AB7AF2"/>
    <w:rsid w:val="00AF56D4"/>
    <w:rsid w:val="00B32434"/>
    <w:rsid w:val="00B95CDD"/>
    <w:rsid w:val="00C025D1"/>
    <w:rsid w:val="00C316A4"/>
    <w:rsid w:val="00CC0C0D"/>
    <w:rsid w:val="00CF5500"/>
    <w:rsid w:val="00D64F7B"/>
    <w:rsid w:val="00EA40E8"/>
    <w:rsid w:val="00EB1C0E"/>
    <w:rsid w:val="00EC3893"/>
    <w:rsid w:val="00F211EF"/>
    <w:rsid w:val="00F27441"/>
    <w:rsid w:val="00F9257D"/>
    <w:rsid w:val="00FC09F3"/>
    <w:rsid w:val="00FD1A81"/>
    <w:rsid w:val="00FE7B94"/>
    <w:rsid w:val="01057174"/>
    <w:rsid w:val="010A5041"/>
    <w:rsid w:val="010A795B"/>
    <w:rsid w:val="010C5DD9"/>
    <w:rsid w:val="010D7DD7"/>
    <w:rsid w:val="01154EDD"/>
    <w:rsid w:val="01156C56"/>
    <w:rsid w:val="01205D5C"/>
    <w:rsid w:val="01233A9E"/>
    <w:rsid w:val="01260767"/>
    <w:rsid w:val="01281AAC"/>
    <w:rsid w:val="012A0989"/>
    <w:rsid w:val="013F75D8"/>
    <w:rsid w:val="01415CD2"/>
    <w:rsid w:val="01420A1F"/>
    <w:rsid w:val="01457570"/>
    <w:rsid w:val="014D28C9"/>
    <w:rsid w:val="014D3D4C"/>
    <w:rsid w:val="01541EA9"/>
    <w:rsid w:val="015B60F8"/>
    <w:rsid w:val="015C15C8"/>
    <w:rsid w:val="016245C6"/>
    <w:rsid w:val="016320EC"/>
    <w:rsid w:val="016B59C5"/>
    <w:rsid w:val="016D50E6"/>
    <w:rsid w:val="016E4D66"/>
    <w:rsid w:val="01703979"/>
    <w:rsid w:val="01846F0A"/>
    <w:rsid w:val="018502B5"/>
    <w:rsid w:val="01883901"/>
    <w:rsid w:val="018B10E6"/>
    <w:rsid w:val="01B97F5E"/>
    <w:rsid w:val="01C25065"/>
    <w:rsid w:val="01C859BC"/>
    <w:rsid w:val="01CB731F"/>
    <w:rsid w:val="01CF32DE"/>
    <w:rsid w:val="01CF6084"/>
    <w:rsid w:val="01D10B24"/>
    <w:rsid w:val="01D54BFB"/>
    <w:rsid w:val="01DF1BA2"/>
    <w:rsid w:val="01ED5887"/>
    <w:rsid w:val="01EE73D5"/>
    <w:rsid w:val="020945D8"/>
    <w:rsid w:val="02190AEF"/>
    <w:rsid w:val="021B4775"/>
    <w:rsid w:val="021F6013"/>
    <w:rsid w:val="02293966"/>
    <w:rsid w:val="02310903"/>
    <w:rsid w:val="02323BAA"/>
    <w:rsid w:val="02353A89"/>
    <w:rsid w:val="02377801"/>
    <w:rsid w:val="023C4E17"/>
    <w:rsid w:val="02467A44"/>
    <w:rsid w:val="024E4B4B"/>
    <w:rsid w:val="025A34EF"/>
    <w:rsid w:val="025A704C"/>
    <w:rsid w:val="025D6B3C"/>
    <w:rsid w:val="026033F5"/>
    <w:rsid w:val="02781BC8"/>
    <w:rsid w:val="02797BDD"/>
    <w:rsid w:val="02822557"/>
    <w:rsid w:val="02897931"/>
    <w:rsid w:val="028A68BC"/>
    <w:rsid w:val="028B36A9"/>
    <w:rsid w:val="02915F41"/>
    <w:rsid w:val="029403CC"/>
    <w:rsid w:val="02987B74"/>
    <w:rsid w:val="029964C0"/>
    <w:rsid w:val="02A65A02"/>
    <w:rsid w:val="02A824AD"/>
    <w:rsid w:val="02AC6928"/>
    <w:rsid w:val="02AF3E19"/>
    <w:rsid w:val="02B17B5E"/>
    <w:rsid w:val="02B240F8"/>
    <w:rsid w:val="02B50726"/>
    <w:rsid w:val="02B726F0"/>
    <w:rsid w:val="02B938C4"/>
    <w:rsid w:val="02C31E14"/>
    <w:rsid w:val="02CB7F49"/>
    <w:rsid w:val="02CE055E"/>
    <w:rsid w:val="02CF53BC"/>
    <w:rsid w:val="02E42606"/>
    <w:rsid w:val="02EB4CB8"/>
    <w:rsid w:val="02F15116"/>
    <w:rsid w:val="02FE031F"/>
    <w:rsid w:val="02FE20CD"/>
    <w:rsid w:val="03092820"/>
    <w:rsid w:val="030A7B90"/>
    <w:rsid w:val="03125417"/>
    <w:rsid w:val="03125B78"/>
    <w:rsid w:val="0314369E"/>
    <w:rsid w:val="031E62CB"/>
    <w:rsid w:val="032F672A"/>
    <w:rsid w:val="033923C2"/>
    <w:rsid w:val="033A2EDE"/>
    <w:rsid w:val="03497C46"/>
    <w:rsid w:val="03557185"/>
    <w:rsid w:val="0365214C"/>
    <w:rsid w:val="03652CA2"/>
    <w:rsid w:val="03672922"/>
    <w:rsid w:val="03685798"/>
    <w:rsid w:val="037576B9"/>
    <w:rsid w:val="03764359"/>
    <w:rsid w:val="0377154D"/>
    <w:rsid w:val="03802AE2"/>
    <w:rsid w:val="038138F2"/>
    <w:rsid w:val="038D3451"/>
    <w:rsid w:val="038E4D60"/>
    <w:rsid w:val="0394658D"/>
    <w:rsid w:val="03950D61"/>
    <w:rsid w:val="03990047"/>
    <w:rsid w:val="039C5442"/>
    <w:rsid w:val="03A8028B"/>
    <w:rsid w:val="03C52BEB"/>
    <w:rsid w:val="03D177E1"/>
    <w:rsid w:val="03D41080"/>
    <w:rsid w:val="03D80B70"/>
    <w:rsid w:val="03DD1CE2"/>
    <w:rsid w:val="03DF1EFE"/>
    <w:rsid w:val="03E272F9"/>
    <w:rsid w:val="03E570BA"/>
    <w:rsid w:val="03E644F5"/>
    <w:rsid w:val="03E85138"/>
    <w:rsid w:val="03EC0177"/>
    <w:rsid w:val="03F31506"/>
    <w:rsid w:val="03FB660C"/>
    <w:rsid w:val="03FF60FC"/>
    <w:rsid w:val="040354C1"/>
    <w:rsid w:val="04041965"/>
    <w:rsid w:val="04051239"/>
    <w:rsid w:val="040C0819"/>
    <w:rsid w:val="041001B9"/>
    <w:rsid w:val="041476CE"/>
    <w:rsid w:val="04213B1B"/>
    <w:rsid w:val="04247FBF"/>
    <w:rsid w:val="042623AF"/>
    <w:rsid w:val="042B1767"/>
    <w:rsid w:val="042D5DE5"/>
    <w:rsid w:val="04385CF0"/>
    <w:rsid w:val="043F4C76"/>
    <w:rsid w:val="044004C3"/>
    <w:rsid w:val="044A30F0"/>
    <w:rsid w:val="04506958"/>
    <w:rsid w:val="045647B2"/>
    <w:rsid w:val="0457222B"/>
    <w:rsid w:val="045A3333"/>
    <w:rsid w:val="045D2E23"/>
    <w:rsid w:val="04640655"/>
    <w:rsid w:val="04716658"/>
    <w:rsid w:val="04720BC8"/>
    <w:rsid w:val="047343F5"/>
    <w:rsid w:val="0475016D"/>
    <w:rsid w:val="04800111"/>
    <w:rsid w:val="04814D63"/>
    <w:rsid w:val="0482288A"/>
    <w:rsid w:val="04926B8C"/>
    <w:rsid w:val="04932CE9"/>
    <w:rsid w:val="04966335"/>
    <w:rsid w:val="04986517"/>
    <w:rsid w:val="049973F4"/>
    <w:rsid w:val="04AC7907"/>
    <w:rsid w:val="04B30C95"/>
    <w:rsid w:val="04B36EE7"/>
    <w:rsid w:val="04BA64C7"/>
    <w:rsid w:val="04C2515D"/>
    <w:rsid w:val="04C42EA2"/>
    <w:rsid w:val="04CB21E9"/>
    <w:rsid w:val="04CB4231"/>
    <w:rsid w:val="04CE5ACF"/>
    <w:rsid w:val="04E92909"/>
    <w:rsid w:val="04E9501D"/>
    <w:rsid w:val="04EA3541"/>
    <w:rsid w:val="04EA65CA"/>
    <w:rsid w:val="04F27A0F"/>
    <w:rsid w:val="04F62134"/>
    <w:rsid w:val="04F62A8E"/>
    <w:rsid w:val="04F67304"/>
    <w:rsid w:val="04FD0162"/>
    <w:rsid w:val="0501372D"/>
    <w:rsid w:val="050140F6"/>
    <w:rsid w:val="0507672A"/>
    <w:rsid w:val="05087233"/>
    <w:rsid w:val="05093222"/>
    <w:rsid w:val="05097AD0"/>
    <w:rsid w:val="05103559"/>
    <w:rsid w:val="05110760"/>
    <w:rsid w:val="05123C0E"/>
    <w:rsid w:val="051303DF"/>
    <w:rsid w:val="051B6147"/>
    <w:rsid w:val="051F457C"/>
    <w:rsid w:val="05253B7D"/>
    <w:rsid w:val="052E656D"/>
    <w:rsid w:val="05301F0E"/>
    <w:rsid w:val="053047DC"/>
    <w:rsid w:val="053242B0"/>
    <w:rsid w:val="0534627A"/>
    <w:rsid w:val="053960A1"/>
    <w:rsid w:val="053E7324"/>
    <w:rsid w:val="05412745"/>
    <w:rsid w:val="054162A1"/>
    <w:rsid w:val="05420919"/>
    <w:rsid w:val="054E7A7A"/>
    <w:rsid w:val="05504736"/>
    <w:rsid w:val="05523F70"/>
    <w:rsid w:val="055661F0"/>
    <w:rsid w:val="05580ED4"/>
    <w:rsid w:val="055A7363"/>
    <w:rsid w:val="055E32F7"/>
    <w:rsid w:val="056A57F8"/>
    <w:rsid w:val="056B77C2"/>
    <w:rsid w:val="056C36CD"/>
    <w:rsid w:val="056C5A14"/>
    <w:rsid w:val="05821D18"/>
    <w:rsid w:val="05836F5C"/>
    <w:rsid w:val="05852631"/>
    <w:rsid w:val="058954CE"/>
    <w:rsid w:val="058A5E9A"/>
    <w:rsid w:val="058C5590"/>
    <w:rsid w:val="059607D0"/>
    <w:rsid w:val="05964F85"/>
    <w:rsid w:val="05A50F26"/>
    <w:rsid w:val="05A64EA5"/>
    <w:rsid w:val="05A86320"/>
    <w:rsid w:val="05B66C8F"/>
    <w:rsid w:val="05B747B5"/>
    <w:rsid w:val="05B922DB"/>
    <w:rsid w:val="05BA1E72"/>
    <w:rsid w:val="05BD2B39"/>
    <w:rsid w:val="05BE1FE7"/>
    <w:rsid w:val="05C56ED2"/>
    <w:rsid w:val="05CA44E8"/>
    <w:rsid w:val="05CF1AFF"/>
    <w:rsid w:val="05CF5FA2"/>
    <w:rsid w:val="05D215EF"/>
    <w:rsid w:val="05D259A0"/>
    <w:rsid w:val="05DF0CE8"/>
    <w:rsid w:val="05EA06E6"/>
    <w:rsid w:val="05ED6429"/>
    <w:rsid w:val="05EF3F4F"/>
    <w:rsid w:val="05F14B49"/>
    <w:rsid w:val="060B584A"/>
    <w:rsid w:val="06113EC5"/>
    <w:rsid w:val="06176438"/>
    <w:rsid w:val="06212B1B"/>
    <w:rsid w:val="06253E14"/>
    <w:rsid w:val="062C54B3"/>
    <w:rsid w:val="062E2364"/>
    <w:rsid w:val="063A78C0"/>
    <w:rsid w:val="063D4CBA"/>
    <w:rsid w:val="064230E5"/>
    <w:rsid w:val="06426774"/>
    <w:rsid w:val="06451A56"/>
    <w:rsid w:val="06462D5B"/>
    <w:rsid w:val="06475B39"/>
    <w:rsid w:val="06640499"/>
    <w:rsid w:val="06732DD2"/>
    <w:rsid w:val="0676641E"/>
    <w:rsid w:val="0678281B"/>
    <w:rsid w:val="06823015"/>
    <w:rsid w:val="06837FE9"/>
    <w:rsid w:val="069114AA"/>
    <w:rsid w:val="069B2CAB"/>
    <w:rsid w:val="069D376A"/>
    <w:rsid w:val="06A50AB1"/>
    <w:rsid w:val="06A91D04"/>
    <w:rsid w:val="06AA1E7F"/>
    <w:rsid w:val="06AE0CA3"/>
    <w:rsid w:val="06AE5BB8"/>
    <w:rsid w:val="06B036DE"/>
    <w:rsid w:val="06B35037"/>
    <w:rsid w:val="06C07699"/>
    <w:rsid w:val="06C349E5"/>
    <w:rsid w:val="06C35109"/>
    <w:rsid w:val="06D03D80"/>
    <w:rsid w:val="06D84848"/>
    <w:rsid w:val="06DD0CD0"/>
    <w:rsid w:val="06E86F6A"/>
    <w:rsid w:val="06EA7832"/>
    <w:rsid w:val="06EB0BBA"/>
    <w:rsid w:val="06EC4F58"/>
    <w:rsid w:val="06F2019A"/>
    <w:rsid w:val="06F442A9"/>
    <w:rsid w:val="06F53390"/>
    <w:rsid w:val="06F947CF"/>
    <w:rsid w:val="070139C9"/>
    <w:rsid w:val="07061550"/>
    <w:rsid w:val="070B125C"/>
    <w:rsid w:val="070F453B"/>
    <w:rsid w:val="071A324D"/>
    <w:rsid w:val="071A4FFB"/>
    <w:rsid w:val="07264567"/>
    <w:rsid w:val="07267E44"/>
    <w:rsid w:val="07287718"/>
    <w:rsid w:val="072B394E"/>
    <w:rsid w:val="072F193C"/>
    <w:rsid w:val="072F5A00"/>
    <w:rsid w:val="07322345"/>
    <w:rsid w:val="073C7668"/>
    <w:rsid w:val="073D135E"/>
    <w:rsid w:val="074958E1"/>
    <w:rsid w:val="074F2F02"/>
    <w:rsid w:val="07520C39"/>
    <w:rsid w:val="075E313A"/>
    <w:rsid w:val="07616561"/>
    <w:rsid w:val="07762B7A"/>
    <w:rsid w:val="077B0190"/>
    <w:rsid w:val="07807554"/>
    <w:rsid w:val="078F2096"/>
    <w:rsid w:val="079C166C"/>
    <w:rsid w:val="07A62D33"/>
    <w:rsid w:val="07B567B5"/>
    <w:rsid w:val="07B73EB6"/>
    <w:rsid w:val="07B90CB8"/>
    <w:rsid w:val="07BA06BE"/>
    <w:rsid w:val="07C22247"/>
    <w:rsid w:val="07C80EFB"/>
    <w:rsid w:val="07CD206E"/>
    <w:rsid w:val="07CE2A72"/>
    <w:rsid w:val="07CF34CE"/>
    <w:rsid w:val="07DA2DDF"/>
    <w:rsid w:val="07DD40F6"/>
    <w:rsid w:val="07DD5EF9"/>
    <w:rsid w:val="07E1316C"/>
    <w:rsid w:val="07E51AAD"/>
    <w:rsid w:val="07E5385B"/>
    <w:rsid w:val="07E55609"/>
    <w:rsid w:val="07E61A28"/>
    <w:rsid w:val="07E63F04"/>
    <w:rsid w:val="07EC2E3C"/>
    <w:rsid w:val="07F36299"/>
    <w:rsid w:val="07F7533D"/>
    <w:rsid w:val="07FE491D"/>
    <w:rsid w:val="0802318F"/>
    <w:rsid w:val="08043700"/>
    <w:rsid w:val="0809574A"/>
    <w:rsid w:val="08147C9D"/>
    <w:rsid w:val="0817778D"/>
    <w:rsid w:val="081E0B1B"/>
    <w:rsid w:val="0822060B"/>
    <w:rsid w:val="08240AC4"/>
    <w:rsid w:val="0825512E"/>
    <w:rsid w:val="082C4FE6"/>
    <w:rsid w:val="08395955"/>
    <w:rsid w:val="083A0C0C"/>
    <w:rsid w:val="084635EB"/>
    <w:rsid w:val="084D0397"/>
    <w:rsid w:val="08510EF1"/>
    <w:rsid w:val="08591B53"/>
    <w:rsid w:val="08624EAC"/>
    <w:rsid w:val="08634780"/>
    <w:rsid w:val="0866275E"/>
    <w:rsid w:val="0870581B"/>
    <w:rsid w:val="08793FA4"/>
    <w:rsid w:val="087B41C0"/>
    <w:rsid w:val="087B7D1C"/>
    <w:rsid w:val="088766C0"/>
    <w:rsid w:val="088E5CA1"/>
    <w:rsid w:val="08980420"/>
    <w:rsid w:val="089A2898"/>
    <w:rsid w:val="089B6610"/>
    <w:rsid w:val="08A632D3"/>
    <w:rsid w:val="08A81240"/>
    <w:rsid w:val="08BA4CE8"/>
    <w:rsid w:val="08C238D1"/>
    <w:rsid w:val="08C353DC"/>
    <w:rsid w:val="08CC4A1B"/>
    <w:rsid w:val="08CE1FB4"/>
    <w:rsid w:val="08CF1E16"/>
    <w:rsid w:val="08D239C2"/>
    <w:rsid w:val="08DB07BA"/>
    <w:rsid w:val="08DF4911"/>
    <w:rsid w:val="08E951F9"/>
    <w:rsid w:val="08F05437"/>
    <w:rsid w:val="08F33D56"/>
    <w:rsid w:val="08FD2E27"/>
    <w:rsid w:val="09000221"/>
    <w:rsid w:val="090C3F9D"/>
    <w:rsid w:val="09114A79"/>
    <w:rsid w:val="091343F8"/>
    <w:rsid w:val="09246605"/>
    <w:rsid w:val="09273A00"/>
    <w:rsid w:val="09292A93"/>
    <w:rsid w:val="09320D22"/>
    <w:rsid w:val="09365C51"/>
    <w:rsid w:val="094445B2"/>
    <w:rsid w:val="094543A5"/>
    <w:rsid w:val="094570C5"/>
    <w:rsid w:val="094C3FA0"/>
    <w:rsid w:val="094D790A"/>
    <w:rsid w:val="09591064"/>
    <w:rsid w:val="095A2027"/>
    <w:rsid w:val="095A6844"/>
    <w:rsid w:val="095E54EB"/>
    <w:rsid w:val="096864F2"/>
    <w:rsid w:val="096B4234"/>
    <w:rsid w:val="09776EF0"/>
    <w:rsid w:val="097E3F67"/>
    <w:rsid w:val="098D2520"/>
    <w:rsid w:val="098D7D07"/>
    <w:rsid w:val="099065A8"/>
    <w:rsid w:val="09906FBF"/>
    <w:rsid w:val="099866AB"/>
    <w:rsid w:val="09A45DD7"/>
    <w:rsid w:val="09A94B32"/>
    <w:rsid w:val="09AF5ECF"/>
    <w:rsid w:val="09B052F6"/>
    <w:rsid w:val="09BF1E8A"/>
    <w:rsid w:val="09CC13A3"/>
    <w:rsid w:val="09D65B51"/>
    <w:rsid w:val="09DB4F16"/>
    <w:rsid w:val="09E33DCA"/>
    <w:rsid w:val="09E657AD"/>
    <w:rsid w:val="09E7414B"/>
    <w:rsid w:val="09F10363"/>
    <w:rsid w:val="09F4422A"/>
    <w:rsid w:val="09F77876"/>
    <w:rsid w:val="09FB1114"/>
    <w:rsid w:val="0A051F93"/>
    <w:rsid w:val="0A0C1573"/>
    <w:rsid w:val="0A1B3564"/>
    <w:rsid w:val="0A26649E"/>
    <w:rsid w:val="0A2C37A9"/>
    <w:rsid w:val="0A2D5046"/>
    <w:rsid w:val="0A2F7010"/>
    <w:rsid w:val="0A3245CA"/>
    <w:rsid w:val="0A3665F0"/>
    <w:rsid w:val="0A375EC4"/>
    <w:rsid w:val="0A3B3C06"/>
    <w:rsid w:val="0A40746F"/>
    <w:rsid w:val="0A436A63"/>
    <w:rsid w:val="0A466107"/>
    <w:rsid w:val="0A481E7F"/>
    <w:rsid w:val="0A4A209B"/>
    <w:rsid w:val="0A4D56E8"/>
    <w:rsid w:val="0A515D78"/>
    <w:rsid w:val="0A57187F"/>
    <w:rsid w:val="0A574413"/>
    <w:rsid w:val="0A5B6057"/>
    <w:rsid w:val="0A5C592B"/>
    <w:rsid w:val="0A600591"/>
    <w:rsid w:val="0A634F0B"/>
    <w:rsid w:val="0A6630E8"/>
    <w:rsid w:val="0A680D32"/>
    <w:rsid w:val="0A6C0264"/>
    <w:rsid w:val="0A6C77D6"/>
    <w:rsid w:val="0A6C7C27"/>
    <w:rsid w:val="0A6D18E6"/>
    <w:rsid w:val="0A73514E"/>
    <w:rsid w:val="0A7E1D45"/>
    <w:rsid w:val="0A7E3051"/>
    <w:rsid w:val="0A7E6C48"/>
    <w:rsid w:val="0A805ABD"/>
    <w:rsid w:val="0A950AEA"/>
    <w:rsid w:val="0A951B0C"/>
    <w:rsid w:val="0A9652E1"/>
    <w:rsid w:val="0A9877F2"/>
    <w:rsid w:val="0A9B6453"/>
    <w:rsid w:val="0A9C2009"/>
    <w:rsid w:val="0A9D666F"/>
    <w:rsid w:val="0AAB0D8C"/>
    <w:rsid w:val="0AAD3F14"/>
    <w:rsid w:val="0AC17331"/>
    <w:rsid w:val="0AC41E4E"/>
    <w:rsid w:val="0AC91212"/>
    <w:rsid w:val="0AC92FC0"/>
    <w:rsid w:val="0ACB64AA"/>
    <w:rsid w:val="0AD81455"/>
    <w:rsid w:val="0AD96F7B"/>
    <w:rsid w:val="0ADA341F"/>
    <w:rsid w:val="0AE0387E"/>
    <w:rsid w:val="0AE3696C"/>
    <w:rsid w:val="0AE4604C"/>
    <w:rsid w:val="0AE61752"/>
    <w:rsid w:val="0AE778EA"/>
    <w:rsid w:val="0AE809B1"/>
    <w:rsid w:val="0AEC6CAF"/>
    <w:rsid w:val="0AF8528D"/>
    <w:rsid w:val="0B036EA1"/>
    <w:rsid w:val="0B09261E"/>
    <w:rsid w:val="0B095527"/>
    <w:rsid w:val="0B0A397A"/>
    <w:rsid w:val="0B100BEF"/>
    <w:rsid w:val="0B132F9F"/>
    <w:rsid w:val="0B14713B"/>
    <w:rsid w:val="0B216B64"/>
    <w:rsid w:val="0B262672"/>
    <w:rsid w:val="0B2D2264"/>
    <w:rsid w:val="0B3B7875"/>
    <w:rsid w:val="0B3D750A"/>
    <w:rsid w:val="0B41524D"/>
    <w:rsid w:val="0B446AEB"/>
    <w:rsid w:val="0B464611"/>
    <w:rsid w:val="0B557BA5"/>
    <w:rsid w:val="0B565626"/>
    <w:rsid w:val="0B5D4FB1"/>
    <w:rsid w:val="0B5E68AE"/>
    <w:rsid w:val="0B6727D9"/>
    <w:rsid w:val="0B680A2B"/>
    <w:rsid w:val="0B6A098F"/>
    <w:rsid w:val="0B6A6D69"/>
    <w:rsid w:val="0B701150"/>
    <w:rsid w:val="0B7600D9"/>
    <w:rsid w:val="0B76395D"/>
    <w:rsid w:val="0B7A69B0"/>
    <w:rsid w:val="0B7D32E8"/>
    <w:rsid w:val="0B7F2FC8"/>
    <w:rsid w:val="0B896BF3"/>
    <w:rsid w:val="0B937689"/>
    <w:rsid w:val="0B95352C"/>
    <w:rsid w:val="0B983A14"/>
    <w:rsid w:val="0BA37CB5"/>
    <w:rsid w:val="0BA63302"/>
    <w:rsid w:val="0BA80048"/>
    <w:rsid w:val="0BAD6035"/>
    <w:rsid w:val="0BB102BE"/>
    <w:rsid w:val="0BB43C70"/>
    <w:rsid w:val="0BB856CB"/>
    <w:rsid w:val="0BB94493"/>
    <w:rsid w:val="0BBC16CE"/>
    <w:rsid w:val="0BBE2504"/>
    <w:rsid w:val="0BC02AD7"/>
    <w:rsid w:val="0BC96FF0"/>
    <w:rsid w:val="0BCB2D68"/>
    <w:rsid w:val="0BDA3681"/>
    <w:rsid w:val="0BDA59F8"/>
    <w:rsid w:val="0BDC31C7"/>
    <w:rsid w:val="0BE04A65"/>
    <w:rsid w:val="0BE70915"/>
    <w:rsid w:val="0BF1322A"/>
    <w:rsid w:val="0BF422BF"/>
    <w:rsid w:val="0BF73AE1"/>
    <w:rsid w:val="0BFA364D"/>
    <w:rsid w:val="0C05627A"/>
    <w:rsid w:val="0C087B18"/>
    <w:rsid w:val="0C126BE9"/>
    <w:rsid w:val="0C13795F"/>
    <w:rsid w:val="0C1A784C"/>
    <w:rsid w:val="0C241710"/>
    <w:rsid w:val="0C252478"/>
    <w:rsid w:val="0C25691C"/>
    <w:rsid w:val="0C2D19C8"/>
    <w:rsid w:val="0C324B95"/>
    <w:rsid w:val="0C360B29"/>
    <w:rsid w:val="0C3722BA"/>
    <w:rsid w:val="0C39369B"/>
    <w:rsid w:val="0C3A3577"/>
    <w:rsid w:val="0C3B5076"/>
    <w:rsid w:val="0C3E79DE"/>
    <w:rsid w:val="0C495989"/>
    <w:rsid w:val="0C5114BF"/>
    <w:rsid w:val="0C523489"/>
    <w:rsid w:val="0C61547A"/>
    <w:rsid w:val="0C727688"/>
    <w:rsid w:val="0C77368F"/>
    <w:rsid w:val="0C7905FD"/>
    <w:rsid w:val="0C7927C4"/>
    <w:rsid w:val="0C7B3AB4"/>
    <w:rsid w:val="0C7E602C"/>
    <w:rsid w:val="0C801DA5"/>
    <w:rsid w:val="0C803B53"/>
    <w:rsid w:val="0C8A677F"/>
    <w:rsid w:val="0C8E0BA6"/>
    <w:rsid w:val="0C9161E7"/>
    <w:rsid w:val="0C931AD8"/>
    <w:rsid w:val="0C945850"/>
    <w:rsid w:val="0C9475FE"/>
    <w:rsid w:val="0C9D4705"/>
    <w:rsid w:val="0C9F66CF"/>
    <w:rsid w:val="0CAB5F58"/>
    <w:rsid w:val="0CBA3508"/>
    <w:rsid w:val="0CBE467B"/>
    <w:rsid w:val="0CBF1A10"/>
    <w:rsid w:val="0CC06645"/>
    <w:rsid w:val="0CC93655"/>
    <w:rsid w:val="0CD619C5"/>
    <w:rsid w:val="0CDB347F"/>
    <w:rsid w:val="0CE82491"/>
    <w:rsid w:val="0CEC568C"/>
    <w:rsid w:val="0CF06F2A"/>
    <w:rsid w:val="0CF4009D"/>
    <w:rsid w:val="0CF47D26"/>
    <w:rsid w:val="0CFD51A3"/>
    <w:rsid w:val="0D002EE5"/>
    <w:rsid w:val="0D06756B"/>
    <w:rsid w:val="0D0E73B0"/>
    <w:rsid w:val="0D276AF7"/>
    <w:rsid w:val="0D2A0A24"/>
    <w:rsid w:val="0D352B8F"/>
    <w:rsid w:val="0D3A4267"/>
    <w:rsid w:val="0D4032E2"/>
    <w:rsid w:val="0D441024"/>
    <w:rsid w:val="0D4D6A15"/>
    <w:rsid w:val="0D556D8D"/>
    <w:rsid w:val="0D562B05"/>
    <w:rsid w:val="0D62032C"/>
    <w:rsid w:val="0D6276FC"/>
    <w:rsid w:val="0D650C0A"/>
    <w:rsid w:val="0D693500"/>
    <w:rsid w:val="0D6B7290"/>
    <w:rsid w:val="0D6E7E4F"/>
    <w:rsid w:val="0D794027"/>
    <w:rsid w:val="0D7A2C98"/>
    <w:rsid w:val="0D886685"/>
    <w:rsid w:val="0D894C89"/>
    <w:rsid w:val="0D8D29CB"/>
    <w:rsid w:val="0D9B4147"/>
    <w:rsid w:val="0D9D0D63"/>
    <w:rsid w:val="0D9E3C40"/>
    <w:rsid w:val="0D9F26FE"/>
    <w:rsid w:val="0DB367A1"/>
    <w:rsid w:val="0DB461AA"/>
    <w:rsid w:val="0DBA7538"/>
    <w:rsid w:val="0DBB3B97"/>
    <w:rsid w:val="0DC43F13"/>
    <w:rsid w:val="0DCB05AE"/>
    <w:rsid w:val="0DD71E98"/>
    <w:rsid w:val="0DDA2DC7"/>
    <w:rsid w:val="0DDF0AA1"/>
    <w:rsid w:val="0DE21B4F"/>
    <w:rsid w:val="0DE34399"/>
    <w:rsid w:val="0DE873B2"/>
    <w:rsid w:val="0E064EB2"/>
    <w:rsid w:val="0E0B38F0"/>
    <w:rsid w:val="0E121122"/>
    <w:rsid w:val="0E1409F6"/>
    <w:rsid w:val="0E1651AA"/>
    <w:rsid w:val="0E1704E7"/>
    <w:rsid w:val="0E1E25B6"/>
    <w:rsid w:val="0E2055ED"/>
    <w:rsid w:val="0E241F41"/>
    <w:rsid w:val="0E2A646C"/>
    <w:rsid w:val="0E344BF5"/>
    <w:rsid w:val="0E3B3E8A"/>
    <w:rsid w:val="0E3D7AE2"/>
    <w:rsid w:val="0E3F056D"/>
    <w:rsid w:val="0E40512F"/>
    <w:rsid w:val="0E455054"/>
    <w:rsid w:val="0E486C7E"/>
    <w:rsid w:val="0E4B1F3E"/>
    <w:rsid w:val="0E4B437F"/>
    <w:rsid w:val="0E4B63E2"/>
    <w:rsid w:val="0E4D3F08"/>
    <w:rsid w:val="0E5B4619"/>
    <w:rsid w:val="0E5B4877"/>
    <w:rsid w:val="0E5C239D"/>
    <w:rsid w:val="0E5D1E3B"/>
    <w:rsid w:val="0E6059EA"/>
    <w:rsid w:val="0E664FCA"/>
    <w:rsid w:val="0E727929"/>
    <w:rsid w:val="0E7664C8"/>
    <w:rsid w:val="0E792F4F"/>
    <w:rsid w:val="0E794CFD"/>
    <w:rsid w:val="0E79524F"/>
    <w:rsid w:val="0E795FA6"/>
    <w:rsid w:val="0E802627"/>
    <w:rsid w:val="0E802EB3"/>
    <w:rsid w:val="0E8D1CD1"/>
    <w:rsid w:val="0E910652"/>
    <w:rsid w:val="0E963B01"/>
    <w:rsid w:val="0E975183"/>
    <w:rsid w:val="0E977E58"/>
    <w:rsid w:val="0E992662"/>
    <w:rsid w:val="0EA0228A"/>
    <w:rsid w:val="0EA24254"/>
    <w:rsid w:val="0EA44AAB"/>
    <w:rsid w:val="0EA53D44"/>
    <w:rsid w:val="0EAF6971"/>
    <w:rsid w:val="0EB02274"/>
    <w:rsid w:val="0EB6385C"/>
    <w:rsid w:val="0EB75826"/>
    <w:rsid w:val="0EC73DD5"/>
    <w:rsid w:val="0ED4462A"/>
    <w:rsid w:val="0EDB7DA4"/>
    <w:rsid w:val="0EDC703A"/>
    <w:rsid w:val="0EE217E5"/>
    <w:rsid w:val="0EE303C9"/>
    <w:rsid w:val="0EEA79A9"/>
    <w:rsid w:val="0EF76591"/>
    <w:rsid w:val="0F052DAF"/>
    <w:rsid w:val="0F0942D3"/>
    <w:rsid w:val="0F0A3BA7"/>
    <w:rsid w:val="0F0E3698"/>
    <w:rsid w:val="0F0F5C4E"/>
    <w:rsid w:val="0F114F36"/>
    <w:rsid w:val="0F130638"/>
    <w:rsid w:val="0F1467D4"/>
    <w:rsid w:val="0F1A64E0"/>
    <w:rsid w:val="0F1D38DB"/>
    <w:rsid w:val="0F1F58A5"/>
    <w:rsid w:val="0F264E85"/>
    <w:rsid w:val="0F274759"/>
    <w:rsid w:val="0F29714A"/>
    <w:rsid w:val="0F2A424A"/>
    <w:rsid w:val="0F2A5A77"/>
    <w:rsid w:val="0F317386"/>
    <w:rsid w:val="0F362BEE"/>
    <w:rsid w:val="0F39623B"/>
    <w:rsid w:val="0F3F7CF5"/>
    <w:rsid w:val="0F4365C6"/>
    <w:rsid w:val="0F44355D"/>
    <w:rsid w:val="0F461C36"/>
    <w:rsid w:val="0F4920A4"/>
    <w:rsid w:val="0F4A1D24"/>
    <w:rsid w:val="0F530435"/>
    <w:rsid w:val="0F576C23"/>
    <w:rsid w:val="0F672550"/>
    <w:rsid w:val="0F6812D4"/>
    <w:rsid w:val="0F685024"/>
    <w:rsid w:val="0F73799F"/>
    <w:rsid w:val="0F773AEC"/>
    <w:rsid w:val="0F7B6853"/>
    <w:rsid w:val="0F7C0557"/>
    <w:rsid w:val="0F841BAC"/>
    <w:rsid w:val="0F8676D2"/>
    <w:rsid w:val="0F9F476D"/>
    <w:rsid w:val="0FA01E3B"/>
    <w:rsid w:val="0FA16B6F"/>
    <w:rsid w:val="0FA4224E"/>
    <w:rsid w:val="0FA43FFC"/>
    <w:rsid w:val="0FA72320"/>
    <w:rsid w:val="0FAB3B49"/>
    <w:rsid w:val="0FAC2EB1"/>
    <w:rsid w:val="0FAE6C29"/>
    <w:rsid w:val="0FB12275"/>
    <w:rsid w:val="0FC07764"/>
    <w:rsid w:val="0FC35B5B"/>
    <w:rsid w:val="0FCD5301"/>
    <w:rsid w:val="0FD0094D"/>
    <w:rsid w:val="0FD50659"/>
    <w:rsid w:val="0FEA05A8"/>
    <w:rsid w:val="0FED7751"/>
    <w:rsid w:val="0FF024B1"/>
    <w:rsid w:val="0FF33834"/>
    <w:rsid w:val="0FFD7C8E"/>
    <w:rsid w:val="10044A9B"/>
    <w:rsid w:val="10075701"/>
    <w:rsid w:val="100D0070"/>
    <w:rsid w:val="100E0ADE"/>
    <w:rsid w:val="100E1475"/>
    <w:rsid w:val="10125673"/>
    <w:rsid w:val="10134DEB"/>
    <w:rsid w:val="101E3DAE"/>
    <w:rsid w:val="10223F85"/>
    <w:rsid w:val="10242D0C"/>
    <w:rsid w:val="10280789"/>
    <w:rsid w:val="103A670E"/>
    <w:rsid w:val="103D25B1"/>
    <w:rsid w:val="103E0F42"/>
    <w:rsid w:val="10523A58"/>
    <w:rsid w:val="1053332C"/>
    <w:rsid w:val="1057106E"/>
    <w:rsid w:val="105B6408"/>
    <w:rsid w:val="105C58EA"/>
    <w:rsid w:val="106070C3"/>
    <w:rsid w:val="10631E78"/>
    <w:rsid w:val="106519DD"/>
    <w:rsid w:val="106F5D53"/>
    <w:rsid w:val="10730233"/>
    <w:rsid w:val="107E484D"/>
    <w:rsid w:val="10853E2D"/>
    <w:rsid w:val="10862F4B"/>
    <w:rsid w:val="1090632E"/>
    <w:rsid w:val="1092654A"/>
    <w:rsid w:val="10946006"/>
    <w:rsid w:val="10A00B00"/>
    <w:rsid w:val="10A77A62"/>
    <w:rsid w:val="10BF1885"/>
    <w:rsid w:val="10C83D1A"/>
    <w:rsid w:val="10C929EE"/>
    <w:rsid w:val="10DA37F4"/>
    <w:rsid w:val="10E02E12"/>
    <w:rsid w:val="10E87F18"/>
    <w:rsid w:val="10F036D9"/>
    <w:rsid w:val="10F13271"/>
    <w:rsid w:val="10F66AD9"/>
    <w:rsid w:val="10F90377"/>
    <w:rsid w:val="10FB40F0"/>
    <w:rsid w:val="1111746F"/>
    <w:rsid w:val="11124F95"/>
    <w:rsid w:val="11254CC9"/>
    <w:rsid w:val="113413B0"/>
    <w:rsid w:val="113734D7"/>
    <w:rsid w:val="113D01FC"/>
    <w:rsid w:val="1142587A"/>
    <w:rsid w:val="11494E5B"/>
    <w:rsid w:val="114A49D3"/>
    <w:rsid w:val="114B4CEC"/>
    <w:rsid w:val="115162F7"/>
    <w:rsid w:val="115455AE"/>
    <w:rsid w:val="11550E7F"/>
    <w:rsid w:val="115F7210"/>
    <w:rsid w:val="11653E90"/>
    <w:rsid w:val="116A5F9B"/>
    <w:rsid w:val="117A14B8"/>
    <w:rsid w:val="117B00BB"/>
    <w:rsid w:val="118A5224"/>
    <w:rsid w:val="118E0AC0"/>
    <w:rsid w:val="118F65E6"/>
    <w:rsid w:val="119105B0"/>
    <w:rsid w:val="119F2CCD"/>
    <w:rsid w:val="11A402E3"/>
    <w:rsid w:val="11A93B4C"/>
    <w:rsid w:val="11AB1672"/>
    <w:rsid w:val="11AB67A8"/>
    <w:rsid w:val="11AE2812"/>
    <w:rsid w:val="11B20C52"/>
    <w:rsid w:val="11B224F7"/>
    <w:rsid w:val="11BC1B28"/>
    <w:rsid w:val="11C07F30"/>
    <w:rsid w:val="11C12C43"/>
    <w:rsid w:val="11CC7C14"/>
    <w:rsid w:val="11D0732A"/>
    <w:rsid w:val="11E42DD6"/>
    <w:rsid w:val="11ED1C8A"/>
    <w:rsid w:val="11EE155E"/>
    <w:rsid w:val="11F1104F"/>
    <w:rsid w:val="11F46A6A"/>
    <w:rsid w:val="11FE3E97"/>
    <w:rsid w:val="11FF19BD"/>
    <w:rsid w:val="12045226"/>
    <w:rsid w:val="120E1C01"/>
    <w:rsid w:val="12124AB5"/>
    <w:rsid w:val="12132537"/>
    <w:rsid w:val="121C345B"/>
    <w:rsid w:val="121D3BD8"/>
    <w:rsid w:val="121D3BF2"/>
    <w:rsid w:val="121E232E"/>
    <w:rsid w:val="12301B77"/>
    <w:rsid w:val="12333AB8"/>
    <w:rsid w:val="123726F2"/>
    <w:rsid w:val="123A23F6"/>
    <w:rsid w:val="123A29F6"/>
    <w:rsid w:val="123A47A4"/>
    <w:rsid w:val="123F67F5"/>
    <w:rsid w:val="12445622"/>
    <w:rsid w:val="12465EAA"/>
    <w:rsid w:val="125A70A8"/>
    <w:rsid w:val="126C07D3"/>
    <w:rsid w:val="12706417"/>
    <w:rsid w:val="12722550"/>
    <w:rsid w:val="1273243E"/>
    <w:rsid w:val="127E329B"/>
    <w:rsid w:val="12810624"/>
    <w:rsid w:val="128208F2"/>
    <w:rsid w:val="12887C05"/>
    <w:rsid w:val="128B4FFF"/>
    <w:rsid w:val="128D0D77"/>
    <w:rsid w:val="12902616"/>
    <w:rsid w:val="12992410"/>
    <w:rsid w:val="12995D7D"/>
    <w:rsid w:val="12B409FA"/>
    <w:rsid w:val="12C21EBB"/>
    <w:rsid w:val="12D544CC"/>
    <w:rsid w:val="12DB615D"/>
    <w:rsid w:val="12E36BE9"/>
    <w:rsid w:val="12EA4799"/>
    <w:rsid w:val="12EB6997"/>
    <w:rsid w:val="12ED1816"/>
    <w:rsid w:val="12F108A0"/>
    <w:rsid w:val="12F15B4A"/>
    <w:rsid w:val="12F26322"/>
    <w:rsid w:val="12FA017B"/>
    <w:rsid w:val="130848A2"/>
    <w:rsid w:val="130A686C"/>
    <w:rsid w:val="130B144A"/>
    <w:rsid w:val="130B7EEE"/>
    <w:rsid w:val="130D010A"/>
    <w:rsid w:val="130D1EB8"/>
    <w:rsid w:val="130F3E82"/>
    <w:rsid w:val="13160D6D"/>
    <w:rsid w:val="131E2317"/>
    <w:rsid w:val="13267A75"/>
    <w:rsid w:val="1331204B"/>
    <w:rsid w:val="1332191F"/>
    <w:rsid w:val="13422986"/>
    <w:rsid w:val="13433B2C"/>
    <w:rsid w:val="13451652"/>
    <w:rsid w:val="13551ED3"/>
    <w:rsid w:val="135B2C24"/>
    <w:rsid w:val="135E44C2"/>
    <w:rsid w:val="136004AC"/>
    <w:rsid w:val="13622204"/>
    <w:rsid w:val="13653AA2"/>
    <w:rsid w:val="13702B73"/>
    <w:rsid w:val="137668AA"/>
    <w:rsid w:val="139B3D2B"/>
    <w:rsid w:val="139D4167"/>
    <w:rsid w:val="139F5206"/>
    <w:rsid w:val="13A52C2F"/>
    <w:rsid w:val="13A9398F"/>
    <w:rsid w:val="13AE71F7"/>
    <w:rsid w:val="13B16CE7"/>
    <w:rsid w:val="13B50586"/>
    <w:rsid w:val="13C80904"/>
    <w:rsid w:val="13C95DDF"/>
    <w:rsid w:val="13D125A7"/>
    <w:rsid w:val="13E7095B"/>
    <w:rsid w:val="13E72709"/>
    <w:rsid w:val="13ED52C0"/>
    <w:rsid w:val="13EF6DDD"/>
    <w:rsid w:val="13FB22A7"/>
    <w:rsid w:val="14004281"/>
    <w:rsid w:val="140C03C2"/>
    <w:rsid w:val="141259D8"/>
    <w:rsid w:val="141F00F5"/>
    <w:rsid w:val="14234272"/>
    <w:rsid w:val="14326AA6"/>
    <w:rsid w:val="143516C6"/>
    <w:rsid w:val="1444208D"/>
    <w:rsid w:val="14496F20"/>
    <w:rsid w:val="144B0500"/>
    <w:rsid w:val="144C07BE"/>
    <w:rsid w:val="1457788F"/>
    <w:rsid w:val="145A5893"/>
    <w:rsid w:val="1461070D"/>
    <w:rsid w:val="14643D5A"/>
    <w:rsid w:val="14647BE7"/>
    <w:rsid w:val="14661880"/>
    <w:rsid w:val="1467278A"/>
    <w:rsid w:val="14693DE0"/>
    <w:rsid w:val="146A4CAF"/>
    <w:rsid w:val="14763F1F"/>
    <w:rsid w:val="1485453A"/>
    <w:rsid w:val="14883EEC"/>
    <w:rsid w:val="148B46C1"/>
    <w:rsid w:val="148D3B44"/>
    <w:rsid w:val="149C7998"/>
    <w:rsid w:val="149D6DA2"/>
    <w:rsid w:val="14A01236"/>
    <w:rsid w:val="14A06D59"/>
    <w:rsid w:val="14A405FA"/>
    <w:rsid w:val="14B7032D"/>
    <w:rsid w:val="14BA1191"/>
    <w:rsid w:val="14BC5944"/>
    <w:rsid w:val="14C12F5A"/>
    <w:rsid w:val="14C3401F"/>
    <w:rsid w:val="14C649C9"/>
    <w:rsid w:val="14CC2FE4"/>
    <w:rsid w:val="14CC4545"/>
    <w:rsid w:val="14D37DB8"/>
    <w:rsid w:val="14DC1B42"/>
    <w:rsid w:val="14DF394F"/>
    <w:rsid w:val="14E804E7"/>
    <w:rsid w:val="14EA24B1"/>
    <w:rsid w:val="150317C5"/>
    <w:rsid w:val="150A4901"/>
    <w:rsid w:val="150F607D"/>
    <w:rsid w:val="151472A1"/>
    <w:rsid w:val="151632A6"/>
    <w:rsid w:val="152534E9"/>
    <w:rsid w:val="1525798D"/>
    <w:rsid w:val="152601A4"/>
    <w:rsid w:val="15262561"/>
    <w:rsid w:val="153876C0"/>
    <w:rsid w:val="15400323"/>
    <w:rsid w:val="15406575"/>
    <w:rsid w:val="15422A3C"/>
    <w:rsid w:val="15451DDD"/>
    <w:rsid w:val="15510782"/>
    <w:rsid w:val="15520056"/>
    <w:rsid w:val="15566E11"/>
    <w:rsid w:val="155B33AF"/>
    <w:rsid w:val="155F63EB"/>
    <w:rsid w:val="156A5AB1"/>
    <w:rsid w:val="156E30E2"/>
    <w:rsid w:val="156F5ADB"/>
    <w:rsid w:val="15743E42"/>
    <w:rsid w:val="158030B9"/>
    <w:rsid w:val="15824CDB"/>
    <w:rsid w:val="158734D9"/>
    <w:rsid w:val="158C17BA"/>
    <w:rsid w:val="15930E74"/>
    <w:rsid w:val="15932B49"/>
    <w:rsid w:val="159A2B6D"/>
    <w:rsid w:val="15A93017"/>
    <w:rsid w:val="15AE34DE"/>
    <w:rsid w:val="15B32337"/>
    <w:rsid w:val="15B8610B"/>
    <w:rsid w:val="15BD7BC5"/>
    <w:rsid w:val="15C54CCC"/>
    <w:rsid w:val="15CC565E"/>
    <w:rsid w:val="15D942D4"/>
    <w:rsid w:val="15EC4007"/>
    <w:rsid w:val="15EE5FD1"/>
    <w:rsid w:val="15EF3AF7"/>
    <w:rsid w:val="15F14829"/>
    <w:rsid w:val="15F3690F"/>
    <w:rsid w:val="15F80BFE"/>
    <w:rsid w:val="16005D04"/>
    <w:rsid w:val="160574DD"/>
    <w:rsid w:val="16096967"/>
    <w:rsid w:val="16112559"/>
    <w:rsid w:val="161377E5"/>
    <w:rsid w:val="16210154"/>
    <w:rsid w:val="16250BEA"/>
    <w:rsid w:val="162F0CF2"/>
    <w:rsid w:val="16300397"/>
    <w:rsid w:val="163141F5"/>
    <w:rsid w:val="16377978"/>
    <w:rsid w:val="163D55CB"/>
    <w:rsid w:val="164E4619"/>
    <w:rsid w:val="164E4CC1"/>
    <w:rsid w:val="16501175"/>
    <w:rsid w:val="165247B2"/>
    <w:rsid w:val="16585B40"/>
    <w:rsid w:val="165A3666"/>
    <w:rsid w:val="165C79BF"/>
    <w:rsid w:val="16614B4D"/>
    <w:rsid w:val="16654F2F"/>
    <w:rsid w:val="166B74B6"/>
    <w:rsid w:val="167F30CD"/>
    <w:rsid w:val="1683496B"/>
    <w:rsid w:val="16872A06"/>
    <w:rsid w:val="168A0107"/>
    <w:rsid w:val="168C15A3"/>
    <w:rsid w:val="16984E9E"/>
    <w:rsid w:val="169C2C95"/>
    <w:rsid w:val="169D2C7F"/>
    <w:rsid w:val="169D782C"/>
    <w:rsid w:val="16A13043"/>
    <w:rsid w:val="16A56F42"/>
    <w:rsid w:val="16AE5760"/>
    <w:rsid w:val="16B1608A"/>
    <w:rsid w:val="16B34B25"/>
    <w:rsid w:val="16B87951"/>
    <w:rsid w:val="16BA4105"/>
    <w:rsid w:val="16BD54E3"/>
    <w:rsid w:val="16BE185B"/>
    <w:rsid w:val="16C15493"/>
    <w:rsid w:val="16C46FE7"/>
    <w:rsid w:val="16CA259A"/>
    <w:rsid w:val="16CE1E8E"/>
    <w:rsid w:val="16D162FD"/>
    <w:rsid w:val="16D54D03"/>
    <w:rsid w:val="16DB47A7"/>
    <w:rsid w:val="16DE7DF3"/>
    <w:rsid w:val="16E3365C"/>
    <w:rsid w:val="16E55626"/>
    <w:rsid w:val="16E64EFA"/>
    <w:rsid w:val="16E82A20"/>
    <w:rsid w:val="16F65238"/>
    <w:rsid w:val="16F7073B"/>
    <w:rsid w:val="16F75866"/>
    <w:rsid w:val="16F9339E"/>
    <w:rsid w:val="1701159D"/>
    <w:rsid w:val="17013AE2"/>
    <w:rsid w:val="17067B69"/>
    <w:rsid w:val="17101F77"/>
    <w:rsid w:val="17283764"/>
    <w:rsid w:val="17290161"/>
    <w:rsid w:val="173C4B1A"/>
    <w:rsid w:val="173D279D"/>
    <w:rsid w:val="173E6AE4"/>
    <w:rsid w:val="174678CE"/>
    <w:rsid w:val="174B25FE"/>
    <w:rsid w:val="174E6F4B"/>
    <w:rsid w:val="17527900"/>
    <w:rsid w:val="17527B50"/>
    <w:rsid w:val="17562080"/>
    <w:rsid w:val="17563E2E"/>
    <w:rsid w:val="175956CC"/>
    <w:rsid w:val="1768483A"/>
    <w:rsid w:val="17685577"/>
    <w:rsid w:val="1768590F"/>
    <w:rsid w:val="176A4D92"/>
    <w:rsid w:val="177045CF"/>
    <w:rsid w:val="17716EB9"/>
    <w:rsid w:val="177644D0"/>
    <w:rsid w:val="17773DA4"/>
    <w:rsid w:val="177E130D"/>
    <w:rsid w:val="17802A99"/>
    <w:rsid w:val="178A001D"/>
    <w:rsid w:val="17A27073"/>
    <w:rsid w:val="17A42E4A"/>
    <w:rsid w:val="17A471A8"/>
    <w:rsid w:val="17A71829"/>
    <w:rsid w:val="17AB3A62"/>
    <w:rsid w:val="17AF0B16"/>
    <w:rsid w:val="17BD20FF"/>
    <w:rsid w:val="17CE7E68"/>
    <w:rsid w:val="17CF4853"/>
    <w:rsid w:val="17D033B2"/>
    <w:rsid w:val="17D31922"/>
    <w:rsid w:val="17D336D0"/>
    <w:rsid w:val="17D7362C"/>
    <w:rsid w:val="17D77DA9"/>
    <w:rsid w:val="17DE6D62"/>
    <w:rsid w:val="17E26815"/>
    <w:rsid w:val="17E54B40"/>
    <w:rsid w:val="17E7717C"/>
    <w:rsid w:val="17E8444C"/>
    <w:rsid w:val="17E94CA2"/>
    <w:rsid w:val="17EA5807"/>
    <w:rsid w:val="17ED57D0"/>
    <w:rsid w:val="17EE79CE"/>
    <w:rsid w:val="17F84EE5"/>
    <w:rsid w:val="17FF44C5"/>
    <w:rsid w:val="18094F0A"/>
    <w:rsid w:val="181D0DEF"/>
    <w:rsid w:val="181D5DF5"/>
    <w:rsid w:val="1836452E"/>
    <w:rsid w:val="183923CC"/>
    <w:rsid w:val="183A00B8"/>
    <w:rsid w:val="18480E1C"/>
    <w:rsid w:val="184A4865"/>
    <w:rsid w:val="184E71FB"/>
    <w:rsid w:val="18510A99"/>
    <w:rsid w:val="185C3DF1"/>
    <w:rsid w:val="1860228C"/>
    <w:rsid w:val="18602A8A"/>
    <w:rsid w:val="18694035"/>
    <w:rsid w:val="186B3909"/>
    <w:rsid w:val="18700794"/>
    <w:rsid w:val="18710A57"/>
    <w:rsid w:val="187953B4"/>
    <w:rsid w:val="18835A55"/>
    <w:rsid w:val="188373E5"/>
    <w:rsid w:val="18860743"/>
    <w:rsid w:val="188646CA"/>
    <w:rsid w:val="18865870"/>
    <w:rsid w:val="188906F7"/>
    <w:rsid w:val="189533EC"/>
    <w:rsid w:val="189664AC"/>
    <w:rsid w:val="189B1A2D"/>
    <w:rsid w:val="189D42EF"/>
    <w:rsid w:val="189E3CDE"/>
    <w:rsid w:val="189E7194"/>
    <w:rsid w:val="18A43C7A"/>
    <w:rsid w:val="18AB7A0D"/>
    <w:rsid w:val="18B03A11"/>
    <w:rsid w:val="18B72C9A"/>
    <w:rsid w:val="18BB7AA9"/>
    <w:rsid w:val="18C179CD"/>
    <w:rsid w:val="18D30274"/>
    <w:rsid w:val="18D63C3C"/>
    <w:rsid w:val="18DA0EF2"/>
    <w:rsid w:val="18DA283C"/>
    <w:rsid w:val="18DC1D03"/>
    <w:rsid w:val="18E67742"/>
    <w:rsid w:val="18E86D07"/>
    <w:rsid w:val="18FF1F3A"/>
    <w:rsid w:val="19016592"/>
    <w:rsid w:val="19036CC0"/>
    <w:rsid w:val="19056169"/>
    <w:rsid w:val="19067AD5"/>
    <w:rsid w:val="19081158"/>
    <w:rsid w:val="190855FC"/>
    <w:rsid w:val="190873AA"/>
    <w:rsid w:val="1910625E"/>
    <w:rsid w:val="191A0845"/>
    <w:rsid w:val="191C10A7"/>
    <w:rsid w:val="19202945"/>
    <w:rsid w:val="19274253"/>
    <w:rsid w:val="192D0BBE"/>
    <w:rsid w:val="193006AE"/>
    <w:rsid w:val="1938118C"/>
    <w:rsid w:val="19390FE8"/>
    <w:rsid w:val="19461C80"/>
    <w:rsid w:val="194D300E"/>
    <w:rsid w:val="195B397D"/>
    <w:rsid w:val="19636CD6"/>
    <w:rsid w:val="1968609A"/>
    <w:rsid w:val="196D3DCE"/>
    <w:rsid w:val="196F11D7"/>
    <w:rsid w:val="19793E03"/>
    <w:rsid w:val="197B045A"/>
    <w:rsid w:val="19855777"/>
    <w:rsid w:val="198A06C6"/>
    <w:rsid w:val="1998354F"/>
    <w:rsid w:val="199C4212"/>
    <w:rsid w:val="199D5F29"/>
    <w:rsid w:val="19A1335A"/>
    <w:rsid w:val="19A2611B"/>
    <w:rsid w:val="19AC052B"/>
    <w:rsid w:val="19AC5F87"/>
    <w:rsid w:val="19B906A4"/>
    <w:rsid w:val="19BE37F8"/>
    <w:rsid w:val="19C20B29"/>
    <w:rsid w:val="19D41982"/>
    <w:rsid w:val="19D90D46"/>
    <w:rsid w:val="19DD25E4"/>
    <w:rsid w:val="19E41BC5"/>
    <w:rsid w:val="19F8741E"/>
    <w:rsid w:val="1A004525"/>
    <w:rsid w:val="1A0C7D49"/>
    <w:rsid w:val="1A1227A0"/>
    <w:rsid w:val="1A1324AA"/>
    <w:rsid w:val="1A142AF7"/>
    <w:rsid w:val="1A1A3838"/>
    <w:rsid w:val="1A20474E"/>
    <w:rsid w:val="1A2226ED"/>
    <w:rsid w:val="1A255D39"/>
    <w:rsid w:val="1A2C531A"/>
    <w:rsid w:val="1A337C08"/>
    <w:rsid w:val="1A491A28"/>
    <w:rsid w:val="1A4B0D84"/>
    <w:rsid w:val="1A501008"/>
    <w:rsid w:val="1A530AF8"/>
    <w:rsid w:val="1A5B175B"/>
    <w:rsid w:val="1A5D1977"/>
    <w:rsid w:val="1A5D4686"/>
    <w:rsid w:val="1A5F2FF9"/>
    <w:rsid w:val="1A6C5716"/>
    <w:rsid w:val="1A760DCE"/>
    <w:rsid w:val="1A7651FA"/>
    <w:rsid w:val="1A7A6085"/>
    <w:rsid w:val="1A7B1DFD"/>
    <w:rsid w:val="1A7B2C8F"/>
    <w:rsid w:val="1A7D4B85"/>
    <w:rsid w:val="1A7F5449"/>
    <w:rsid w:val="1A937147"/>
    <w:rsid w:val="1AA85649"/>
    <w:rsid w:val="1AB377E9"/>
    <w:rsid w:val="1AB62C30"/>
    <w:rsid w:val="1ABC1AA1"/>
    <w:rsid w:val="1ABD609A"/>
    <w:rsid w:val="1ACD314F"/>
    <w:rsid w:val="1ADD6326"/>
    <w:rsid w:val="1AE24529"/>
    <w:rsid w:val="1AEB4ED1"/>
    <w:rsid w:val="1AF6618C"/>
    <w:rsid w:val="1AF75928"/>
    <w:rsid w:val="1B075BBD"/>
    <w:rsid w:val="1B083691"/>
    <w:rsid w:val="1B132AFA"/>
    <w:rsid w:val="1B245FF1"/>
    <w:rsid w:val="1B261D69"/>
    <w:rsid w:val="1B2D1349"/>
    <w:rsid w:val="1B356450"/>
    <w:rsid w:val="1B3F107D"/>
    <w:rsid w:val="1B4439C0"/>
    <w:rsid w:val="1B481CDF"/>
    <w:rsid w:val="1B4B5C73"/>
    <w:rsid w:val="1B542D7A"/>
    <w:rsid w:val="1B5543FC"/>
    <w:rsid w:val="1B5C41F3"/>
    <w:rsid w:val="1B634D6B"/>
    <w:rsid w:val="1B636B19"/>
    <w:rsid w:val="1B6603B7"/>
    <w:rsid w:val="1B66485B"/>
    <w:rsid w:val="1B6772D0"/>
    <w:rsid w:val="1B746F78"/>
    <w:rsid w:val="1B776F9B"/>
    <w:rsid w:val="1B797F1F"/>
    <w:rsid w:val="1B820A13"/>
    <w:rsid w:val="1B854CE1"/>
    <w:rsid w:val="1B8B3758"/>
    <w:rsid w:val="1B8F3DB2"/>
    <w:rsid w:val="1B933A8D"/>
    <w:rsid w:val="1B9413C8"/>
    <w:rsid w:val="1B972C67"/>
    <w:rsid w:val="1B9E16AD"/>
    <w:rsid w:val="1BA07D6D"/>
    <w:rsid w:val="1BA62EAA"/>
    <w:rsid w:val="1BAA3635"/>
    <w:rsid w:val="1BB9498B"/>
    <w:rsid w:val="1BBD3A75"/>
    <w:rsid w:val="1BBE1FA1"/>
    <w:rsid w:val="1BC33A5C"/>
    <w:rsid w:val="1BCF0CAE"/>
    <w:rsid w:val="1BD143CB"/>
    <w:rsid w:val="1BD634FD"/>
    <w:rsid w:val="1BDA239E"/>
    <w:rsid w:val="1BE063BC"/>
    <w:rsid w:val="1BEC4D61"/>
    <w:rsid w:val="1BEF65FF"/>
    <w:rsid w:val="1BF4680D"/>
    <w:rsid w:val="1BF754B3"/>
    <w:rsid w:val="1BF8416E"/>
    <w:rsid w:val="1BFC2ACA"/>
    <w:rsid w:val="1C033E58"/>
    <w:rsid w:val="1C053819"/>
    <w:rsid w:val="1C077DEC"/>
    <w:rsid w:val="1C1C4A11"/>
    <w:rsid w:val="1C2362A8"/>
    <w:rsid w:val="1C2E35CB"/>
    <w:rsid w:val="1C316C17"/>
    <w:rsid w:val="1C35495A"/>
    <w:rsid w:val="1C362480"/>
    <w:rsid w:val="1C365FDC"/>
    <w:rsid w:val="1C3B7FDD"/>
    <w:rsid w:val="1C4E1577"/>
    <w:rsid w:val="1C512181"/>
    <w:rsid w:val="1C60574F"/>
    <w:rsid w:val="1C6C7C4F"/>
    <w:rsid w:val="1C8B17B4"/>
    <w:rsid w:val="1C901B90"/>
    <w:rsid w:val="1C9B12FC"/>
    <w:rsid w:val="1C9D42AD"/>
    <w:rsid w:val="1C9E1527"/>
    <w:rsid w:val="1C9E7D16"/>
    <w:rsid w:val="1CA4388D"/>
    <w:rsid w:val="1CA86413"/>
    <w:rsid w:val="1CAE0268"/>
    <w:rsid w:val="1CC82DAE"/>
    <w:rsid w:val="1CD557F5"/>
    <w:rsid w:val="1CD81789"/>
    <w:rsid w:val="1CDE7BA1"/>
    <w:rsid w:val="1CE1063D"/>
    <w:rsid w:val="1CE35E40"/>
    <w:rsid w:val="1CEA0C47"/>
    <w:rsid w:val="1CEC0D90"/>
    <w:rsid w:val="1CF00880"/>
    <w:rsid w:val="1CF53A0D"/>
    <w:rsid w:val="1CFB1732"/>
    <w:rsid w:val="1CFE11EF"/>
    <w:rsid w:val="1D0379AB"/>
    <w:rsid w:val="1D061E52"/>
    <w:rsid w:val="1D0B4E33"/>
    <w:rsid w:val="1D11444C"/>
    <w:rsid w:val="1D125A5F"/>
    <w:rsid w:val="1D166A47"/>
    <w:rsid w:val="1D1C3424"/>
    <w:rsid w:val="1D210A3A"/>
    <w:rsid w:val="1D2232A1"/>
    <w:rsid w:val="1D270A2C"/>
    <w:rsid w:val="1D2A56E8"/>
    <w:rsid w:val="1D373E53"/>
    <w:rsid w:val="1D41310E"/>
    <w:rsid w:val="1D4209B0"/>
    <w:rsid w:val="1D4666F2"/>
    <w:rsid w:val="1D4F4622"/>
    <w:rsid w:val="1D5726AE"/>
    <w:rsid w:val="1D5E1C64"/>
    <w:rsid w:val="1D725739"/>
    <w:rsid w:val="1D743260"/>
    <w:rsid w:val="1D751059"/>
    <w:rsid w:val="1D7A639C"/>
    <w:rsid w:val="1D813BCE"/>
    <w:rsid w:val="1D9751A0"/>
    <w:rsid w:val="1D9D21A3"/>
    <w:rsid w:val="1DA37F59"/>
    <w:rsid w:val="1DAB2047"/>
    <w:rsid w:val="1DAB47A7"/>
    <w:rsid w:val="1DAE3742"/>
    <w:rsid w:val="1DAE7EBF"/>
    <w:rsid w:val="1DB00010"/>
    <w:rsid w:val="1DBE44DB"/>
    <w:rsid w:val="1DC42063"/>
    <w:rsid w:val="1DC87107"/>
    <w:rsid w:val="1DC91D6E"/>
    <w:rsid w:val="1DCA7323"/>
    <w:rsid w:val="1DD51824"/>
    <w:rsid w:val="1DD65CC8"/>
    <w:rsid w:val="1DE101C9"/>
    <w:rsid w:val="1E042E4C"/>
    <w:rsid w:val="1E0565AE"/>
    <w:rsid w:val="1E0850D6"/>
    <w:rsid w:val="1E114F52"/>
    <w:rsid w:val="1E1265D5"/>
    <w:rsid w:val="1E1D6378"/>
    <w:rsid w:val="1E285DF8"/>
    <w:rsid w:val="1E2A5FF9"/>
    <w:rsid w:val="1E2D340E"/>
    <w:rsid w:val="1E2F1536"/>
    <w:rsid w:val="1E390005"/>
    <w:rsid w:val="1E3D7AF5"/>
    <w:rsid w:val="1E3F1CB6"/>
    <w:rsid w:val="1E4470D6"/>
    <w:rsid w:val="1E474E0E"/>
    <w:rsid w:val="1E4C6AC4"/>
    <w:rsid w:val="1E4E1FC7"/>
    <w:rsid w:val="1E5152EA"/>
    <w:rsid w:val="1E5764D7"/>
    <w:rsid w:val="1E5A4B80"/>
    <w:rsid w:val="1E5E181A"/>
    <w:rsid w:val="1E634FB9"/>
    <w:rsid w:val="1E693577"/>
    <w:rsid w:val="1E6B373C"/>
    <w:rsid w:val="1E6C2189"/>
    <w:rsid w:val="1E6E5D76"/>
    <w:rsid w:val="1E763007"/>
    <w:rsid w:val="1E806520"/>
    <w:rsid w:val="1E85796C"/>
    <w:rsid w:val="1E8B04E4"/>
    <w:rsid w:val="1E8C31DB"/>
    <w:rsid w:val="1E8C6387"/>
    <w:rsid w:val="1E90231B"/>
    <w:rsid w:val="1E9E0462"/>
    <w:rsid w:val="1EA062D6"/>
    <w:rsid w:val="1EAA4A5F"/>
    <w:rsid w:val="1EAA6E5D"/>
    <w:rsid w:val="1EAC6A29"/>
    <w:rsid w:val="1EB65EEE"/>
    <w:rsid w:val="1EB81BC3"/>
    <w:rsid w:val="1EB95ED0"/>
    <w:rsid w:val="1EBB25E9"/>
    <w:rsid w:val="1EC21DA9"/>
    <w:rsid w:val="1EC75611"/>
    <w:rsid w:val="1ED32220"/>
    <w:rsid w:val="1EE302BC"/>
    <w:rsid w:val="1EE40026"/>
    <w:rsid w:val="1EE7180F"/>
    <w:rsid w:val="1EE73F05"/>
    <w:rsid w:val="1EE76CC2"/>
    <w:rsid w:val="1EED151B"/>
    <w:rsid w:val="1EF075D2"/>
    <w:rsid w:val="1EF117D0"/>
    <w:rsid w:val="1EFA23BE"/>
    <w:rsid w:val="1EFB52BB"/>
    <w:rsid w:val="1EFD62AB"/>
    <w:rsid w:val="1F0423C1"/>
    <w:rsid w:val="1F0C74C8"/>
    <w:rsid w:val="1F0D56A6"/>
    <w:rsid w:val="1F100B38"/>
    <w:rsid w:val="1F170346"/>
    <w:rsid w:val="1F181690"/>
    <w:rsid w:val="1F1840BF"/>
    <w:rsid w:val="1F185E6D"/>
    <w:rsid w:val="1F1D3483"/>
    <w:rsid w:val="1F1D7927"/>
    <w:rsid w:val="1F1E58C4"/>
    <w:rsid w:val="1F1F1EEB"/>
    <w:rsid w:val="1F2E743E"/>
    <w:rsid w:val="1F371F44"/>
    <w:rsid w:val="1F3C1B5B"/>
    <w:rsid w:val="1F400656"/>
    <w:rsid w:val="1F4215A6"/>
    <w:rsid w:val="1F45719D"/>
    <w:rsid w:val="1F4629DA"/>
    <w:rsid w:val="1F4C303E"/>
    <w:rsid w:val="1F4F7B51"/>
    <w:rsid w:val="1F560A54"/>
    <w:rsid w:val="1F576995"/>
    <w:rsid w:val="1F5C044F"/>
    <w:rsid w:val="1F5F022F"/>
    <w:rsid w:val="1F5F3A9B"/>
    <w:rsid w:val="1F65178F"/>
    <w:rsid w:val="1F6F4830"/>
    <w:rsid w:val="1F7E470D"/>
    <w:rsid w:val="1F841754"/>
    <w:rsid w:val="1F8654CC"/>
    <w:rsid w:val="1F8F03D5"/>
    <w:rsid w:val="1F8F25D3"/>
    <w:rsid w:val="1F971487"/>
    <w:rsid w:val="1F9757E1"/>
    <w:rsid w:val="1F9C64CF"/>
    <w:rsid w:val="1FAD0127"/>
    <w:rsid w:val="1FBE6A14"/>
    <w:rsid w:val="1FC12569"/>
    <w:rsid w:val="1FC35DD8"/>
    <w:rsid w:val="1FC87893"/>
    <w:rsid w:val="1FCB2A35"/>
    <w:rsid w:val="1FCF0DB9"/>
    <w:rsid w:val="1FCF1E31"/>
    <w:rsid w:val="1FD60D21"/>
    <w:rsid w:val="1FD8624A"/>
    <w:rsid w:val="1FE864E5"/>
    <w:rsid w:val="1FED554B"/>
    <w:rsid w:val="1FFC12EA"/>
    <w:rsid w:val="1FFD0A09"/>
    <w:rsid w:val="1FFE2C35"/>
    <w:rsid w:val="2000198D"/>
    <w:rsid w:val="20023CBE"/>
    <w:rsid w:val="20062067"/>
    <w:rsid w:val="200918FB"/>
    <w:rsid w:val="200F54C2"/>
    <w:rsid w:val="201A79C2"/>
    <w:rsid w:val="201E74B3"/>
    <w:rsid w:val="2020147D"/>
    <w:rsid w:val="202C3DF0"/>
    <w:rsid w:val="20331B21"/>
    <w:rsid w:val="20364066"/>
    <w:rsid w:val="20383FC2"/>
    <w:rsid w:val="2039253E"/>
    <w:rsid w:val="203C5E82"/>
    <w:rsid w:val="204017B8"/>
    <w:rsid w:val="204216EE"/>
    <w:rsid w:val="204607B7"/>
    <w:rsid w:val="204608D7"/>
    <w:rsid w:val="2046461A"/>
    <w:rsid w:val="204D6D3F"/>
    <w:rsid w:val="205D622D"/>
    <w:rsid w:val="206E5D4A"/>
    <w:rsid w:val="206F32C6"/>
    <w:rsid w:val="207500F4"/>
    <w:rsid w:val="207B4905"/>
    <w:rsid w:val="20857532"/>
    <w:rsid w:val="20971013"/>
    <w:rsid w:val="2099122F"/>
    <w:rsid w:val="209B6D55"/>
    <w:rsid w:val="209F6845"/>
    <w:rsid w:val="20A13AD8"/>
    <w:rsid w:val="20A8487A"/>
    <w:rsid w:val="20AC0F62"/>
    <w:rsid w:val="20AC2D10"/>
    <w:rsid w:val="20B00A53"/>
    <w:rsid w:val="20B0726A"/>
    <w:rsid w:val="20B47DF1"/>
    <w:rsid w:val="20C322AA"/>
    <w:rsid w:val="20C75D9C"/>
    <w:rsid w:val="20C873B0"/>
    <w:rsid w:val="20D36689"/>
    <w:rsid w:val="20D504B9"/>
    <w:rsid w:val="20D63F6F"/>
    <w:rsid w:val="20DA2975"/>
    <w:rsid w:val="20DD736E"/>
    <w:rsid w:val="20DE357A"/>
    <w:rsid w:val="20E53DA9"/>
    <w:rsid w:val="20ED07B6"/>
    <w:rsid w:val="20FE0CDF"/>
    <w:rsid w:val="21050366"/>
    <w:rsid w:val="21052421"/>
    <w:rsid w:val="21070AAF"/>
    <w:rsid w:val="210C1A01"/>
    <w:rsid w:val="21110DC5"/>
    <w:rsid w:val="21130FE1"/>
    <w:rsid w:val="211508B6"/>
    <w:rsid w:val="211D7547"/>
    <w:rsid w:val="212154AC"/>
    <w:rsid w:val="2123374D"/>
    <w:rsid w:val="21260D15"/>
    <w:rsid w:val="21293F12"/>
    <w:rsid w:val="212A1E87"/>
    <w:rsid w:val="213276BA"/>
    <w:rsid w:val="21336184"/>
    <w:rsid w:val="21354AB4"/>
    <w:rsid w:val="213632E7"/>
    <w:rsid w:val="21374CD0"/>
    <w:rsid w:val="213B4094"/>
    <w:rsid w:val="213B7B1A"/>
    <w:rsid w:val="213C3006"/>
    <w:rsid w:val="213C695C"/>
    <w:rsid w:val="213F1987"/>
    <w:rsid w:val="21401046"/>
    <w:rsid w:val="21404409"/>
    <w:rsid w:val="21405B9D"/>
    <w:rsid w:val="21486EDD"/>
    <w:rsid w:val="214E67BA"/>
    <w:rsid w:val="21521B0A"/>
    <w:rsid w:val="215313DE"/>
    <w:rsid w:val="21570ECE"/>
    <w:rsid w:val="21591398"/>
    <w:rsid w:val="215C64E4"/>
    <w:rsid w:val="215F4227"/>
    <w:rsid w:val="216435EB"/>
    <w:rsid w:val="21693664"/>
    <w:rsid w:val="217649F2"/>
    <w:rsid w:val="217A2E0F"/>
    <w:rsid w:val="217C1CFD"/>
    <w:rsid w:val="21815F4B"/>
    <w:rsid w:val="21867A05"/>
    <w:rsid w:val="218F3F36"/>
    <w:rsid w:val="21920158"/>
    <w:rsid w:val="219464FF"/>
    <w:rsid w:val="21A165ED"/>
    <w:rsid w:val="21A34113"/>
    <w:rsid w:val="21AE2AB8"/>
    <w:rsid w:val="21B207FA"/>
    <w:rsid w:val="21BE2170"/>
    <w:rsid w:val="21BE719F"/>
    <w:rsid w:val="21C61BB0"/>
    <w:rsid w:val="21C978F2"/>
    <w:rsid w:val="21CF4F08"/>
    <w:rsid w:val="21DC13D3"/>
    <w:rsid w:val="21DF4421"/>
    <w:rsid w:val="21E32762"/>
    <w:rsid w:val="21E40288"/>
    <w:rsid w:val="21E45026"/>
    <w:rsid w:val="21E85FCA"/>
    <w:rsid w:val="21FC7B27"/>
    <w:rsid w:val="220426D8"/>
    <w:rsid w:val="220A5F40"/>
    <w:rsid w:val="220D77DF"/>
    <w:rsid w:val="22140793"/>
    <w:rsid w:val="22145011"/>
    <w:rsid w:val="22152CDA"/>
    <w:rsid w:val="221648FB"/>
    <w:rsid w:val="22196184"/>
    <w:rsid w:val="221A52E0"/>
    <w:rsid w:val="222039B6"/>
    <w:rsid w:val="222114DC"/>
    <w:rsid w:val="22284B72"/>
    <w:rsid w:val="22315125"/>
    <w:rsid w:val="223631D9"/>
    <w:rsid w:val="22405E06"/>
    <w:rsid w:val="224131C1"/>
    <w:rsid w:val="224308C2"/>
    <w:rsid w:val="22430EDF"/>
    <w:rsid w:val="224523A0"/>
    <w:rsid w:val="224C47AB"/>
    <w:rsid w:val="224C6605"/>
    <w:rsid w:val="22543660"/>
    <w:rsid w:val="225673D8"/>
    <w:rsid w:val="225B4E09"/>
    <w:rsid w:val="225F046F"/>
    <w:rsid w:val="22665141"/>
    <w:rsid w:val="22701DC8"/>
    <w:rsid w:val="22745AB0"/>
    <w:rsid w:val="22757E6F"/>
    <w:rsid w:val="22864F9B"/>
    <w:rsid w:val="228B629F"/>
    <w:rsid w:val="228B6EB2"/>
    <w:rsid w:val="2290393D"/>
    <w:rsid w:val="229451CA"/>
    <w:rsid w:val="229722EC"/>
    <w:rsid w:val="22A530BF"/>
    <w:rsid w:val="22AA7723"/>
    <w:rsid w:val="22AD2D70"/>
    <w:rsid w:val="22AF0896"/>
    <w:rsid w:val="22B048BA"/>
    <w:rsid w:val="22B24A96"/>
    <w:rsid w:val="22B440FE"/>
    <w:rsid w:val="22B67E76"/>
    <w:rsid w:val="22B8599C"/>
    <w:rsid w:val="22BC7FA6"/>
    <w:rsid w:val="22C11CF5"/>
    <w:rsid w:val="22C5630B"/>
    <w:rsid w:val="22CD6F6E"/>
    <w:rsid w:val="22E4300C"/>
    <w:rsid w:val="22EC3898"/>
    <w:rsid w:val="22F56BF1"/>
    <w:rsid w:val="22F7131D"/>
    <w:rsid w:val="22F866E1"/>
    <w:rsid w:val="22FF6C21"/>
    <w:rsid w:val="23052BAC"/>
    <w:rsid w:val="231345C9"/>
    <w:rsid w:val="2316669C"/>
    <w:rsid w:val="23170904"/>
    <w:rsid w:val="231D38A1"/>
    <w:rsid w:val="231E5C91"/>
    <w:rsid w:val="232956BD"/>
    <w:rsid w:val="232C1EE7"/>
    <w:rsid w:val="232D40C3"/>
    <w:rsid w:val="23352F8B"/>
    <w:rsid w:val="234A2D6A"/>
    <w:rsid w:val="234C4337"/>
    <w:rsid w:val="234E00AF"/>
    <w:rsid w:val="235002CB"/>
    <w:rsid w:val="23540AB2"/>
    <w:rsid w:val="23571659"/>
    <w:rsid w:val="235A2EF8"/>
    <w:rsid w:val="235C6C70"/>
    <w:rsid w:val="235D4796"/>
    <w:rsid w:val="235D6544"/>
    <w:rsid w:val="235F22BC"/>
    <w:rsid w:val="236C6787"/>
    <w:rsid w:val="237572DD"/>
    <w:rsid w:val="23757D31"/>
    <w:rsid w:val="237A0EA4"/>
    <w:rsid w:val="238B1EDE"/>
    <w:rsid w:val="238E494F"/>
    <w:rsid w:val="23957A8C"/>
    <w:rsid w:val="239F0B7F"/>
    <w:rsid w:val="23A203FB"/>
    <w:rsid w:val="23A27905"/>
    <w:rsid w:val="23A32E08"/>
    <w:rsid w:val="23A4762F"/>
    <w:rsid w:val="23AE4FF1"/>
    <w:rsid w:val="23B5012E"/>
    <w:rsid w:val="23B86125"/>
    <w:rsid w:val="23C860B3"/>
    <w:rsid w:val="23C87E61"/>
    <w:rsid w:val="23C93BD9"/>
    <w:rsid w:val="23CB28C1"/>
    <w:rsid w:val="23CD191B"/>
    <w:rsid w:val="23D41EDB"/>
    <w:rsid w:val="23E10F23"/>
    <w:rsid w:val="23E42AC7"/>
    <w:rsid w:val="23F53C41"/>
    <w:rsid w:val="23F944BF"/>
    <w:rsid w:val="23FC5D5D"/>
    <w:rsid w:val="23FD6F85"/>
    <w:rsid w:val="24030E99"/>
    <w:rsid w:val="2403566C"/>
    <w:rsid w:val="240C18F7"/>
    <w:rsid w:val="240D1D18"/>
    <w:rsid w:val="24170DE9"/>
    <w:rsid w:val="2418246B"/>
    <w:rsid w:val="241A2687"/>
    <w:rsid w:val="241E5A1E"/>
    <w:rsid w:val="2423153B"/>
    <w:rsid w:val="2427640F"/>
    <w:rsid w:val="24284DA4"/>
    <w:rsid w:val="242B3FE6"/>
    <w:rsid w:val="242B6175"/>
    <w:rsid w:val="243138D7"/>
    <w:rsid w:val="24355299"/>
    <w:rsid w:val="24362377"/>
    <w:rsid w:val="243B0347"/>
    <w:rsid w:val="243C084F"/>
    <w:rsid w:val="243F2C87"/>
    <w:rsid w:val="24443260"/>
    <w:rsid w:val="2445130D"/>
    <w:rsid w:val="244B45EE"/>
    <w:rsid w:val="244D65B8"/>
    <w:rsid w:val="24517AE2"/>
    <w:rsid w:val="245506BD"/>
    <w:rsid w:val="245E2574"/>
    <w:rsid w:val="24674B25"/>
    <w:rsid w:val="2467674B"/>
    <w:rsid w:val="247C6E9E"/>
    <w:rsid w:val="247D459C"/>
    <w:rsid w:val="247E35EB"/>
    <w:rsid w:val="247F7ADA"/>
    <w:rsid w:val="24822706"/>
    <w:rsid w:val="248868FE"/>
    <w:rsid w:val="248E3007"/>
    <w:rsid w:val="24A113A8"/>
    <w:rsid w:val="24A26904"/>
    <w:rsid w:val="24A41B51"/>
    <w:rsid w:val="24A97118"/>
    <w:rsid w:val="24AB2E8C"/>
    <w:rsid w:val="24AC7783"/>
    <w:rsid w:val="24AF1021"/>
    <w:rsid w:val="24B16B47"/>
    <w:rsid w:val="24B23369"/>
    <w:rsid w:val="24B63B22"/>
    <w:rsid w:val="24BD373E"/>
    <w:rsid w:val="24C06D8A"/>
    <w:rsid w:val="24C97D99"/>
    <w:rsid w:val="24D81F20"/>
    <w:rsid w:val="24D91068"/>
    <w:rsid w:val="24DD6A34"/>
    <w:rsid w:val="24DE36B4"/>
    <w:rsid w:val="24ED7B29"/>
    <w:rsid w:val="24EF7670"/>
    <w:rsid w:val="24F26FF6"/>
    <w:rsid w:val="24F86524"/>
    <w:rsid w:val="250174C1"/>
    <w:rsid w:val="250C0222"/>
    <w:rsid w:val="250F7ADC"/>
    <w:rsid w:val="250F7D12"/>
    <w:rsid w:val="25137FA1"/>
    <w:rsid w:val="25140E84"/>
    <w:rsid w:val="251913F0"/>
    <w:rsid w:val="25286E6B"/>
    <w:rsid w:val="25370C3F"/>
    <w:rsid w:val="253F2829"/>
    <w:rsid w:val="2545761F"/>
    <w:rsid w:val="25484BE8"/>
    <w:rsid w:val="254A5BAD"/>
    <w:rsid w:val="254D3BA2"/>
    <w:rsid w:val="25521B82"/>
    <w:rsid w:val="255257B3"/>
    <w:rsid w:val="25577CC0"/>
    <w:rsid w:val="255C7C45"/>
    <w:rsid w:val="255E243E"/>
    <w:rsid w:val="255E785B"/>
    <w:rsid w:val="255F47F5"/>
    <w:rsid w:val="256604EB"/>
    <w:rsid w:val="256F64B0"/>
    <w:rsid w:val="25706A02"/>
    <w:rsid w:val="258456D3"/>
    <w:rsid w:val="258A1146"/>
    <w:rsid w:val="259124D5"/>
    <w:rsid w:val="2593624D"/>
    <w:rsid w:val="25965D3D"/>
    <w:rsid w:val="25A0096A"/>
    <w:rsid w:val="25A228CE"/>
    <w:rsid w:val="25A57FCF"/>
    <w:rsid w:val="25AB575C"/>
    <w:rsid w:val="25AC730F"/>
    <w:rsid w:val="25AD6DFC"/>
    <w:rsid w:val="25B12B77"/>
    <w:rsid w:val="25B508B9"/>
    <w:rsid w:val="25B763DF"/>
    <w:rsid w:val="25B92FA7"/>
    <w:rsid w:val="25BD32CA"/>
    <w:rsid w:val="25C644F2"/>
    <w:rsid w:val="25CD5C03"/>
    <w:rsid w:val="25CF2AAF"/>
    <w:rsid w:val="25E71D3E"/>
    <w:rsid w:val="25E75FC3"/>
    <w:rsid w:val="25ED02D7"/>
    <w:rsid w:val="25EF5B26"/>
    <w:rsid w:val="25F52A64"/>
    <w:rsid w:val="25FC0296"/>
    <w:rsid w:val="2604714B"/>
    <w:rsid w:val="260F6C7E"/>
    <w:rsid w:val="26117BD1"/>
    <w:rsid w:val="26154EB4"/>
    <w:rsid w:val="26233A75"/>
    <w:rsid w:val="262B372C"/>
    <w:rsid w:val="26315FBA"/>
    <w:rsid w:val="2632693A"/>
    <w:rsid w:val="263E15FC"/>
    <w:rsid w:val="263F0183"/>
    <w:rsid w:val="264D0AF2"/>
    <w:rsid w:val="264D1206"/>
    <w:rsid w:val="26562947"/>
    <w:rsid w:val="265C7907"/>
    <w:rsid w:val="265E2CFF"/>
    <w:rsid w:val="265E4AAD"/>
    <w:rsid w:val="265F3C06"/>
    <w:rsid w:val="265F7BB9"/>
    <w:rsid w:val="266B541C"/>
    <w:rsid w:val="266B6948"/>
    <w:rsid w:val="267047E0"/>
    <w:rsid w:val="26793695"/>
    <w:rsid w:val="267E514F"/>
    <w:rsid w:val="267E5734"/>
    <w:rsid w:val="26811F3C"/>
    <w:rsid w:val="26877D05"/>
    <w:rsid w:val="268838D8"/>
    <w:rsid w:val="268C6B2B"/>
    <w:rsid w:val="268F1252"/>
    <w:rsid w:val="269404CF"/>
    <w:rsid w:val="269B4367"/>
    <w:rsid w:val="26A85D28"/>
    <w:rsid w:val="26AA5F44"/>
    <w:rsid w:val="26AB74FD"/>
    <w:rsid w:val="26B34785"/>
    <w:rsid w:val="26BB08D8"/>
    <w:rsid w:val="26BE72FA"/>
    <w:rsid w:val="26CF59AB"/>
    <w:rsid w:val="26D202E4"/>
    <w:rsid w:val="26DB3FC4"/>
    <w:rsid w:val="26E73922"/>
    <w:rsid w:val="26F1147D"/>
    <w:rsid w:val="26F23447"/>
    <w:rsid w:val="26F60A18"/>
    <w:rsid w:val="26FD1886"/>
    <w:rsid w:val="27046C92"/>
    <w:rsid w:val="270A69E3"/>
    <w:rsid w:val="270C4509"/>
    <w:rsid w:val="27131AA3"/>
    <w:rsid w:val="27194E78"/>
    <w:rsid w:val="271B474C"/>
    <w:rsid w:val="271E105B"/>
    <w:rsid w:val="273700C2"/>
    <w:rsid w:val="27372964"/>
    <w:rsid w:val="27397F7C"/>
    <w:rsid w:val="273B6B9C"/>
    <w:rsid w:val="27490680"/>
    <w:rsid w:val="274C0DA9"/>
    <w:rsid w:val="275163C0"/>
    <w:rsid w:val="27547C5E"/>
    <w:rsid w:val="275B0FEC"/>
    <w:rsid w:val="27606603"/>
    <w:rsid w:val="27765E26"/>
    <w:rsid w:val="27767BD4"/>
    <w:rsid w:val="277A5916"/>
    <w:rsid w:val="277D0F63"/>
    <w:rsid w:val="2780018A"/>
    <w:rsid w:val="27826579"/>
    <w:rsid w:val="278542BB"/>
    <w:rsid w:val="27856069"/>
    <w:rsid w:val="27873B8F"/>
    <w:rsid w:val="278D4BA5"/>
    <w:rsid w:val="278F173C"/>
    <w:rsid w:val="27952634"/>
    <w:rsid w:val="27960276"/>
    <w:rsid w:val="279A1B15"/>
    <w:rsid w:val="279B38F5"/>
    <w:rsid w:val="27A877A0"/>
    <w:rsid w:val="27A95222"/>
    <w:rsid w:val="27B16E5E"/>
    <w:rsid w:val="27B5694E"/>
    <w:rsid w:val="27C015C4"/>
    <w:rsid w:val="27C9064C"/>
    <w:rsid w:val="27D22B63"/>
    <w:rsid w:val="27D74CCC"/>
    <w:rsid w:val="27D8088F"/>
    <w:rsid w:val="27D946EC"/>
    <w:rsid w:val="27DE7716"/>
    <w:rsid w:val="27E234BC"/>
    <w:rsid w:val="27E86D24"/>
    <w:rsid w:val="27F51F7C"/>
    <w:rsid w:val="27F75140"/>
    <w:rsid w:val="27FD20A3"/>
    <w:rsid w:val="27FE2920"/>
    <w:rsid w:val="280136B2"/>
    <w:rsid w:val="28061D38"/>
    <w:rsid w:val="280C74C5"/>
    <w:rsid w:val="280D0539"/>
    <w:rsid w:val="28123767"/>
    <w:rsid w:val="281431DC"/>
    <w:rsid w:val="28151BAA"/>
    <w:rsid w:val="28213FE4"/>
    <w:rsid w:val="28291CBC"/>
    <w:rsid w:val="2830097E"/>
    <w:rsid w:val="2835183D"/>
    <w:rsid w:val="283B40D1"/>
    <w:rsid w:val="283B4790"/>
    <w:rsid w:val="28400C18"/>
    <w:rsid w:val="285374C5"/>
    <w:rsid w:val="285919D0"/>
    <w:rsid w:val="285C0075"/>
    <w:rsid w:val="28643ED1"/>
    <w:rsid w:val="287113E7"/>
    <w:rsid w:val="28732366"/>
    <w:rsid w:val="288A0056"/>
    <w:rsid w:val="28940C5A"/>
    <w:rsid w:val="2896072C"/>
    <w:rsid w:val="28975DA4"/>
    <w:rsid w:val="28976054"/>
    <w:rsid w:val="28991DCC"/>
    <w:rsid w:val="289D48BA"/>
    <w:rsid w:val="28A35B9E"/>
    <w:rsid w:val="28A6273B"/>
    <w:rsid w:val="28AA32E4"/>
    <w:rsid w:val="28AC24C6"/>
    <w:rsid w:val="28AF15F0"/>
    <w:rsid w:val="28B05368"/>
    <w:rsid w:val="28B20286"/>
    <w:rsid w:val="28BE7A85"/>
    <w:rsid w:val="28C130D1"/>
    <w:rsid w:val="28C51E4D"/>
    <w:rsid w:val="28C878C3"/>
    <w:rsid w:val="28CC0A6C"/>
    <w:rsid w:val="28CD1A76"/>
    <w:rsid w:val="28CE3CFF"/>
    <w:rsid w:val="28D017B6"/>
    <w:rsid w:val="28DC615D"/>
    <w:rsid w:val="28F11C08"/>
    <w:rsid w:val="28F519C1"/>
    <w:rsid w:val="28F62000"/>
    <w:rsid w:val="28FC05AD"/>
    <w:rsid w:val="28FC642D"/>
    <w:rsid w:val="29051210"/>
    <w:rsid w:val="29064F88"/>
    <w:rsid w:val="2909272D"/>
    <w:rsid w:val="290A0F1C"/>
    <w:rsid w:val="290C6A42"/>
    <w:rsid w:val="291378FA"/>
    <w:rsid w:val="291E4D83"/>
    <w:rsid w:val="29262F95"/>
    <w:rsid w:val="29312005"/>
    <w:rsid w:val="29345F99"/>
    <w:rsid w:val="2935754D"/>
    <w:rsid w:val="29387837"/>
    <w:rsid w:val="293D5FD4"/>
    <w:rsid w:val="2941623D"/>
    <w:rsid w:val="294538FF"/>
    <w:rsid w:val="294A57BC"/>
    <w:rsid w:val="2951272C"/>
    <w:rsid w:val="295B3526"/>
    <w:rsid w:val="2964687E"/>
    <w:rsid w:val="296A5517"/>
    <w:rsid w:val="29775968"/>
    <w:rsid w:val="297939AC"/>
    <w:rsid w:val="297E60A1"/>
    <w:rsid w:val="298505A2"/>
    <w:rsid w:val="29852351"/>
    <w:rsid w:val="29860B07"/>
    <w:rsid w:val="2988159C"/>
    <w:rsid w:val="298957BD"/>
    <w:rsid w:val="298E56A9"/>
    <w:rsid w:val="299126CD"/>
    <w:rsid w:val="29934A6D"/>
    <w:rsid w:val="299576A4"/>
    <w:rsid w:val="299D3B3E"/>
    <w:rsid w:val="299F65D6"/>
    <w:rsid w:val="29AE5D4B"/>
    <w:rsid w:val="29AF7C83"/>
    <w:rsid w:val="29B669AE"/>
    <w:rsid w:val="29BD5B86"/>
    <w:rsid w:val="29BE48F3"/>
    <w:rsid w:val="29C25353"/>
    <w:rsid w:val="29C60324"/>
    <w:rsid w:val="29CE3CF8"/>
    <w:rsid w:val="29D86924"/>
    <w:rsid w:val="29D90ED2"/>
    <w:rsid w:val="29DB1BF4"/>
    <w:rsid w:val="29E033D8"/>
    <w:rsid w:val="29E67293"/>
    <w:rsid w:val="29F37C02"/>
    <w:rsid w:val="29F714A0"/>
    <w:rsid w:val="2A03394E"/>
    <w:rsid w:val="2A063491"/>
    <w:rsid w:val="2A07530B"/>
    <w:rsid w:val="2A0C2A72"/>
    <w:rsid w:val="2A1738F0"/>
    <w:rsid w:val="2A1E28C6"/>
    <w:rsid w:val="2A211E52"/>
    <w:rsid w:val="2A2658E2"/>
    <w:rsid w:val="2A375D41"/>
    <w:rsid w:val="2A3A75DF"/>
    <w:rsid w:val="2A3F4E5B"/>
    <w:rsid w:val="2A413BE1"/>
    <w:rsid w:val="2A434FE4"/>
    <w:rsid w:val="2A4B6A35"/>
    <w:rsid w:val="2A506FDF"/>
    <w:rsid w:val="2A510485"/>
    <w:rsid w:val="2A53244F"/>
    <w:rsid w:val="2A544B34"/>
    <w:rsid w:val="2A5E32CD"/>
    <w:rsid w:val="2A60479C"/>
    <w:rsid w:val="2A726D79"/>
    <w:rsid w:val="2A742AF1"/>
    <w:rsid w:val="2A7F4FF2"/>
    <w:rsid w:val="2A863051"/>
    <w:rsid w:val="2A8820F8"/>
    <w:rsid w:val="2A8A1A57"/>
    <w:rsid w:val="2A8D3BB3"/>
    <w:rsid w:val="2A8D770F"/>
    <w:rsid w:val="2A8F5EDF"/>
    <w:rsid w:val="2A934140"/>
    <w:rsid w:val="2A9860B3"/>
    <w:rsid w:val="2AA11403"/>
    <w:rsid w:val="2AA8279A"/>
    <w:rsid w:val="2AAE58D7"/>
    <w:rsid w:val="2AAF6413"/>
    <w:rsid w:val="2AC1385C"/>
    <w:rsid w:val="2AC375D4"/>
    <w:rsid w:val="2AC46EA9"/>
    <w:rsid w:val="2AD17185"/>
    <w:rsid w:val="2AD215C5"/>
    <w:rsid w:val="2AD76BDC"/>
    <w:rsid w:val="2ADB3DDF"/>
    <w:rsid w:val="2ADE61BC"/>
    <w:rsid w:val="2ADE7F6A"/>
    <w:rsid w:val="2AE35581"/>
    <w:rsid w:val="2AEB2687"/>
    <w:rsid w:val="2AF552B4"/>
    <w:rsid w:val="2AF7102C"/>
    <w:rsid w:val="2AF92FF6"/>
    <w:rsid w:val="2AFA28CA"/>
    <w:rsid w:val="2AFC2AE6"/>
    <w:rsid w:val="2AFE685E"/>
    <w:rsid w:val="2B0017C1"/>
    <w:rsid w:val="2B016D40"/>
    <w:rsid w:val="2B05199B"/>
    <w:rsid w:val="2B073965"/>
    <w:rsid w:val="2B0F45C8"/>
    <w:rsid w:val="2B123A80"/>
    <w:rsid w:val="2B147E30"/>
    <w:rsid w:val="2B191FE5"/>
    <w:rsid w:val="2B194B98"/>
    <w:rsid w:val="2B1971F4"/>
    <w:rsid w:val="2B1A259C"/>
    <w:rsid w:val="2B1E0CAF"/>
    <w:rsid w:val="2B2142FB"/>
    <w:rsid w:val="2B253DEB"/>
    <w:rsid w:val="2B277B63"/>
    <w:rsid w:val="2B28065B"/>
    <w:rsid w:val="2B2D2CA0"/>
    <w:rsid w:val="2B2D4A4E"/>
    <w:rsid w:val="2B2F4C6A"/>
    <w:rsid w:val="2B3101FD"/>
    <w:rsid w:val="2B373B1E"/>
    <w:rsid w:val="2B377690"/>
    <w:rsid w:val="2B3B50FE"/>
    <w:rsid w:val="2B3B716B"/>
    <w:rsid w:val="2B4401F7"/>
    <w:rsid w:val="2B4B71A0"/>
    <w:rsid w:val="2B5106E3"/>
    <w:rsid w:val="2B5446D0"/>
    <w:rsid w:val="2B5C67DA"/>
    <w:rsid w:val="2B6C1A1A"/>
    <w:rsid w:val="2B7F7217"/>
    <w:rsid w:val="2B853F16"/>
    <w:rsid w:val="2B886128"/>
    <w:rsid w:val="2B8C3C9F"/>
    <w:rsid w:val="2B932BBB"/>
    <w:rsid w:val="2B966A97"/>
    <w:rsid w:val="2B9B5E5B"/>
    <w:rsid w:val="2B9E594C"/>
    <w:rsid w:val="2BA016C4"/>
    <w:rsid w:val="2BA07916"/>
    <w:rsid w:val="2BA47406"/>
    <w:rsid w:val="2BA6106A"/>
    <w:rsid w:val="2BB46F1D"/>
    <w:rsid w:val="2BB834E9"/>
    <w:rsid w:val="2BBB02AC"/>
    <w:rsid w:val="2BBF0ED8"/>
    <w:rsid w:val="2BC03B14"/>
    <w:rsid w:val="2BC058C2"/>
    <w:rsid w:val="2BC139B6"/>
    <w:rsid w:val="2BC74CE2"/>
    <w:rsid w:val="2BCA5C66"/>
    <w:rsid w:val="2BD17ACF"/>
    <w:rsid w:val="2BD4136D"/>
    <w:rsid w:val="2BD561F6"/>
    <w:rsid w:val="2BD575BF"/>
    <w:rsid w:val="2BD90527"/>
    <w:rsid w:val="2BE27F2E"/>
    <w:rsid w:val="2BEF61A7"/>
    <w:rsid w:val="2BF5452C"/>
    <w:rsid w:val="2BFD51BC"/>
    <w:rsid w:val="2C07437A"/>
    <w:rsid w:val="2C0C1B4C"/>
    <w:rsid w:val="2C0E487F"/>
    <w:rsid w:val="2C14155E"/>
    <w:rsid w:val="2C1C774E"/>
    <w:rsid w:val="2C1E0A17"/>
    <w:rsid w:val="2C270644"/>
    <w:rsid w:val="2C302A48"/>
    <w:rsid w:val="2C31690F"/>
    <w:rsid w:val="2C33078A"/>
    <w:rsid w:val="2C352211"/>
    <w:rsid w:val="2C3562B0"/>
    <w:rsid w:val="2C3748DB"/>
    <w:rsid w:val="2C4464F3"/>
    <w:rsid w:val="2C4D184B"/>
    <w:rsid w:val="2C506E59"/>
    <w:rsid w:val="2C52540F"/>
    <w:rsid w:val="2C576226"/>
    <w:rsid w:val="2C684BA7"/>
    <w:rsid w:val="2C6941AB"/>
    <w:rsid w:val="2C7768C8"/>
    <w:rsid w:val="2C784B05"/>
    <w:rsid w:val="2C8132A3"/>
    <w:rsid w:val="2C906196"/>
    <w:rsid w:val="2C961536"/>
    <w:rsid w:val="2C976726"/>
    <w:rsid w:val="2C9816DD"/>
    <w:rsid w:val="2C9F7BCD"/>
    <w:rsid w:val="2CA62D0A"/>
    <w:rsid w:val="2CAE1BBE"/>
    <w:rsid w:val="2CB0732E"/>
    <w:rsid w:val="2CBE44F7"/>
    <w:rsid w:val="2CC43190"/>
    <w:rsid w:val="2CC6515A"/>
    <w:rsid w:val="2CC82C80"/>
    <w:rsid w:val="2CCB2770"/>
    <w:rsid w:val="2CCD0296"/>
    <w:rsid w:val="2CCD1A5F"/>
    <w:rsid w:val="2CD33F1A"/>
    <w:rsid w:val="2CD4199C"/>
    <w:rsid w:val="2CD45FA8"/>
    <w:rsid w:val="2CDA6E57"/>
    <w:rsid w:val="2CE455E0"/>
    <w:rsid w:val="2CED0939"/>
    <w:rsid w:val="2CF47F19"/>
    <w:rsid w:val="2CF577ED"/>
    <w:rsid w:val="2CF84372"/>
    <w:rsid w:val="2CF96358"/>
    <w:rsid w:val="2CFE48F4"/>
    <w:rsid w:val="2CFE5CF0"/>
    <w:rsid w:val="2D036718"/>
    <w:rsid w:val="2D08461F"/>
    <w:rsid w:val="2D1328A3"/>
    <w:rsid w:val="2D1529D1"/>
    <w:rsid w:val="2D1F486A"/>
    <w:rsid w:val="2D287BC3"/>
    <w:rsid w:val="2D2B7271"/>
    <w:rsid w:val="2D301C53"/>
    <w:rsid w:val="2D320A41"/>
    <w:rsid w:val="2D3447B9"/>
    <w:rsid w:val="2D371AE3"/>
    <w:rsid w:val="2D4349FC"/>
    <w:rsid w:val="2D594220"/>
    <w:rsid w:val="2D71156A"/>
    <w:rsid w:val="2D716C8E"/>
    <w:rsid w:val="2D73279F"/>
    <w:rsid w:val="2D880661"/>
    <w:rsid w:val="2D8C517E"/>
    <w:rsid w:val="2D940DB4"/>
    <w:rsid w:val="2D947006"/>
    <w:rsid w:val="2D9D45BF"/>
    <w:rsid w:val="2DA32FAF"/>
    <w:rsid w:val="2DA336ED"/>
    <w:rsid w:val="2DA428D7"/>
    <w:rsid w:val="2DA63E50"/>
    <w:rsid w:val="2DA7482A"/>
    <w:rsid w:val="2DAC4350"/>
    <w:rsid w:val="2DAC5DFC"/>
    <w:rsid w:val="2DBF7A0E"/>
    <w:rsid w:val="2DC26886"/>
    <w:rsid w:val="2DC45B3D"/>
    <w:rsid w:val="2DC50B65"/>
    <w:rsid w:val="2DCC2C33"/>
    <w:rsid w:val="2DD6761F"/>
    <w:rsid w:val="2DD83397"/>
    <w:rsid w:val="2DDC0B49"/>
    <w:rsid w:val="2DE41D3C"/>
    <w:rsid w:val="2DEC299E"/>
    <w:rsid w:val="2DFA5A2E"/>
    <w:rsid w:val="2E042DED"/>
    <w:rsid w:val="2E054178"/>
    <w:rsid w:val="2E0777D8"/>
    <w:rsid w:val="2E0926EC"/>
    <w:rsid w:val="2E093F97"/>
    <w:rsid w:val="2E094BB1"/>
    <w:rsid w:val="2E0D71EA"/>
    <w:rsid w:val="2E0E28B0"/>
    <w:rsid w:val="2E1343CF"/>
    <w:rsid w:val="2E1D349F"/>
    <w:rsid w:val="2E1E4B22"/>
    <w:rsid w:val="2E334A71"/>
    <w:rsid w:val="2E3A4766"/>
    <w:rsid w:val="2E3C4E9D"/>
    <w:rsid w:val="2E3D4AAA"/>
    <w:rsid w:val="2E426A62"/>
    <w:rsid w:val="2E4F0E88"/>
    <w:rsid w:val="2E56075F"/>
    <w:rsid w:val="2E5B7B24"/>
    <w:rsid w:val="2E5D389C"/>
    <w:rsid w:val="2E5F13C2"/>
    <w:rsid w:val="2E67471B"/>
    <w:rsid w:val="2E6E5AA9"/>
    <w:rsid w:val="2E6E7857"/>
    <w:rsid w:val="2E701821"/>
    <w:rsid w:val="2E7248C0"/>
    <w:rsid w:val="2E7D14FA"/>
    <w:rsid w:val="2E8217EA"/>
    <w:rsid w:val="2E825006"/>
    <w:rsid w:val="2E8928E3"/>
    <w:rsid w:val="2E9043E3"/>
    <w:rsid w:val="2E926CEC"/>
    <w:rsid w:val="2EA231B2"/>
    <w:rsid w:val="2EA44C31"/>
    <w:rsid w:val="2EA74B17"/>
    <w:rsid w:val="2EAB1B26"/>
    <w:rsid w:val="2EAD2181"/>
    <w:rsid w:val="2EB155A5"/>
    <w:rsid w:val="2EB86D24"/>
    <w:rsid w:val="2EBF00B3"/>
    <w:rsid w:val="2EC67693"/>
    <w:rsid w:val="2ECC3CD5"/>
    <w:rsid w:val="2EDD7DAC"/>
    <w:rsid w:val="2EE26446"/>
    <w:rsid w:val="2EF04710"/>
    <w:rsid w:val="2EFA3BE5"/>
    <w:rsid w:val="2F05640D"/>
    <w:rsid w:val="2F107C06"/>
    <w:rsid w:val="2F1F0699"/>
    <w:rsid w:val="2F1F0B51"/>
    <w:rsid w:val="2F210D6D"/>
    <w:rsid w:val="2F234AE5"/>
    <w:rsid w:val="2F2B5748"/>
    <w:rsid w:val="2F2C593F"/>
    <w:rsid w:val="2F2E2843"/>
    <w:rsid w:val="2F4A23A5"/>
    <w:rsid w:val="2F4B45A3"/>
    <w:rsid w:val="2F4D1B62"/>
    <w:rsid w:val="2F547110"/>
    <w:rsid w:val="2F6C7198"/>
    <w:rsid w:val="2F715851"/>
    <w:rsid w:val="2F7B047E"/>
    <w:rsid w:val="2F8F1814"/>
    <w:rsid w:val="2F950E14"/>
    <w:rsid w:val="2F9C6646"/>
    <w:rsid w:val="2F9E416C"/>
    <w:rsid w:val="2FA71273"/>
    <w:rsid w:val="2FAC3343"/>
    <w:rsid w:val="2FAC6889"/>
    <w:rsid w:val="2FBC4423"/>
    <w:rsid w:val="2FC26493"/>
    <w:rsid w:val="2FC74ED6"/>
    <w:rsid w:val="2FCD4A51"/>
    <w:rsid w:val="2FCF07C9"/>
    <w:rsid w:val="2FD61B58"/>
    <w:rsid w:val="2FDB2CCA"/>
    <w:rsid w:val="2FE029D7"/>
    <w:rsid w:val="2FE31BF5"/>
    <w:rsid w:val="2FEA5BB3"/>
    <w:rsid w:val="2FF70B15"/>
    <w:rsid w:val="2FFA3814"/>
    <w:rsid w:val="2FFB15BE"/>
    <w:rsid w:val="30010B15"/>
    <w:rsid w:val="300914DE"/>
    <w:rsid w:val="30092276"/>
    <w:rsid w:val="300E12F2"/>
    <w:rsid w:val="30134B5A"/>
    <w:rsid w:val="30145E45"/>
    <w:rsid w:val="301A3977"/>
    <w:rsid w:val="301C4D76"/>
    <w:rsid w:val="302879E3"/>
    <w:rsid w:val="30377ED2"/>
    <w:rsid w:val="30497D1D"/>
    <w:rsid w:val="304A7E50"/>
    <w:rsid w:val="30534DD6"/>
    <w:rsid w:val="30550CCF"/>
    <w:rsid w:val="30586A11"/>
    <w:rsid w:val="305B2034"/>
    <w:rsid w:val="305C56E5"/>
    <w:rsid w:val="305D5DD5"/>
    <w:rsid w:val="306233EC"/>
    <w:rsid w:val="30647164"/>
    <w:rsid w:val="30660F95"/>
    <w:rsid w:val="30673E31"/>
    <w:rsid w:val="306814F8"/>
    <w:rsid w:val="30696F79"/>
    <w:rsid w:val="306B6744"/>
    <w:rsid w:val="306B7B89"/>
    <w:rsid w:val="307341BA"/>
    <w:rsid w:val="307A0735"/>
    <w:rsid w:val="307A24E3"/>
    <w:rsid w:val="307B5F9A"/>
    <w:rsid w:val="308275EA"/>
    <w:rsid w:val="308710A4"/>
    <w:rsid w:val="30874C00"/>
    <w:rsid w:val="30890978"/>
    <w:rsid w:val="308C2216"/>
    <w:rsid w:val="308E2433"/>
    <w:rsid w:val="309335A5"/>
    <w:rsid w:val="30A734F4"/>
    <w:rsid w:val="30AE03DF"/>
    <w:rsid w:val="30AE6BAA"/>
    <w:rsid w:val="30B0516F"/>
    <w:rsid w:val="30BA0A78"/>
    <w:rsid w:val="30BB2AFC"/>
    <w:rsid w:val="30BC0D4E"/>
    <w:rsid w:val="30C145B6"/>
    <w:rsid w:val="30D96B4B"/>
    <w:rsid w:val="30DC319E"/>
    <w:rsid w:val="30E038E2"/>
    <w:rsid w:val="30E16A06"/>
    <w:rsid w:val="30E6401D"/>
    <w:rsid w:val="30E80B4C"/>
    <w:rsid w:val="30F1651D"/>
    <w:rsid w:val="30F62060"/>
    <w:rsid w:val="30FC55EE"/>
    <w:rsid w:val="30FF50DE"/>
    <w:rsid w:val="31012C04"/>
    <w:rsid w:val="310B3A83"/>
    <w:rsid w:val="310B5831"/>
    <w:rsid w:val="311057A0"/>
    <w:rsid w:val="31175E18"/>
    <w:rsid w:val="313355F7"/>
    <w:rsid w:val="313C4D53"/>
    <w:rsid w:val="313F54DB"/>
    <w:rsid w:val="31426A08"/>
    <w:rsid w:val="31464ABB"/>
    <w:rsid w:val="31476DDC"/>
    <w:rsid w:val="314D6D89"/>
    <w:rsid w:val="31533610"/>
    <w:rsid w:val="31540F86"/>
    <w:rsid w:val="31554CFE"/>
    <w:rsid w:val="31570A76"/>
    <w:rsid w:val="315F75B9"/>
    <w:rsid w:val="316305AE"/>
    <w:rsid w:val="316D3DF6"/>
    <w:rsid w:val="316F4012"/>
    <w:rsid w:val="31857392"/>
    <w:rsid w:val="31883F12"/>
    <w:rsid w:val="319B4E07"/>
    <w:rsid w:val="31A16195"/>
    <w:rsid w:val="31B25CAD"/>
    <w:rsid w:val="31BC6B2B"/>
    <w:rsid w:val="31C53C32"/>
    <w:rsid w:val="31C679AA"/>
    <w:rsid w:val="31C81974"/>
    <w:rsid w:val="31CD6F8B"/>
    <w:rsid w:val="31D420C7"/>
    <w:rsid w:val="31D4290F"/>
    <w:rsid w:val="31D47FB5"/>
    <w:rsid w:val="31D574D0"/>
    <w:rsid w:val="31E3230A"/>
    <w:rsid w:val="31E53041"/>
    <w:rsid w:val="31E811D0"/>
    <w:rsid w:val="31E85B72"/>
    <w:rsid w:val="31E87920"/>
    <w:rsid w:val="31F107E2"/>
    <w:rsid w:val="31F3494A"/>
    <w:rsid w:val="31F369F1"/>
    <w:rsid w:val="31F64D86"/>
    <w:rsid w:val="31F67EDC"/>
    <w:rsid w:val="31FD161E"/>
    <w:rsid w:val="32066A99"/>
    <w:rsid w:val="320A3D3B"/>
    <w:rsid w:val="320C0799"/>
    <w:rsid w:val="320C360F"/>
    <w:rsid w:val="320C7AB3"/>
    <w:rsid w:val="320F4EAD"/>
    <w:rsid w:val="321D0928"/>
    <w:rsid w:val="321D78C4"/>
    <w:rsid w:val="32250B75"/>
    <w:rsid w:val="322E2C96"/>
    <w:rsid w:val="322F44D8"/>
    <w:rsid w:val="32326DEE"/>
    <w:rsid w:val="32432F09"/>
    <w:rsid w:val="3244724D"/>
    <w:rsid w:val="32472E8B"/>
    <w:rsid w:val="324F174E"/>
    <w:rsid w:val="32562ADC"/>
    <w:rsid w:val="325850F3"/>
    <w:rsid w:val="32586854"/>
    <w:rsid w:val="32676A97"/>
    <w:rsid w:val="32696CB3"/>
    <w:rsid w:val="326A2A2B"/>
    <w:rsid w:val="326C0551"/>
    <w:rsid w:val="32717916"/>
    <w:rsid w:val="3273368E"/>
    <w:rsid w:val="327402D3"/>
    <w:rsid w:val="327F0285"/>
    <w:rsid w:val="32807B59"/>
    <w:rsid w:val="32870EE7"/>
    <w:rsid w:val="328C4750"/>
    <w:rsid w:val="32901F78"/>
    <w:rsid w:val="32955D71"/>
    <w:rsid w:val="32956289"/>
    <w:rsid w:val="32957AA8"/>
    <w:rsid w:val="329D4BAF"/>
    <w:rsid w:val="329E1117"/>
    <w:rsid w:val="32A55811"/>
    <w:rsid w:val="32AB107A"/>
    <w:rsid w:val="32AC4DF2"/>
    <w:rsid w:val="32B20876"/>
    <w:rsid w:val="32B36721"/>
    <w:rsid w:val="32BD0DAD"/>
    <w:rsid w:val="32C24615"/>
    <w:rsid w:val="32CC14D1"/>
    <w:rsid w:val="32D71A47"/>
    <w:rsid w:val="32D87C6A"/>
    <w:rsid w:val="32DC38D4"/>
    <w:rsid w:val="32DF0D0D"/>
    <w:rsid w:val="32E12CEE"/>
    <w:rsid w:val="32EB1476"/>
    <w:rsid w:val="32EB591A"/>
    <w:rsid w:val="32F05759"/>
    <w:rsid w:val="32F31EA6"/>
    <w:rsid w:val="32F62E2B"/>
    <w:rsid w:val="32F72511"/>
    <w:rsid w:val="32F75029"/>
    <w:rsid w:val="32F93DAF"/>
    <w:rsid w:val="32FA0C59"/>
    <w:rsid w:val="32FA5B5D"/>
    <w:rsid w:val="330C5DE8"/>
    <w:rsid w:val="3310712F"/>
    <w:rsid w:val="33172BB7"/>
    <w:rsid w:val="33182487"/>
    <w:rsid w:val="33226E62"/>
    <w:rsid w:val="332B3DDB"/>
    <w:rsid w:val="33354DE7"/>
    <w:rsid w:val="33356B95"/>
    <w:rsid w:val="334D5059"/>
    <w:rsid w:val="3352320D"/>
    <w:rsid w:val="335331C4"/>
    <w:rsid w:val="335440CF"/>
    <w:rsid w:val="33576B0C"/>
    <w:rsid w:val="335C4122"/>
    <w:rsid w:val="335F1116"/>
    <w:rsid w:val="33694A91"/>
    <w:rsid w:val="337066EC"/>
    <w:rsid w:val="337376BE"/>
    <w:rsid w:val="337616F8"/>
    <w:rsid w:val="33766214"/>
    <w:rsid w:val="33795CB6"/>
    <w:rsid w:val="337C2E4B"/>
    <w:rsid w:val="33865643"/>
    <w:rsid w:val="338673F1"/>
    <w:rsid w:val="3388239A"/>
    <w:rsid w:val="338D077F"/>
    <w:rsid w:val="338D69D1"/>
    <w:rsid w:val="33953C2E"/>
    <w:rsid w:val="33956111"/>
    <w:rsid w:val="339733AC"/>
    <w:rsid w:val="33977850"/>
    <w:rsid w:val="33995EB7"/>
    <w:rsid w:val="33A07A40"/>
    <w:rsid w:val="33A65CE5"/>
    <w:rsid w:val="33A72C4E"/>
    <w:rsid w:val="33AA1331"/>
    <w:rsid w:val="33AD7074"/>
    <w:rsid w:val="33AF005B"/>
    <w:rsid w:val="33B026C0"/>
    <w:rsid w:val="33B17484"/>
    <w:rsid w:val="33B47E40"/>
    <w:rsid w:val="33B57CD6"/>
    <w:rsid w:val="33B757FC"/>
    <w:rsid w:val="33C63C91"/>
    <w:rsid w:val="33C65A3F"/>
    <w:rsid w:val="33C704C7"/>
    <w:rsid w:val="33CA5530"/>
    <w:rsid w:val="33CD6DCE"/>
    <w:rsid w:val="33DD2B88"/>
    <w:rsid w:val="33DF6B01"/>
    <w:rsid w:val="33ED121E"/>
    <w:rsid w:val="33F1052D"/>
    <w:rsid w:val="33F15DB4"/>
    <w:rsid w:val="33F275B9"/>
    <w:rsid w:val="33F5132F"/>
    <w:rsid w:val="34164C19"/>
    <w:rsid w:val="3417273F"/>
    <w:rsid w:val="341E136B"/>
    <w:rsid w:val="341E2D11"/>
    <w:rsid w:val="342235BE"/>
    <w:rsid w:val="34304704"/>
    <w:rsid w:val="34340713"/>
    <w:rsid w:val="34482EEA"/>
    <w:rsid w:val="344E0E5E"/>
    <w:rsid w:val="345614B9"/>
    <w:rsid w:val="34637732"/>
    <w:rsid w:val="34645984"/>
    <w:rsid w:val="346728BE"/>
    <w:rsid w:val="34751333"/>
    <w:rsid w:val="347B4A7C"/>
    <w:rsid w:val="347E3BAB"/>
    <w:rsid w:val="34863867"/>
    <w:rsid w:val="348E0C53"/>
    <w:rsid w:val="34940D67"/>
    <w:rsid w:val="34A02734"/>
    <w:rsid w:val="34A053E5"/>
    <w:rsid w:val="34A855CD"/>
    <w:rsid w:val="34AF7BFE"/>
    <w:rsid w:val="34B451A4"/>
    <w:rsid w:val="34B87A7E"/>
    <w:rsid w:val="34C12DD7"/>
    <w:rsid w:val="34CA1AAC"/>
    <w:rsid w:val="34CE1050"/>
    <w:rsid w:val="34CF6B76"/>
    <w:rsid w:val="34D10B40"/>
    <w:rsid w:val="34D37F91"/>
    <w:rsid w:val="34D806A1"/>
    <w:rsid w:val="34E97C37"/>
    <w:rsid w:val="34EC7728"/>
    <w:rsid w:val="34EF09E7"/>
    <w:rsid w:val="34F767F8"/>
    <w:rsid w:val="34FA3BF3"/>
    <w:rsid w:val="34FB2921"/>
    <w:rsid w:val="34FC3E0F"/>
    <w:rsid w:val="34FE62BA"/>
    <w:rsid w:val="34FF407A"/>
    <w:rsid w:val="35142967"/>
    <w:rsid w:val="351701DB"/>
    <w:rsid w:val="3522139B"/>
    <w:rsid w:val="3525563E"/>
    <w:rsid w:val="352B64A2"/>
    <w:rsid w:val="352E5F92"/>
    <w:rsid w:val="353D61D5"/>
    <w:rsid w:val="355341B0"/>
    <w:rsid w:val="35553B05"/>
    <w:rsid w:val="3558365A"/>
    <w:rsid w:val="355D1673"/>
    <w:rsid w:val="355F614C"/>
    <w:rsid w:val="355F7A56"/>
    <w:rsid w:val="3566572C"/>
    <w:rsid w:val="356679F2"/>
    <w:rsid w:val="356E34B4"/>
    <w:rsid w:val="3584082D"/>
    <w:rsid w:val="35840EDB"/>
    <w:rsid w:val="35871E91"/>
    <w:rsid w:val="358726FB"/>
    <w:rsid w:val="359027A9"/>
    <w:rsid w:val="359B2BDD"/>
    <w:rsid w:val="359C2EFC"/>
    <w:rsid w:val="35A63D7A"/>
    <w:rsid w:val="35A65B28"/>
    <w:rsid w:val="35AB6B9C"/>
    <w:rsid w:val="35AE1D1F"/>
    <w:rsid w:val="35B24D61"/>
    <w:rsid w:val="35B629AE"/>
    <w:rsid w:val="35B77E36"/>
    <w:rsid w:val="35D52E6A"/>
    <w:rsid w:val="35D54660"/>
    <w:rsid w:val="35DE3514"/>
    <w:rsid w:val="35E12C8E"/>
    <w:rsid w:val="35E36D7D"/>
    <w:rsid w:val="35EA4102"/>
    <w:rsid w:val="35EC34F1"/>
    <w:rsid w:val="35F26FC0"/>
    <w:rsid w:val="35FC399A"/>
    <w:rsid w:val="36015455"/>
    <w:rsid w:val="36031481"/>
    <w:rsid w:val="36080591"/>
    <w:rsid w:val="36082643"/>
    <w:rsid w:val="36132E0B"/>
    <w:rsid w:val="36145188"/>
    <w:rsid w:val="36183502"/>
    <w:rsid w:val="361F2D06"/>
    <w:rsid w:val="36251143"/>
    <w:rsid w:val="3627310D"/>
    <w:rsid w:val="362D1DA6"/>
    <w:rsid w:val="363624CF"/>
    <w:rsid w:val="3639699D"/>
    <w:rsid w:val="36401C4A"/>
    <w:rsid w:val="36513CE6"/>
    <w:rsid w:val="36533F02"/>
    <w:rsid w:val="36545D30"/>
    <w:rsid w:val="366003CD"/>
    <w:rsid w:val="36617CA1"/>
    <w:rsid w:val="36625046"/>
    <w:rsid w:val="366A4DA8"/>
    <w:rsid w:val="366C4FC4"/>
    <w:rsid w:val="36743E79"/>
    <w:rsid w:val="36774FEB"/>
    <w:rsid w:val="367774C5"/>
    <w:rsid w:val="367B5207"/>
    <w:rsid w:val="367E2601"/>
    <w:rsid w:val="368F0CB2"/>
    <w:rsid w:val="36910587"/>
    <w:rsid w:val="369260AD"/>
    <w:rsid w:val="369F793E"/>
    <w:rsid w:val="36AE1139"/>
    <w:rsid w:val="36B204FD"/>
    <w:rsid w:val="36B27068"/>
    <w:rsid w:val="36B3674F"/>
    <w:rsid w:val="36C344B8"/>
    <w:rsid w:val="36C50230"/>
    <w:rsid w:val="36CE5337"/>
    <w:rsid w:val="36D32365"/>
    <w:rsid w:val="36D72A86"/>
    <w:rsid w:val="36DD557A"/>
    <w:rsid w:val="36E20DE2"/>
    <w:rsid w:val="36E42DAC"/>
    <w:rsid w:val="36F32FEF"/>
    <w:rsid w:val="36F54FB9"/>
    <w:rsid w:val="36F6358A"/>
    <w:rsid w:val="36FA4B84"/>
    <w:rsid w:val="36FA64BE"/>
    <w:rsid w:val="370400D2"/>
    <w:rsid w:val="37070849"/>
    <w:rsid w:val="370A20E7"/>
    <w:rsid w:val="37190F61"/>
    <w:rsid w:val="37240FDC"/>
    <w:rsid w:val="372413FB"/>
    <w:rsid w:val="37272F7A"/>
    <w:rsid w:val="372C4753"/>
    <w:rsid w:val="372E2279"/>
    <w:rsid w:val="374750E9"/>
    <w:rsid w:val="37517739"/>
    <w:rsid w:val="375D3FE4"/>
    <w:rsid w:val="37632943"/>
    <w:rsid w:val="3766401B"/>
    <w:rsid w:val="37697DF6"/>
    <w:rsid w:val="376A5878"/>
    <w:rsid w:val="376B702A"/>
    <w:rsid w:val="377203B8"/>
    <w:rsid w:val="37732AFE"/>
    <w:rsid w:val="37751C56"/>
    <w:rsid w:val="377D0B0B"/>
    <w:rsid w:val="37824373"/>
    <w:rsid w:val="378400EB"/>
    <w:rsid w:val="378D110A"/>
    <w:rsid w:val="379540A7"/>
    <w:rsid w:val="379876F3"/>
    <w:rsid w:val="379A16BD"/>
    <w:rsid w:val="37A3345A"/>
    <w:rsid w:val="37A97857"/>
    <w:rsid w:val="37AA1079"/>
    <w:rsid w:val="37AD5068"/>
    <w:rsid w:val="37B10A7A"/>
    <w:rsid w:val="37B81B43"/>
    <w:rsid w:val="37BC5AD7"/>
    <w:rsid w:val="37C44C8D"/>
    <w:rsid w:val="37CB5D1A"/>
    <w:rsid w:val="37CD3840"/>
    <w:rsid w:val="37CD4298"/>
    <w:rsid w:val="37E33064"/>
    <w:rsid w:val="37F7095F"/>
    <w:rsid w:val="37FA03AE"/>
    <w:rsid w:val="37FA18E4"/>
    <w:rsid w:val="38022573"/>
    <w:rsid w:val="38072A86"/>
    <w:rsid w:val="380D6333"/>
    <w:rsid w:val="381D1916"/>
    <w:rsid w:val="381F1BC2"/>
    <w:rsid w:val="38216182"/>
    <w:rsid w:val="38246F96"/>
    <w:rsid w:val="382B5936"/>
    <w:rsid w:val="382F550D"/>
    <w:rsid w:val="38315C5A"/>
    <w:rsid w:val="38341A0A"/>
    <w:rsid w:val="3834566E"/>
    <w:rsid w:val="38346D67"/>
    <w:rsid w:val="383C4522"/>
    <w:rsid w:val="384004B6"/>
    <w:rsid w:val="38404012"/>
    <w:rsid w:val="3841192C"/>
    <w:rsid w:val="384855BD"/>
    <w:rsid w:val="38547ABE"/>
    <w:rsid w:val="385A49D9"/>
    <w:rsid w:val="385B0E4C"/>
    <w:rsid w:val="38602906"/>
    <w:rsid w:val="38683569"/>
    <w:rsid w:val="38685317"/>
    <w:rsid w:val="386A5DEB"/>
    <w:rsid w:val="387104BC"/>
    <w:rsid w:val="387758ED"/>
    <w:rsid w:val="38777251"/>
    <w:rsid w:val="38790288"/>
    <w:rsid w:val="387B0309"/>
    <w:rsid w:val="387B329C"/>
    <w:rsid w:val="387B4990"/>
    <w:rsid w:val="38825465"/>
    <w:rsid w:val="38864022"/>
    <w:rsid w:val="38883C0B"/>
    <w:rsid w:val="388A1731"/>
    <w:rsid w:val="388B33D1"/>
    <w:rsid w:val="388C6C54"/>
    <w:rsid w:val="388D2FD0"/>
    <w:rsid w:val="38937CE5"/>
    <w:rsid w:val="38961762"/>
    <w:rsid w:val="38995F6A"/>
    <w:rsid w:val="38A071A7"/>
    <w:rsid w:val="38AF2F46"/>
    <w:rsid w:val="38B2379B"/>
    <w:rsid w:val="38B4055C"/>
    <w:rsid w:val="38B63734"/>
    <w:rsid w:val="38BA0BCC"/>
    <w:rsid w:val="38BD38B5"/>
    <w:rsid w:val="38BD5663"/>
    <w:rsid w:val="38C17F8F"/>
    <w:rsid w:val="38C65B34"/>
    <w:rsid w:val="38C904AC"/>
    <w:rsid w:val="38CA1127"/>
    <w:rsid w:val="38DD7AB3"/>
    <w:rsid w:val="38E1635E"/>
    <w:rsid w:val="38E52E0C"/>
    <w:rsid w:val="38E91FA2"/>
    <w:rsid w:val="38F01AA4"/>
    <w:rsid w:val="38F1355F"/>
    <w:rsid w:val="38F44166"/>
    <w:rsid w:val="39033292"/>
    <w:rsid w:val="390A4620"/>
    <w:rsid w:val="390E2362"/>
    <w:rsid w:val="390E5F29"/>
    <w:rsid w:val="391045C9"/>
    <w:rsid w:val="39255B4E"/>
    <w:rsid w:val="3929719C"/>
    <w:rsid w:val="392F6501"/>
    <w:rsid w:val="39301960"/>
    <w:rsid w:val="39305ADD"/>
    <w:rsid w:val="39317DFF"/>
    <w:rsid w:val="39340367"/>
    <w:rsid w:val="393F076E"/>
    <w:rsid w:val="39406294"/>
    <w:rsid w:val="39495149"/>
    <w:rsid w:val="395064D7"/>
    <w:rsid w:val="39561614"/>
    <w:rsid w:val="395A7356"/>
    <w:rsid w:val="395B4E7C"/>
    <w:rsid w:val="396E739C"/>
    <w:rsid w:val="39706B79"/>
    <w:rsid w:val="39725C4D"/>
    <w:rsid w:val="39761CB6"/>
    <w:rsid w:val="397A1267"/>
    <w:rsid w:val="397E697D"/>
    <w:rsid w:val="39900FC9"/>
    <w:rsid w:val="39934616"/>
    <w:rsid w:val="39961A5B"/>
    <w:rsid w:val="3997260A"/>
    <w:rsid w:val="39981C2C"/>
    <w:rsid w:val="399A59A4"/>
    <w:rsid w:val="399B4893"/>
    <w:rsid w:val="39A16D33"/>
    <w:rsid w:val="39CB3DB0"/>
    <w:rsid w:val="39CB40BB"/>
    <w:rsid w:val="39D001E5"/>
    <w:rsid w:val="39D91E06"/>
    <w:rsid w:val="39DC7D6B"/>
    <w:rsid w:val="39DD52FC"/>
    <w:rsid w:val="39E210F9"/>
    <w:rsid w:val="39E9692C"/>
    <w:rsid w:val="39F350B4"/>
    <w:rsid w:val="39F6672E"/>
    <w:rsid w:val="39FE10B4"/>
    <w:rsid w:val="39FF0D34"/>
    <w:rsid w:val="39FF7EFD"/>
    <w:rsid w:val="3A0B24BA"/>
    <w:rsid w:val="3A1A2BE3"/>
    <w:rsid w:val="3A26548A"/>
    <w:rsid w:val="3A2A082D"/>
    <w:rsid w:val="3A2F57A2"/>
    <w:rsid w:val="3A325BDD"/>
    <w:rsid w:val="3A3556CD"/>
    <w:rsid w:val="3A394687"/>
    <w:rsid w:val="3A4122C4"/>
    <w:rsid w:val="3A461688"/>
    <w:rsid w:val="3A502507"/>
    <w:rsid w:val="3A571AE7"/>
    <w:rsid w:val="3A5777C7"/>
    <w:rsid w:val="3A5A51DD"/>
    <w:rsid w:val="3A6169CA"/>
    <w:rsid w:val="3A667F7C"/>
    <w:rsid w:val="3A673743"/>
    <w:rsid w:val="3A6B315C"/>
    <w:rsid w:val="3A836257"/>
    <w:rsid w:val="3A840E46"/>
    <w:rsid w:val="3A8D72B7"/>
    <w:rsid w:val="3A8F302F"/>
    <w:rsid w:val="3A932571"/>
    <w:rsid w:val="3A9A5C71"/>
    <w:rsid w:val="3A9B33BB"/>
    <w:rsid w:val="3AA050E7"/>
    <w:rsid w:val="3AAD2E43"/>
    <w:rsid w:val="3AB17449"/>
    <w:rsid w:val="3AB92A36"/>
    <w:rsid w:val="3ABD7878"/>
    <w:rsid w:val="3AC0768C"/>
    <w:rsid w:val="3AC21656"/>
    <w:rsid w:val="3AC60B67"/>
    <w:rsid w:val="3AC7184D"/>
    <w:rsid w:val="3AC86541"/>
    <w:rsid w:val="3ACB7193"/>
    <w:rsid w:val="3AD4138A"/>
    <w:rsid w:val="3AD41A9E"/>
    <w:rsid w:val="3AD82C28"/>
    <w:rsid w:val="3AD96652"/>
    <w:rsid w:val="3AE72E6B"/>
    <w:rsid w:val="3AE8273F"/>
    <w:rsid w:val="3AE929FF"/>
    <w:rsid w:val="3AEB1C36"/>
    <w:rsid w:val="3AF61300"/>
    <w:rsid w:val="3AFC485D"/>
    <w:rsid w:val="3AFD268F"/>
    <w:rsid w:val="3AFF6407"/>
    <w:rsid w:val="3B057795"/>
    <w:rsid w:val="3B220312"/>
    <w:rsid w:val="3B233415"/>
    <w:rsid w:val="3B245E6D"/>
    <w:rsid w:val="3B295232"/>
    <w:rsid w:val="3B3140E6"/>
    <w:rsid w:val="3B361D44"/>
    <w:rsid w:val="3B373574"/>
    <w:rsid w:val="3B384922"/>
    <w:rsid w:val="3B3871F1"/>
    <w:rsid w:val="3B3D2A8B"/>
    <w:rsid w:val="3B407EA4"/>
    <w:rsid w:val="3B424545"/>
    <w:rsid w:val="3B46104B"/>
    <w:rsid w:val="3B4958D4"/>
    <w:rsid w:val="3B5725EA"/>
    <w:rsid w:val="3B5D44F4"/>
    <w:rsid w:val="3B6444BC"/>
    <w:rsid w:val="3B64626A"/>
    <w:rsid w:val="3B6B584A"/>
    <w:rsid w:val="3B720B60"/>
    <w:rsid w:val="3B723CB5"/>
    <w:rsid w:val="3B82342F"/>
    <w:rsid w:val="3B882DB9"/>
    <w:rsid w:val="3B8E1539"/>
    <w:rsid w:val="3B9A12C7"/>
    <w:rsid w:val="3BA6644F"/>
    <w:rsid w:val="3BA66882"/>
    <w:rsid w:val="3BAB20EB"/>
    <w:rsid w:val="3BAB4433"/>
    <w:rsid w:val="3BB60406"/>
    <w:rsid w:val="3BC767F9"/>
    <w:rsid w:val="3BCE402B"/>
    <w:rsid w:val="3BD35F36"/>
    <w:rsid w:val="3BDA7340"/>
    <w:rsid w:val="3BDB4052"/>
    <w:rsid w:val="3BDD7DCA"/>
    <w:rsid w:val="3BDF1D94"/>
    <w:rsid w:val="3BF33A92"/>
    <w:rsid w:val="3BF94372"/>
    <w:rsid w:val="3C095063"/>
    <w:rsid w:val="3C0D0E14"/>
    <w:rsid w:val="3C11114C"/>
    <w:rsid w:val="3C1F6635"/>
    <w:rsid w:val="3C3420E0"/>
    <w:rsid w:val="3C395E0A"/>
    <w:rsid w:val="3C3D05C6"/>
    <w:rsid w:val="3C3F0A85"/>
    <w:rsid w:val="3C4D67F6"/>
    <w:rsid w:val="3C597D99"/>
    <w:rsid w:val="3C5F2ED5"/>
    <w:rsid w:val="3C5F3204"/>
    <w:rsid w:val="3C60089E"/>
    <w:rsid w:val="3C631823"/>
    <w:rsid w:val="3C6C46B1"/>
    <w:rsid w:val="3C6F136A"/>
    <w:rsid w:val="3C712944"/>
    <w:rsid w:val="3C764FC0"/>
    <w:rsid w:val="3C776471"/>
    <w:rsid w:val="3C7A510B"/>
    <w:rsid w:val="3C7E7E4E"/>
    <w:rsid w:val="3C7F0E81"/>
    <w:rsid w:val="3C836BC3"/>
    <w:rsid w:val="3C85293C"/>
    <w:rsid w:val="3C860462"/>
    <w:rsid w:val="3C8666B4"/>
    <w:rsid w:val="3C88165D"/>
    <w:rsid w:val="3C90308E"/>
    <w:rsid w:val="3C9541F0"/>
    <w:rsid w:val="3C99647A"/>
    <w:rsid w:val="3CA31014"/>
    <w:rsid w:val="3CA37266"/>
    <w:rsid w:val="3CA52FDE"/>
    <w:rsid w:val="3CB43221"/>
    <w:rsid w:val="3CB939B5"/>
    <w:rsid w:val="3CC86CCC"/>
    <w:rsid w:val="3CCA47F2"/>
    <w:rsid w:val="3CD016DD"/>
    <w:rsid w:val="3CE533DA"/>
    <w:rsid w:val="3CEA09F1"/>
    <w:rsid w:val="3CEC29BB"/>
    <w:rsid w:val="3CF40BC5"/>
    <w:rsid w:val="3CF86493"/>
    <w:rsid w:val="3CFB0E50"/>
    <w:rsid w:val="3CFE039D"/>
    <w:rsid w:val="3CFE449C"/>
    <w:rsid w:val="3D026DA3"/>
    <w:rsid w:val="3D0A32A8"/>
    <w:rsid w:val="3D0B7EC0"/>
    <w:rsid w:val="3D10642F"/>
    <w:rsid w:val="3D1847CA"/>
    <w:rsid w:val="3D1C4EFB"/>
    <w:rsid w:val="3D220F7B"/>
    <w:rsid w:val="3D251A29"/>
    <w:rsid w:val="3D2B37EA"/>
    <w:rsid w:val="3D3E7CBB"/>
    <w:rsid w:val="3D3F6C08"/>
    <w:rsid w:val="3D595B76"/>
    <w:rsid w:val="3D5A194A"/>
    <w:rsid w:val="3D5D11C3"/>
    <w:rsid w:val="3D673DEF"/>
    <w:rsid w:val="3D6C1197"/>
    <w:rsid w:val="3D711112"/>
    <w:rsid w:val="3D7309E6"/>
    <w:rsid w:val="3D7A71BA"/>
    <w:rsid w:val="3D7B6D1A"/>
    <w:rsid w:val="3D7D3613"/>
    <w:rsid w:val="3D801355"/>
    <w:rsid w:val="3D8E0DCB"/>
    <w:rsid w:val="3D8F3346"/>
    <w:rsid w:val="3D9372DA"/>
    <w:rsid w:val="3D9902F3"/>
    <w:rsid w:val="3D9A3A9E"/>
    <w:rsid w:val="3DA52B6A"/>
    <w:rsid w:val="3DA908AC"/>
    <w:rsid w:val="3DB10AB8"/>
    <w:rsid w:val="3DB179DF"/>
    <w:rsid w:val="3DB94B54"/>
    <w:rsid w:val="3DC4168B"/>
    <w:rsid w:val="3DC94AAA"/>
    <w:rsid w:val="3DD551FD"/>
    <w:rsid w:val="3DD56D64"/>
    <w:rsid w:val="3DE11DF4"/>
    <w:rsid w:val="3DEB4A20"/>
    <w:rsid w:val="3DED7156"/>
    <w:rsid w:val="3DF31B27"/>
    <w:rsid w:val="3E0C635B"/>
    <w:rsid w:val="3E127FD1"/>
    <w:rsid w:val="3E150918"/>
    <w:rsid w:val="3E151A9D"/>
    <w:rsid w:val="3E18333B"/>
    <w:rsid w:val="3E2171FA"/>
    <w:rsid w:val="3E23240C"/>
    <w:rsid w:val="3E251484"/>
    <w:rsid w:val="3E42660A"/>
    <w:rsid w:val="3E4A6F74"/>
    <w:rsid w:val="3E51515C"/>
    <w:rsid w:val="3E5325C6"/>
    <w:rsid w:val="3E587BDC"/>
    <w:rsid w:val="3E611186"/>
    <w:rsid w:val="3E612F34"/>
    <w:rsid w:val="3E667015"/>
    <w:rsid w:val="3E6F05FE"/>
    <w:rsid w:val="3E6F4D7B"/>
    <w:rsid w:val="3E7762B4"/>
    <w:rsid w:val="3E88226F"/>
    <w:rsid w:val="3E8B1D5F"/>
    <w:rsid w:val="3E9207B3"/>
    <w:rsid w:val="3E974CE9"/>
    <w:rsid w:val="3E976956"/>
    <w:rsid w:val="3E9E05F6"/>
    <w:rsid w:val="3E9E7CE5"/>
    <w:rsid w:val="3EA0704D"/>
    <w:rsid w:val="3EA213DC"/>
    <w:rsid w:val="3EA71D60"/>
    <w:rsid w:val="3EA80B63"/>
    <w:rsid w:val="3EAA48DB"/>
    <w:rsid w:val="3EAB0654"/>
    <w:rsid w:val="3EAD1CD6"/>
    <w:rsid w:val="3EAE5A4E"/>
    <w:rsid w:val="3EB13473"/>
    <w:rsid w:val="3EB91CF7"/>
    <w:rsid w:val="3EBE2135"/>
    <w:rsid w:val="3EC0145C"/>
    <w:rsid w:val="3EC22C20"/>
    <w:rsid w:val="3EC84D62"/>
    <w:rsid w:val="3ED76D29"/>
    <w:rsid w:val="3EDC2DBA"/>
    <w:rsid w:val="3EDE09B5"/>
    <w:rsid w:val="3EED6576"/>
    <w:rsid w:val="3EEF6CC1"/>
    <w:rsid w:val="3EF21DDE"/>
    <w:rsid w:val="3EF773F5"/>
    <w:rsid w:val="3EFA04A2"/>
    <w:rsid w:val="3F0264C5"/>
    <w:rsid w:val="3F0A537A"/>
    <w:rsid w:val="3F0D09C6"/>
    <w:rsid w:val="3F12422F"/>
    <w:rsid w:val="3F152C42"/>
    <w:rsid w:val="3F2E44BF"/>
    <w:rsid w:val="3F3441A5"/>
    <w:rsid w:val="3F36616F"/>
    <w:rsid w:val="3F400D9C"/>
    <w:rsid w:val="3F593C0C"/>
    <w:rsid w:val="3F6208AA"/>
    <w:rsid w:val="3F6A0496"/>
    <w:rsid w:val="3F746C97"/>
    <w:rsid w:val="3F790AB1"/>
    <w:rsid w:val="3F7B6278"/>
    <w:rsid w:val="3F7F7B16"/>
    <w:rsid w:val="3F827606"/>
    <w:rsid w:val="3F8649B5"/>
    <w:rsid w:val="3F8A0269"/>
    <w:rsid w:val="3F8A2017"/>
    <w:rsid w:val="3F8F0210"/>
    <w:rsid w:val="3F93475A"/>
    <w:rsid w:val="3F942E96"/>
    <w:rsid w:val="3F9D1D4A"/>
    <w:rsid w:val="3F9D5506"/>
    <w:rsid w:val="3FA470AD"/>
    <w:rsid w:val="3FAE1726"/>
    <w:rsid w:val="3FB3410E"/>
    <w:rsid w:val="3FB83028"/>
    <w:rsid w:val="3FC16D71"/>
    <w:rsid w:val="3FC574F3"/>
    <w:rsid w:val="3FC65745"/>
    <w:rsid w:val="3FC77957"/>
    <w:rsid w:val="3FCF3ECE"/>
    <w:rsid w:val="3FE80F97"/>
    <w:rsid w:val="3FF32D03"/>
    <w:rsid w:val="3FF6292A"/>
    <w:rsid w:val="3FF83425"/>
    <w:rsid w:val="3FFC1590"/>
    <w:rsid w:val="40011C8E"/>
    <w:rsid w:val="400224F5"/>
    <w:rsid w:val="40077B0C"/>
    <w:rsid w:val="400973E0"/>
    <w:rsid w:val="400A0B36"/>
    <w:rsid w:val="400C0C7E"/>
    <w:rsid w:val="401B2838"/>
    <w:rsid w:val="401E0F79"/>
    <w:rsid w:val="402266F3"/>
    <w:rsid w:val="403A2E17"/>
    <w:rsid w:val="403D352D"/>
    <w:rsid w:val="403D52DB"/>
    <w:rsid w:val="404104F9"/>
    <w:rsid w:val="4055142D"/>
    <w:rsid w:val="40585F20"/>
    <w:rsid w:val="405A5E8D"/>
    <w:rsid w:val="40620A2E"/>
    <w:rsid w:val="40621EEF"/>
    <w:rsid w:val="406C5020"/>
    <w:rsid w:val="406D03BA"/>
    <w:rsid w:val="406E1939"/>
    <w:rsid w:val="40703903"/>
    <w:rsid w:val="407707ED"/>
    <w:rsid w:val="408908EE"/>
    <w:rsid w:val="408B4299"/>
    <w:rsid w:val="40917FC2"/>
    <w:rsid w:val="40925627"/>
    <w:rsid w:val="40956EC5"/>
    <w:rsid w:val="40970E8F"/>
    <w:rsid w:val="40A13D96"/>
    <w:rsid w:val="40A64B37"/>
    <w:rsid w:val="40A86BF9"/>
    <w:rsid w:val="40A92971"/>
    <w:rsid w:val="40B41A41"/>
    <w:rsid w:val="40B437EF"/>
    <w:rsid w:val="40B82BB4"/>
    <w:rsid w:val="40C00DC8"/>
    <w:rsid w:val="40C60753"/>
    <w:rsid w:val="40CB4BDA"/>
    <w:rsid w:val="40CD48B1"/>
    <w:rsid w:val="40D62F6B"/>
    <w:rsid w:val="40DB4E75"/>
    <w:rsid w:val="40E8674E"/>
    <w:rsid w:val="40EB768D"/>
    <w:rsid w:val="40F005A0"/>
    <w:rsid w:val="40F0234E"/>
    <w:rsid w:val="40F167F2"/>
    <w:rsid w:val="40F7192E"/>
    <w:rsid w:val="40F94684"/>
    <w:rsid w:val="40FA31CC"/>
    <w:rsid w:val="40FC63F3"/>
    <w:rsid w:val="40FF07E3"/>
    <w:rsid w:val="41151DB4"/>
    <w:rsid w:val="41182986"/>
    <w:rsid w:val="412066E5"/>
    <w:rsid w:val="412169AB"/>
    <w:rsid w:val="41272229"/>
    <w:rsid w:val="41280CB6"/>
    <w:rsid w:val="413F1C9D"/>
    <w:rsid w:val="41404B99"/>
    <w:rsid w:val="41483F38"/>
    <w:rsid w:val="41540198"/>
    <w:rsid w:val="415B2BFF"/>
    <w:rsid w:val="41742F7F"/>
    <w:rsid w:val="41780CC1"/>
    <w:rsid w:val="41801923"/>
    <w:rsid w:val="41944141"/>
    <w:rsid w:val="41BD35A1"/>
    <w:rsid w:val="41D13F2D"/>
    <w:rsid w:val="41D63C39"/>
    <w:rsid w:val="41D81760"/>
    <w:rsid w:val="41DB1250"/>
    <w:rsid w:val="41E00099"/>
    <w:rsid w:val="41E225DE"/>
    <w:rsid w:val="41E356A7"/>
    <w:rsid w:val="41EE0F83"/>
    <w:rsid w:val="41F8770C"/>
    <w:rsid w:val="42002C28"/>
    <w:rsid w:val="4205007B"/>
    <w:rsid w:val="420723E4"/>
    <w:rsid w:val="42075BA1"/>
    <w:rsid w:val="42092376"/>
    <w:rsid w:val="42165DE4"/>
    <w:rsid w:val="4216697D"/>
    <w:rsid w:val="421D40D6"/>
    <w:rsid w:val="421E4CE5"/>
    <w:rsid w:val="42220C2D"/>
    <w:rsid w:val="422428CC"/>
    <w:rsid w:val="422F5E43"/>
    <w:rsid w:val="4231112B"/>
    <w:rsid w:val="42312C1E"/>
    <w:rsid w:val="423A772F"/>
    <w:rsid w:val="42446409"/>
    <w:rsid w:val="424D15D4"/>
    <w:rsid w:val="42542F4E"/>
    <w:rsid w:val="425608D6"/>
    <w:rsid w:val="42671891"/>
    <w:rsid w:val="42764C16"/>
    <w:rsid w:val="427A45C5"/>
    <w:rsid w:val="42845230"/>
    <w:rsid w:val="42864D18"/>
    <w:rsid w:val="42865A66"/>
    <w:rsid w:val="42881C6A"/>
    <w:rsid w:val="429A07C3"/>
    <w:rsid w:val="429C453B"/>
    <w:rsid w:val="429C4DED"/>
    <w:rsid w:val="429E4757"/>
    <w:rsid w:val="42A20CF7"/>
    <w:rsid w:val="42A32262"/>
    <w:rsid w:val="42A6360C"/>
    <w:rsid w:val="42AE426E"/>
    <w:rsid w:val="42AF126D"/>
    <w:rsid w:val="42B15B0D"/>
    <w:rsid w:val="42B4221B"/>
    <w:rsid w:val="42BF1B92"/>
    <w:rsid w:val="42BF554B"/>
    <w:rsid w:val="42C30598"/>
    <w:rsid w:val="42C45840"/>
    <w:rsid w:val="42CC3426"/>
    <w:rsid w:val="42D27F5D"/>
    <w:rsid w:val="42D86C27"/>
    <w:rsid w:val="42E75F7A"/>
    <w:rsid w:val="42F02AD9"/>
    <w:rsid w:val="42F9198D"/>
    <w:rsid w:val="42FA43F0"/>
    <w:rsid w:val="42FE51F6"/>
    <w:rsid w:val="42FF4ACA"/>
    <w:rsid w:val="42FF5C47"/>
    <w:rsid w:val="430A1DED"/>
    <w:rsid w:val="43135C45"/>
    <w:rsid w:val="431D4698"/>
    <w:rsid w:val="431E31A2"/>
    <w:rsid w:val="432029BA"/>
    <w:rsid w:val="43252782"/>
    <w:rsid w:val="432B3B11"/>
    <w:rsid w:val="433269BE"/>
    <w:rsid w:val="43394B64"/>
    <w:rsid w:val="433C5C01"/>
    <w:rsid w:val="43420014"/>
    <w:rsid w:val="43430E5B"/>
    <w:rsid w:val="43470C5B"/>
    <w:rsid w:val="434D79EC"/>
    <w:rsid w:val="434F15AD"/>
    <w:rsid w:val="435412BA"/>
    <w:rsid w:val="435710A2"/>
    <w:rsid w:val="435C016E"/>
    <w:rsid w:val="43601A0D"/>
    <w:rsid w:val="436B4229"/>
    <w:rsid w:val="43747266"/>
    <w:rsid w:val="43770B04"/>
    <w:rsid w:val="43790D20"/>
    <w:rsid w:val="437E7B29"/>
    <w:rsid w:val="437F7839"/>
    <w:rsid w:val="438017A8"/>
    <w:rsid w:val="438106C6"/>
    <w:rsid w:val="43834C7E"/>
    <w:rsid w:val="438356FB"/>
    <w:rsid w:val="43884ABF"/>
    <w:rsid w:val="438D657A"/>
    <w:rsid w:val="43926A84"/>
    <w:rsid w:val="439D67BD"/>
    <w:rsid w:val="43A15B81"/>
    <w:rsid w:val="43A209CE"/>
    <w:rsid w:val="43A51B15"/>
    <w:rsid w:val="43A538C3"/>
    <w:rsid w:val="43A55671"/>
    <w:rsid w:val="43AE3034"/>
    <w:rsid w:val="43B20C37"/>
    <w:rsid w:val="43B34232"/>
    <w:rsid w:val="43B3461E"/>
    <w:rsid w:val="43B41D58"/>
    <w:rsid w:val="43B458B4"/>
    <w:rsid w:val="43B835F7"/>
    <w:rsid w:val="43B84329"/>
    <w:rsid w:val="43B9111D"/>
    <w:rsid w:val="43BD0C0D"/>
    <w:rsid w:val="43BE4985"/>
    <w:rsid w:val="43BF2BD7"/>
    <w:rsid w:val="43C006FD"/>
    <w:rsid w:val="43C06081"/>
    <w:rsid w:val="43C113B5"/>
    <w:rsid w:val="43C74DFE"/>
    <w:rsid w:val="43CC70A2"/>
    <w:rsid w:val="43CD4BC8"/>
    <w:rsid w:val="43CF6B92"/>
    <w:rsid w:val="43D6135A"/>
    <w:rsid w:val="43E443EC"/>
    <w:rsid w:val="43EA7528"/>
    <w:rsid w:val="43EB213F"/>
    <w:rsid w:val="43EB46B5"/>
    <w:rsid w:val="43EC32A0"/>
    <w:rsid w:val="43ED405C"/>
    <w:rsid w:val="43EF1799"/>
    <w:rsid w:val="43F95E6E"/>
    <w:rsid w:val="43FB0295"/>
    <w:rsid w:val="43FE0419"/>
    <w:rsid w:val="44022AC4"/>
    <w:rsid w:val="44093E52"/>
    <w:rsid w:val="44095C00"/>
    <w:rsid w:val="440F1551"/>
    <w:rsid w:val="441E71D2"/>
    <w:rsid w:val="44206108"/>
    <w:rsid w:val="4427077C"/>
    <w:rsid w:val="442F6DEA"/>
    <w:rsid w:val="443F1EFE"/>
    <w:rsid w:val="444A39F2"/>
    <w:rsid w:val="445157F9"/>
    <w:rsid w:val="44586B88"/>
    <w:rsid w:val="445F7F16"/>
    <w:rsid w:val="44650F3F"/>
    <w:rsid w:val="446B0669"/>
    <w:rsid w:val="446C2633"/>
    <w:rsid w:val="44753296"/>
    <w:rsid w:val="44817E8C"/>
    <w:rsid w:val="448239F1"/>
    <w:rsid w:val="44823C05"/>
    <w:rsid w:val="4485401B"/>
    <w:rsid w:val="448636F5"/>
    <w:rsid w:val="44894F93"/>
    <w:rsid w:val="448C1D82"/>
    <w:rsid w:val="448E25A9"/>
    <w:rsid w:val="44915BF6"/>
    <w:rsid w:val="44953938"/>
    <w:rsid w:val="449A0F4E"/>
    <w:rsid w:val="449C3CF7"/>
    <w:rsid w:val="449C7E1E"/>
    <w:rsid w:val="44A21CDC"/>
    <w:rsid w:val="44A361F7"/>
    <w:rsid w:val="44B55581"/>
    <w:rsid w:val="44BA0AB6"/>
    <w:rsid w:val="44BB6906"/>
    <w:rsid w:val="44C55E6E"/>
    <w:rsid w:val="44CC2B6C"/>
    <w:rsid w:val="44CF0739"/>
    <w:rsid w:val="44D0671E"/>
    <w:rsid w:val="44D37D3D"/>
    <w:rsid w:val="44DB5385"/>
    <w:rsid w:val="44DE708D"/>
    <w:rsid w:val="44DF2E05"/>
    <w:rsid w:val="44EE30AE"/>
    <w:rsid w:val="44F4102C"/>
    <w:rsid w:val="44F52628"/>
    <w:rsid w:val="44FB36BB"/>
    <w:rsid w:val="450C56D2"/>
    <w:rsid w:val="450C6B01"/>
    <w:rsid w:val="451A208F"/>
    <w:rsid w:val="451A3E3D"/>
    <w:rsid w:val="45212D32"/>
    <w:rsid w:val="4523392D"/>
    <w:rsid w:val="45235A92"/>
    <w:rsid w:val="453677FF"/>
    <w:rsid w:val="45383C57"/>
    <w:rsid w:val="453E7A18"/>
    <w:rsid w:val="45433394"/>
    <w:rsid w:val="45450B59"/>
    <w:rsid w:val="45461B2D"/>
    <w:rsid w:val="454E31A1"/>
    <w:rsid w:val="45575091"/>
    <w:rsid w:val="45582750"/>
    <w:rsid w:val="4558626A"/>
    <w:rsid w:val="455901D1"/>
    <w:rsid w:val="455B4C13"/>
    <w:rsid w:val="455F7AA2"/>
    <w:rsid w:val="45620AE1"/>
    <w:rsid w:val="45621944"/>
    <w:rsid w:val="45650356"/>
    <w:rsid w:val="456F14C8"/>
    <w:rsid w:val="45755AE1"/>
    <w:rsid w:val="45800D0C"/>
    <w:rsid w:val="45806396"/>
    <w:rsid w:val="458614D2"/>
    <w:rsid w:val="458675B8"/>
    <w:rsid w:val="45890380"/>
    <w:rsid w:val="458B1B71"/>
    <w:rsid w:val="45913BAE"/>
    <w:rsid w:val="45965BB9"/>
    <w:rsid w:val="459C4852"/>
    <w:rsid w:val="45A405E2"/>
    <w:rsid w:val="45A51959"/>
    <w:rsid w:val="45A81449"/>
    <w:rsid w:val="45A9768B"/>
    <w:rsid w:val="45BB117C"/>
    <w:rsid w:val="45BF7797"/>
    <w:rsid w:val="45C320C4"/>
    <w:rsid w:val="45C63752"/>
    <w:rsid w:val="45CD7EAD"/>
    <w:rsid w:val="45D17124"/>
    <w:rsid w:val="45D415CE"/>
    <w:rsid w:val="45D71D2E"/>
    <w:rsid w:val="45DD7344"/>
    <w:rsid w:val="45E05087"/>
    <w:rsid w:val="45E306D3"/>
    <w:rsid w:val="45E32481"/>
    <w:rsid w:val="45F47552"/>
    <w:rsid w:val="45FC59D0"/>
    <w:rsid w:val="45FE72BB"/>
    <w:rsid w:val="45FF2F95"/>
    <w:rsid w:val="460D4085"/>
    <w:rsid w:val="460F14C8"/>
    <w:rsid w:val="4613720A"/>
    <w:rsid w:val="46164604"/>
    <w:rsid w:val="461817B6"/>
    <w:rsid w:val="46192347"/>
    <w:rsid w:val="461A0599"/>
    <w:rsid w:val="46214156"/>
    <w:rsid w:val="462E594E"/>
    <w:rsid w:val="46357180"/>
    <w:rsid w:val="463902F3"/>
    <w:rsid w:val="463A4797"/>
    <w:rsid w:val="4642189D"/>
    <w:rsid w:val="464253F9"/>
    <w:rsid w:val="4645313C"/>
    <w:rsid w:val="4651388E"/>
    <w:rsid w:val="46534F71"/>
    <w:rsid w:val="46584C1D"/>
    <w:rsid w:val="465B470D"/>
    <w:rsid w:val="465E7D59"/>
    <w:rsid w:val="46641814"/>
    <w:rsid w:val="46651743"/>
    <w:rsid w:val="46676190"/>
    <w:rsid w:val="468A6DA0"/>
    <w:rsid w:val="46936C54"/>
    <w:rsid w:val="46972D4E"/>
    <w:rsid w:val="46A03F74"/>
    <w:rsid w:val="46A2233C"/>
    <w:rsid w:val="46BC1650"/>
    <w:rsid w:val="46BD7176"/>
    <w:rsid w:val="46C502B5"/>
    <w:rsid w:val="46C91677"/>
    <w:rsid w:val="46D87B0C"/>
    <w:rsid w:val="46DD5DCF"/>
    <w:rsid w:val="46E666CD"/>
    <w:rsid w:val="46E75FA1"/>
    <w:rsid w:val="46E97663"/>
    <w:rsid w:val="46F53476"/>
    <w:rsid w:val="46F801AE"/>
    <w:rsid w:val="46F94F4E"/>
    <w:rsid w:val="46FC0964"/>
    <w:rsid w:val="46FE3A16"/>
    <w:rsid w:val="46FF153C"/>
    <w:rsid w:val="47047685"/>
    <w:rsid w:val="470620AF"/>
    <w:rsid w:val="470D5A07"/>
    <w:rsid w:val="471A62BF"/>
    <w:rsid w:val="4721612B"/>
    <w:rsid w:val="47282841"/>
    <w:rsid w:val="47356D0C"/>
    <w:rsid w:val="474B4782"/>
    <w:rsid w:val="474C107E"/>
    <w:rsid w:val="474D04FA"/>
    <w:rsid w:val="474F4272"/>
    <w:rsid w:val="47503B46"/>
    <w:rsid w:val="47576591"/>
    <w:rsid w:val="4759510E"/>
    <w:rsid w:val="475F0927"/>
    <w:rsid w:val="47651445"/>
    <w:rsid w:val="476B31C4"/>
    <w:rsid w:val="47721D0E"/>
    <w:rsid w:val="477E6905"/>
    <w:rsid w:val="47862D65"/>
    <w:rsid w:val="47863A0C"/>
    <w:rsid w:val="47897DE1"/>
    <w:rsid w:val="478B1022"/>
    <w:rsid w:val="478B2DD0"/>
    <w:rsid w:val="478C7274"/>
    <w:rsid w:val="479B1265"/>
    <w:rsid w:val="479D449D"/>
    <w:rsid w:val="47A9730C"/>
    <w:rsid w:val="47AD2D46"/>
    <w:rsid w:val="47B24BA1"/>
    <w:rsid w:val="47BC2399"/>
    <w:rsid w:val="47C50090"/>
    <w:rsid w:val="47C54534"/>
    <w:rsid w:val="47C87B80"/>
    <w:rsid w:val="47CA1B4A"/>
    <w:rsid w:val="47CD5197"/>
    <w:rsid w:val="47CF7161"/>
    <w:rsid w:val="47DD0B39"/>
    <w:rsid w:val="47E10C42"/>
    <w:rsid w:val="47E51E85"/>
    <w:rsid w:val="47E524E0"/>
    <w:rsid w:val="47E7096B"/>
    <w:rsid w:val="47ED3A0E"/>
    <w:rsid w:val="47F00E85"/>
    <w:rsid w:val="47F210A1"/>
    <w:rsid w:val="47FB7F56"/>
    <w:rsid w:val="480908C5"/>
    <w:rsid w:val="480A6B7A"/>
    <w:rsid w:val="480B0A3F"/>
    <w:rsid w:val="48112949"/>
    <w:rsid w:val="481427FD"/>
    <w:rsid w:val="481935D8"/>
    <w:rsid w:val="4823125B"/>
    <w:rsid w:val="48314F7A"/>
    <w:rsid w:val="48316CE9"/>
    <w:rsid w:val="4832149E"/>
    <w:rsid w:val="48403BBB"/>
    <w:rsid w:val="4840749F"/>
    <w:rsid w:val="4841289B"/>
    <w:rsid w:val="484A4A39"/>
    <w:rsid w:val="484A67E7"/>
    <w:rsid w:val="484B1829"/>
    <w:rsid w:val="48531B40"/>
    <w:rsid w:val="48561630"/>
    <w:rsid w:val="485B747D"/>
    <w:rsid w:val="48693111"/>
    <w:rsid w:val="486B7E88"/>
    <w:rsid w:val="486C55E1"/>
    <w:rsid w:val="486C78B4"/>
    <w:rsid w:val="4875266D"/>
    <w:rsid w:val="48802209"/>
    <w:rsid w:val="488E0DCA"/>
    <w:rsid w:val="48955120"/>
    <w:rsid w:val="489668B6"/>
    <w:rsid w:val="489A151D"/>
    <w:rsid w:val="489A439E"/>
    <w:rsid w:val="489F6B33"/>
    <w:rsid w:val="48A00AFD"/>
    <w:rsid w:val="48A44912"/>
    <w:rsid w:val="48A712BD"/>
    <w:rsid w:val="48AE0DAA"/>
    <w:rsid w:val="48B337D7"/>
    <w:rsid w:val="48BE3C50"/>
    <w:rsid w:val="48C52312"/>
    <w:rsid w:val="48D40488"/>
    <w:rsid w:val="48E7655B"/>
    <w:rsid w:val="48EE4381"/>
    <w:rsid w:val="48F04535"/>
    <w:rsid w:val="48F50E49"/>
    <w:rsid w:val="48F63EC0"/>
    <w:rsid w:val="48FD69B0"/>
    <w:rsid w:val="49005572"/>
    <w:rsid w:val="4901159C"/>
    <w:rsid w:val="49064E04"/>
    <w:rsid w:val="491F5EC6"/>
    <w:rsid w:val="49284D7B"/>
    <w:rsid w:val="493279A7"/>
    <w:rsid w:val="49470F79"/>
    <w:rsid w:val="494D2A33"/>
    <w:rsid w:val="4952472B"/>
    <w:rsid w:val="4953791E"/>
    <w:rsid w:val="49543DC1"/>
    <w:rsid w:val="49557B3A"/>
    <w:rsid w:val="495C70E7"/>
    <w:rsid w:val="495F62C2"/>
    <w:rsid w:val="4962490E"/>
    <w:rsid w:val="49647D7D"/>
    <w:rsid w:val="49673337"/>
    <w:rsid w:val="496F2800"/>
    <w:rsid w:val="49757894"/>
    <w:rsid w:val="49803E24"/>
    <w:rsid w:val="49895989"/>
    <w:rsid w:val="498E6BA8"/>
    <w:rsid w:val="49901EC0"/>
    <w:rsid w:val="499C12C5"/>
    <w:rsid w:val="499F2B63"/>
    <w:rsid w:val="49A32653"/>
    <w:rsid w:val="49A7576E"/>
    <w:rsid w:val="49B303BC"/>
    <w:rsid w:val="49C425C9"/>
    <w:rsid w:val="49C70778"/>
    <w:rsid w:val="49D15412"/>
    <w:rsid w:val="49D4280C"/>
    <w:rsid w:val="49D547D7"/>
    <w:rsid w:val="49DE18DD"/>
    <w:rsid w:val="49EA2030"/>
    <w:rsid w:val="49EC47D8"/>
    <w:rsid w:val="49ED69D6"/>
    <w:rsid w:val="49F11610"/>
    <w:rsid w:val="49F46361"/>
    <w:rsid w:val="49FA5FEB"/>
    <w:rsid w:val="49FC680F"/>
    <w:rsid w:val="4A0059F7"/>
    <w:rsid w:val="4A02381D"/>
    <w:rsid w:val="4A08695A"/>
    <w:rsid w:val="4A0E5D19"/>
    <w:rsid w:val="4A113A61"/>
    <w:rsid w:val="4A121587"/>
    <w:rsid w:val="4A17094B"/>
    <w:rsid w:val="4A1B043B"/>
    <w:rsid w:val="4A232C8E"/>
    <w:rsid w:val="4A287AB5"/>
    <w:rsid w:val="4A2E2E00"/>
    <w:rsid w:val="4A2F3076"/>
    <w:rsid w:val="4A3239D7"/>
    <w:rsid w:val="4A34774F"/>
    <w:rsid w:val="4A367FB7"/>
    <w:rsid w:val="4A3B6FBA"/>
    <w:rsid w:val="4A3C1FD9"/>
    <w:rsid w:val="4A407EA2"/>
    <w:rsid w:val="4A41039C"/>
    <w:rsid w:val="4A4554B8"/>
    <w:rsid w:val="4A460978"/>
    <w:rsid w:val="4A4B3D76"/>
    <w:rsid w:val="4A4F0FFA"/>
    <w:rsid w:val="4A5472C5"/>
    <w:rsid w:val="4A5D6CA6"/>
    <w:rsid w:val="4A6F2535"/>
    <w:rsid w:val="4A705BF0"/>
    <w:rsid w:val="4A7137AC"/>
    <w:rsid w:val="4A767D68"/>
    <w:rsid w:val="4A7B537E"/>
    <w:rsid w:val="4A831158"/>
    <w:rsid w:val="4A8658D0"/>
    <w:rsid w:val="4A9349B8"/>
    <w:rsid w:val="4A946440"/>
    <w:rsid w:val="4A963F66"/>
    <w:rsid w:val="4AA04DE4"/>
    <w:rsid w:val="4AA2290B"/>
    <w:rsid w:val="4AA448D5"/>
    <w:rsid w:val="4AA5064D"/>
    <w:rsid w:val="4AA57597"/>
    <w:rsid w:val="4AA66800"/>
    <w:rsid w:val="4AAD40FF"/>
    <w:rsid w:val="4AB03DB8"/>
    <w:rsid w:val="4ABB1C1E"/>
    <w:rsid w:val="4ABB3D35"/>
    <w:rsid w:val="4ABF34BD"/>
    <w:rsid w:val="4AC5484B"/>
    <w:rsid w:val="4AD073E1"/>
    <w:rsid w:val="4AD16B81"/>
    <w:rsid w:val="4AD41253"/>
    <w:rsid w:val="4AE30F52"/>
    <w:rsid w:val="4AEA431C"/>
    <w:rsid w:val="4AEE5B50"/>
    <w:rsid w:val="4AF41787"/>
    <w:rsid w:val="4AF60EA8"/>
    <w:rsid w:val="4AFF7D5D"/>
    <w:rsid w:val="4B0215FB"/>
    <w:rsid w:val="4B080428"/>
    <w:rsid w:val="4B100E76"/>
    <w:rsid w:val="4B14769A"/>
    <w:rsid w:val="4B2223FA"/>
    <w:rsid w:val="4B236AF6"/>
    <w:rsid w:val="4B2C2B64"/>
    <w:rsid w:val="4B2C3B0D"/>
    <w:rsid w:val="4B347B20"/>
    <w:rsid w:val="4B3774F7"/>
    <w:rsid w:val="4B384406"/>
    <w:rsid w:val="4B3969F9"/>
    <w:rsid w:val="4B3C16A1"/>
    <w:rsid w:val="4B442F76"/>
    <w:rsid w:val="4B494019"/>
    <w:rsid w:val="4B4A5F92"/>
    <w:rsid w:val="4B557A3E"/>
    <w:rsid w:val="4B592C39"/>
    <w:rsid w:val="4B5D2CD5"/>
    <w:rsid w:val="4B5F1C7B"/>
    <w:rsid w:val="4B62209A"/>
    <w:rsid w:val="4B6B53F2"/>
    <w:rsid w:val="4B6E364F"/>
    <w:rsid w:val="4B771FE9"/>
    <w:rsid w:val="4B783F5F"/>
    <w:rsid w:val="4B7D0C82"/>
    <w:rsid w:val="4B8C405F"/>
    <w:rsid w:val="4B8C4EF9"/>
    <w:rsid w:val="4B8D7D7F"/>
    <w:rsid w:val="4B8F4681"/>
    <w:rsid w:val="4B944488"/>
    <w:rsid w:val="4B9479F7"/>
    <w:rsid w:val="4B977F95"/>
    <w:rsid w:val="4B9A1834"/>
    <w:rsid w:val="4B9E33C4"/>
    <w:rsid w:val="4BA463D8"/>
    <w:rsid w:val="4BA97FB1"/>
    <w:rsid w:val="4BAE756D"/>
    <w:rsid w:val="4BB44F0C"/>
    <w:rsid w:val="4BB70638"/>
    <w:rsid w:val="4BC0573E"/>
    <w:rsid w:val="4BC114B6"/>
    <w:rsid w:val="4BC262FD"/>
    <w:rsid w:val="4BC91A71"/>
    <w:rsid w:val="4BE52B6B"/>
    <w:rsid w:val="4BFC324C"/>
    <w:rsid w:val="4C001FDF"/>
    <w:rsid w:val="4C012422"/>
    <w:rsid w:val="4C012BBE"/>
    <w:rsid w:val="4C03387D"/>
    <w:rsid w:val="4C095A4C"/>
    <w:rsid w:val="4C0A0767"/>
    <w:rsid w:val="4C0F5757"/>
    <w:rsid w:val="4C16721B"/>
    <w:rsid w:val="4C1710D6"/>
    <w:rsid w:val="4C190265"/>
    <w:rsid w:val="4C2E020A"/>
    <w:rsid w:val="4C3954F1"/>
    <w:rsid w:val="4C3B4DC5"/>
    <w:rsid w:val="4C3C6A51"/>
    <w:rsid w:val="4C4023DB"/>
    <w:rsid w:val="4C4277CB"/>
    <w:rsid w:val="4C457E30"/>
    <w:rsid w:val="4C46376A"/>
    <w:rsid w:val="4C480112"/>
    <w:rsid w:val="4C480DB4"/>
    <w:rsid w:val="4C481290"/>
    <w:rsid w:val="4C4F3FC2"/>
    <w:rsid w:val="4C52564B"/>
    <w:rsid w:val="4C61141F"/>
    <w:rsid w:val="4C6528E3"/>
    <w:rsid w:val="4C675DE6"/>
    <w:rsid w:val="4C6F4A6E"/>
    <w:rsid w:val="4C700C74"/>
    <w:rsid w:val="4C756154"/>
    <w:rsid w:val="4C76404F"/>
    <w:rsid w:val="4C794E06"/>
    <w:rsid w:val="4C7D380D"/>
    <w:rsid w:val="4C7E73A7"/>
    <w:rsid w:val="4C82133E"/>
    <w:rsid w:val="4C885B30"/>
    <w:rsid w:val="4C982217"/>
    <w:rsid w:val="4CA009F0"/>
    <w:rsid w:val="4CA120C2"/>
    <w:rsid w:val="4CA40F7B"/>
    <w:rsid w:val="4CAB3057"/>
    <w:rsid w:val="4CAE3158"/>
    <w:rsid w:val="4CB701C3"/>
    <w:rsid w:val="4CB95744"/>
    <w:rsid w:val="4CC67484"/>
    <w:rsid w:val="4CC748AA"/>
    <w:rsid w:val="4CC967A1"/>
    <w:rsid w:val="4CCE2177"/>
    <w:rsid w:val="4CD174D7"/>
    <w:rsid w:val="4CD751A0"/>
    <w:rsid w:val="4CDB65A8"/>
    <w:rsid w:val="4CDC3826"/>
    <w:rsid w:val="4CE23492"/>
    <w:rsid w:val="4CEC4D57"/>
    <w:rsid w:val="4CF03216"/>
    <w:rsid w:val="4CF47B00"/>
    <w:rsid w:val="4CFA0BD8"/>
    <w:rsid w:val="4CFD0B67"/>
    <w:rsid w:val="4D0465B9"/>
    <w:rsid w:val="4D085A60"/>
    <w:rsid w:val="4D1006FB"/>
    <w:rsid w:val="4D152A86"/>
    <w:rsid w:val="4D185106"/>
    <w:rsid w:val="4D1A0E7E"/>
    <w:rsid w:val="4D1C4F17"/>
    <w:rsid w:val="4D217D2B"/>
    <w:rsid w:val="4D231D50"/>
    <w:rsid w:val="4D243AAB"/>
    <w:rsid w:val="4D2770F7"/>
    <w:rsid w:val="4D2910C1"/>
    <w:rsid w:val="4D293C11"/>
    <w:rsid w:val="4D2A4CD7"/>
    <w:rsid w:val="4D2C5FA1"/>
    <w:rsid w:val="4D2F6EC5"/>
    <w:rsid w:val="4D3066DD"/>
    <w:rsid w:val="4D352FBB"/>
    <w:rsid w:val="4D3A32CE"/>
    <w:rsid w:val="4D4A1C5C"/>
    <w:rsid w:val="4D4C748E"/>
    <w:rsid w:val="4D52686A"/>
    <w:rsid w:val="4D632806"/>
    <w:rsid w:val="4D677E3B"/>
    <w:rsid w:val="4D6A18F6"/>
    <w:rsid w:val="4D7E3F8B"/>
    <w:rsid w:val="4D7F0CE1"/>
    <w:rsid w:val="4D8617C8"/>
    <w:rsid w:val="4D8B1D7C"/>
    <w:rsid w:val="4D920163"/>
    <w:rsid w:val="4D9A2CE0"/>
    <w:rsid w:val="4D9D560B"/>
    <w:rsid w:val="4D9F1383"/>
    <w:rsid w:val="4DA14869"/>
    <w:rsid w:val="4DA150FB"/>
    <w:rsid w:val="4DB56D8D"/>
    <w:rsid w:val="4DD74506"/>
    <w:rsid w:val="4DF162D0"/>
    <w:rsid w:val="4DF96CE5"/>
    <w:rsid w:val="4E01203E"/>
    <w:rsid w:val="4E0929FA"/>
    <w:rsid w:val="4E0A0A15"/>
    <w:rsid w:val="4E0B07C7"/>
    <w:rsid w:val="4E0F6509"/>
    <w:rsid w:val="4E1216A5"/>
    <w:rsid w:val="4E1B4906"/>
    <w:rsid w:val="4E1E76B5"/>
    <w:rsid w:val="4E2875CB"/>
    <w:rsid w:val="4E287FC5"/>
    <w:rsid w:val="4E2A5615"/>
    <w:rsid w:val="4E2C224E"/>
    <w:rsid w:val="4E2E3285"/>
    <w:rsid w:val="4E2F0959"/>
    <w:rsid w:val="4E354AFB"/>
    <w:rsid w:val="4E390B46"/>
    <w:rsid w:val="4E404914"/>
    <w:rsid w:val="4E41068C"/>
    <w:rsid w:val="4E434405"/>
    <w:rsid w:val="4E462365"/>
    <w:rsid w:val="4E485577"/>
    <w:rsid w:val="4E4B537E"/>
    <w:rsid w:val="4E4F6905"/>
    <w:rsid w:val="4E524648"/>
    <w:rsid w:val="4E575062"/>
    <w:rsid w:val="4E581E19"/>
    <w:rsid w:val="4E5B0675"/>
    <w:rsid w:val="4E5E4D9B"/>
    <w:rsid w:val="4E5F78C0"/>
    <w:rsid w:val="4E6173FE"/>
    <w:rsid w:val="4E6600F3"/>
    <w:rsid w:val="4E6C395B"/>
    <w:rsid w:val="4E6C5709"/>
    <w:rsid w:val="4E6F0D56"/>
    <w:rsid w:val="4E7445BE"/>
    <w:rsid w:val="4E74645A"/>
    <w:rsid w:val="4E752D35"/>
    <w:rsid w:val="4E816CDB"/>
    <w:rsid w:val="4E850579"/>
    <w:rsid w:val="4E862792"/>
    <w:rsid w:val="4E890292"/>
    <w:rsid w:val="4E8E134B"/>
    <w:rsid w:val="4E9133C2"/>
    <w:rsid w:val="4E985F74"/>
    <w:rsid w:val="4E98737F"/>
    <w:rsid w:val="4EB4759A"/>
    <w:rsid w:val="4EB90223"/>
    <w:rsid w:val="4EB909B4"/>
    <w:rsid w:val="4EC038E5"/>
    <w:rsid w:val="4EC5306C"/>
    <w:rsid w:val="4ECE0172"/>
    <w:rsid w:val="4ED071AE"/>
    <w:rsid w:val="4ED760E4"/>
    <w:rsid w:val="4ED84B4D"/>
    <w:rsid w:val="4EE07EA5"/>
    <w:rsid w:val="4EE334F2"/>
    <w:rsid w:val="4EE923B5"/>
    <w:rsid w:val="4EF04427"/>
    <w:rsid w:val="4EF83441"/>
    <w:rsid w:val="4EF86F9D"/>
    <w:rsid w:val="4EF9611F"/>
    <w:rsid w:val="4EFB4CDF"/>
    <w:rsid w:val="4F005AAA"/>
    <w:rsid w:val="4F0F2539"/>
    <w:rsid w:val="4F155A4F"/>
    <w:rsid w:val="4F19223C"/>
    <w:rsid w:val="4F2558B8"/>
    <w:rsid w:val="4F372951"/>
    <w:rsid w:val="4F396F09"/>
    <w:rsid w:val="4F3A5808"/>
    <w:rsid w:val="4F3E4178"/>
    <w:rsid w:val="4F4402A7"/>
    <w:rsid w:val="4F495255"/>
    <w:rsid w:val="4F5A1194"/>
    <w:rsid w:val="4F604B42"/>
    <w:rsid w:val="4F6662E2"/>
    <w:rsid w:val="4F672375"/>
    <w:rsid w:val="4F691C49"/>
    <w:rsid w:val="4F6C34E7"/>
    <w:rsid w:val="4F7A0475"/>
    <w:rsid w:val="4F7B197C"/>
    <w:rsid w:val="4F7C5E20"/>
    <w:rsid w:val="4F812B80"/>
    <w:rsid w:val="4F844CD5"/>
    <w:rsid w:val="4F8819F1"/>
    <w:rsid w:val="4F8847C5"/>
    <w:rsid w:val="4F8B7E11"/>
    <w:rsid w:val="4F8E5B53"/>
    <w:rsid w:val="4F910CFD"/>
    <w:rsid w:val="4F950C90"/>
    <w:rsid w:val="4FA25BD4"/>
    <w:rsid w:val="4FA709C3"/>
    <w:rsid w:val="4FAD422B"/>
    <w:rsid w:val="4FB31116"/>
    <w:rsid w:val="4FB629B4"/>
    <w:rsid w:val="4FBC7EBC"/>
    <w:rsid w:val="4FBE7162"/>
    <w:rsid w:val="4FC7250D"/>
    <w:rsid w:val="4FD84499"/>
    <w:rsid w:val="4FDA0E9E"/>
    <w:rsid w:val="4FDC2EB1"/>
    <w:rsid w:val="4FE90FDC"/>
    <w:rsid w:val="501047BA"/>
    <w:rsid w:val="50111B7F"/>
    <w:rsid w:val="5015592D"/>
    <w:rsid w:val="50193C25"/>
    <w:rsid w:val="501B74FB"/>
    <w:rsid w:val="5023004A"/>
    <w:rsid w:val="502B0D17"/>
    <w:rsid w:val="502D2C76"/>
    <w:rsid w:val="503E4E84"/>
    <w:rsid w:val="503E6C32"/>
    <w:rsid w:val="504232CC"/>
    <w:rsid w:val="50485D02"/>
    <w:rsid w:val="504F0E3F"/>
    <w:rsid w:val="504F4437"/>
    <w:rsid w:val="5055041F"/>
    <w:rsid w:val="505521CD"/>
    <w:rsid w:val="506568B4"/>
    <w:rsid w:val="506A211C"/>
    <w:rsid w:val="50734913"/>
    <w:rsid w:val="507C3C24"/>
    <w:rsid w:val="507E43F1"/>
    <w:rsid w:val="508A6075"/>
    <w:rsid w:val="508B3E41"/>
    <w:rsid w:val="50964CC0"/>
    <w:rsid w:val="50970A38"/>
    <w:rsid w:val="50A82C45"/>
    <w:rsid w:val="50AD490D"/>
    <w:rsid w:val="50AE0C53"/>
    <w:rsid w:val="50AF5D81"/>
    <w:rsid w:val="50AF7B2F"/>
    <w:rsid w:val="50B52C6C"/>
    <w:rsid w:val="50BB04F7"/>
    <w:rsid w:val="50BB64D4"/>
    <w:rsid w:val="50BF4786"/>
    <w:rsid w:val="50C069B7"/>
    <w:rsid w:val="50D0737A"/>
    <w:rsid w:val="50D70E34"/>
    <w:rsid w:val="50D756B0"/>
    <w:rsid w:val="50D77086"/>
    <w:rsid w:val="50D82087"/>
    <w:rsid w:val="50D94BAC"/>
    <w:rsid w:val="50DA0833"/>
    <w:rsid w:val="50DB62B4"/>
    <w:rsid w:val="50E07D23"/>
    <w:rsid w:val="50E27F05"/>
    <w:rsid w:val="50E56CF6"/>
    <w:rsid w:val="50EC2B32"/>
    <w:rsid w:val="51025EB1"/>
    <w:rsid w:val="51085492"/>
    <w:rsid w:val="51114346"/>
    <w:rsid w:val="51121E6C"/>
    <w:rsid w:val="511931FB"/>
    <w:rsid w:val="511A2E6A"/>
    <w:rsid w:val="511A58F1"/>
    <w:rsid w:val="511B3417"/>
    <w:rsid w:val="511E63A2"/>
    <w:rsid w:val="51226553"/>
    <w:rsid w:val="5147420C"/>
    <w:rsid w:val="514C786D"/>
    <w:rsid w:val="514F1FA1"/>
    <w:rsid w:val="51514AF5"/>
    <w:rsid w:val="51586419"/>
    <w:rsid w:val="515B2086"/>
    <w:rsid w:val="515F7B5F"/>
    <w:rsid w:val="516C7467"/>
    <w:rsid w:val="51703763"/>
    <w:rsid w:val="5174109B"/>
    <w:rsid w:val="51782617"/>
    <w:rsid w:val="517900DB"/>
    <w:rsid w:val="51790C8C"/>
    <w:rsid w:val="517D5E7F"/>
    <w:rsid w:val="51850EB3"/>
    <w:rsid w:val="5186674D"/>
    <w:rsid w:val="518731FF"/>
    <w:rsid w:val="518C0657"/>
    <w:rsid w:val="518C7E71"/>
    <w:rsid w:val="518D2545"/>
    <w:rsid w:val="518E1E3B"/>
    <w:rsid w:val="519434E5"/>
    <w:rsid w:val="51984A67"/>
    <w:rsid w:val="519B6306"/>
    <w:rsid w:val="519F1952"/>
    <w:rsid w:val="51A2607D"/>
    <w:rsid w:val="51A32322"/>
    <w:rsid w:val="51A52CE0"/>
    <w:rsid w:val="51A613EA"/>
    <w:rsid w:val="51B3364F"/>
    <w:rsid w:val="51BA2C30"/>
    <w:rsid w:val="51BD44CE"/>
    <w:rsid w:val="51BF3DA2"/>
    <w:rsid w:val="51C25640"/>
    <w:rsid w:val="51CB6BEB"/>
    <w:rsid w:val="51DB6702"/>
    <w:rsid w:val="51DD06CC"/>
    <w:rsid w:val="51E4236A"/>
    <w:rsid w:val="51E46AE7"/>
    <w:rsid w:val="51E6586D"/>
    <w:rsid w:val="51E732EF"/>
    <w:rsid w:val="51EB468E"/>
    <w:rsid w:val="51EF0600"/>
    <w:rsid w:val="51F4087F"/>
    <w:rsid w:val="51FE0D6E"/>
    <w:rsid w:val="51FF4AE6"/>
    <w:rsid w:val="52050BCB"/>
    <w:rsid w:val="52100AA2"/>
    <w:rsid w:val="52102E2E"/>
    <w:rsid w:val="5212481A"/>
    <w:rsid w:val="52151C14"/>
    <w:rsid w:val="52273ECD"/>
    <w:rsid w:val="52287E02"/>
    <w:rsid w:val="522B1438"/>
    <w:rsid w:val="522C33C3"/>
    <w:rsid w:val="52301165"/>
    <w:rsid w:val="52416EAD"/>
    <w:rsid w:val="524A5592"/>
    <w:rsid w:val="524B2BE1"/>
    <w:rsid w:val="52546BE0"/>
    <w:rsid w:val="525B32AE"/>
    <w:rsid w:val="525E7A5F"/>
    <w:rsid w:val="52614E59"/>
    <w:rsid w:val="526257AA"/>
    <w:rsid w:val="52641AC3"/>
    <w:rsid w:val="526428B8"/>
    <w:rsid w:val="5266383D"/>
    <w:rsid w:val="526F431F"/>
    <w:rsid w:val="52704D94"/>
    <w:rsid w:val="52765DF5"/>
    <w:rsid w:val="527821A3"/>
    <w:rsid w:val="52796647"/>
    <w:rsid w:val="527E1EAF"/>
    <w:rsid w:val="52807A8A"/>
    <w:rsid w:val="528540F2"/>
    <w:rsid w:val="528652B3"/>
    <w:rsid w:val="528775F5"/>
    <w:rsid w:val="52897275"/>
    <w:rsid w:val="528C45CC"/>
    <w:rsid w:val="52927709"/>
    <w:rsid w:val="529E60AD"/>
    <w:rsid w:val="52A31916"/>
    <w:rsid w:val="52A32E2E"/>
    <w:rsid w:val="52A90E2E"/>
    <w:rsid w:val="52A9180A"/>
    <w:rsid w:val="52AB07CA"/>
    <w:rsid w:val="52B21B59"/>
    <w:rsid w:val="52B92EE7"/>
    <w:rsid w:val="52C378C2"/>
    <w:rsid w:val="52C8137C"/>
    <w:rsid w:val="52C8436F"/>
    <w:rsid w:val="52D65847"/>
    <w:rsid w:val="52DB4C0C"/>
    <w:rsid w:val="52DB5C6B"/>
    <w:rsid w:val="52DD3BB9"/>
    <w:rsid w:val="52E53CDC"/>
    <w:rsid w:val="52E54374"/>
    <w:rsid w:val="52F537F4"/>
    <w:rsid w:val="52F8213F"/>
    <w:rsid w:val="52FE6B4C"/>
    <w:rsid w:val="530323B4"/>
    <w:rsid w:val="53034162"/>
    <w:rsid w:val="53057EDB"/>
    <w:rsid w:val="530F41F0"/>
    <w:rsid w:val="53163E96"/>
    <w:rsid w:val="5329137C"/>
    <w:rsid w:val="532C5B84"/>
    <w:rsid w:val="532E7431"/>
    <w:rsid w:val="53346654"/>
    <w:rsid w:val="533802B0"/>
    <w:rsid w:val="53395DD6"/>
    <w:rsid w:val="53456529"/>
    <w:rsid w:val="5347092C"/>
    <w:rsid w:val="53486019"/>
    <w:rsid w:val="534D2836"/>
    <w:rsid w:val="5353327E"/>
    <w:rsid w:val="535B7AFB"/>
    <w:rsid w:val="535D6353"/>
    <w:rsid w:val="53634C01"/>
    <w:rsid w:val="536E5A80"/>
    <w:rsid w:val="536F2718"/>
    <w:rsid w:val="536F406F"/>
    <w:rsid w:val="5373548F"/>
    <w:rsid w:val="537F043F"/>
    <w:rsid w:val="53895131"/>
    <w:rsid w:val="538A03E0"/>
    <w:rsid w:val="538C23AA"/>
    <w:rsid w:val="538C4158"/>
    <w:rsid w:val="538E05FD"/>
    <w:rsid w:val="538E7ED0"/>
    <w:rsid w:val="53986FA1"/>
    <w:rsid w:val="53A96AB8"/>
    <w:rsid w:val="53B11E10"/>
    <w:rsid w:val="53B202DF"/>
    <w:rsid w:val="53B70462"/>
    <w:rsid w:val="53C36CC0"/>
    <w:rsid w:val="53C41B44"/>
    <w:rsid w:val="53C47D96"/>
    <w:rsid w:val="53CD0714"/>
    <w:rsid w:val="53D57297"/>
    <w:rsid w:val="53D93F8E"/>
    <w:rsid w:val="53E44AD2"/>
    <w:rsid w:val="53E67D0C"/>
    <w:rsid w:val="53EE5C42"/>
    <w:rsid w:val="53FD5056"/>
    <w:rsid w:val="53FF492A"/>
    <w:rsid w:val="5402441A"/>
    <w:rsid w:val="540957A8"/>
    <w:rsid w:val="54095C24"/>
    <w:rsid w:val="540E28F4"/>
    <w:rsid w:val="541008E5"/>
    <w:rsid w:val="54103BF9"/>
    <w:rsid w:val="541A1764"/>
    <w:rsid w:val="541D1254"/>
    <w:rsid w:val="5428604E"/>
    <w:rsid w:val="54293766"/>
    <w:rsid w:val="54330A77"/>
    <w:rsid w:val="543A0058"/>
    <w:rsid w:val="543C16DA"/>
    <w:rsid w:val="54480953"/>
    <w:rsid w:val="544C4768"/>
    <w:rsid w:val="544F3B03"/>
    <w:rsid w:val="54514662"/>
    <w:rsid w:val="545253A1"/>
    <w:rsid w:val="54556C40"/>
    <w:rsid w:val="545A7B9B"/>
    <w:rsid w:val="545C1D7C"/>
    <w:rsid w:val="54617393"/>
    <w:rsid w:val="54624E60"/>
    <w:rsid w:val="546B6463"/>
    <w:rsid w:val="547A7A25"/>
    <w:rsid w:val="547C241E"/>
    <w:rsid w:val="547F5A6B"/>
    <w:rsid w:val="54810A52"/>
    <w:rsid w:val="54813591"/>
    <w:rsid w:val="54814C86"/>
    <w:rsid w:val="54866DF9"/>
    <w:rsid w:val="54877D10"/>
    <w:rsid w:val="548968E9"/>
    <w:rsid w:val="54947768"/>
    <w:rsid w:val="549518D3"/>
    <w:rsid w:val="54996C19"/>
    <w:rsid w:val="54B27BEE"/>
    <w:rsid w:val="54C85664"/>
    <w:rsid w:val="54CB0CB0"/>
    <w:rsid w:val="54CD202B"/>
    <w:rsid w:val="54D26583"/>
    <w:rsid w:val="54D46E00"/>
    <w:rsid w:val="54D77655"/>
    <w:rsid w:val="54D9517B"/>
    <w:rsid w:val="54DC110F"/>
    <w:rsid w:val="54E81862"/>
    <w:rsid w:val="54ED7D64"/>
    <w:rsid w:val="54F222D0"/>
    <w:rsid w:val="54F226E1"/>
    <w:rsid w:val="54F9581D"/>
    <w:rsid w:val="55067AB3"/>
    <w:rsid w:val="55083CB2"/>
    <w:rsid w:val="55083CD2"/>
    <w:rsid w:val="550A17D8"/>
    <w:rsid w:val="55124B31"/>
    <w:rsid w:val="55172147"/>
    <w:rsid w:val="551B0506"/>
    <w:rsid w:val="551B4BD7"/>
    <w:rsid w:val="551C67F1"/>
    <w:rsid w:val="551C775D"/>
    <w:rsid w:val="551D4753"/>
    <w:rsid w:val="552D319F"/>
    <w:rsid w:val="55306D65"/>
    <w:rsid w:val="55313209"/>
    <w:rsid w:val="55336A81"/>
    <w:rsid w:val="55440747"/>
    <w:rsid w:val="55481377"/>
    <w:rsid w:val="555708FA"/>
    <w:rsid w:val="555775BD"/>
    <w:rsid w:val="555E38D2"/>
    <w:rsid w:val="5564647A"/>
    <w:rsid w:val="55654C60"/>
    <w:rsid w:val="556C4241"/>
    <w:rsid w:val="556D1D67"/>
    <w:rsid w:val="556E3585"/>
    <w:rsid w:val="55766724"/>
    <w:rsid w:val="558B6968"/>
    <w:rsid w:val="55933FD3"/>
    <w:rsid w:val="55945546"/>
    <w:rsid w:val="55986DE4"/>
    <w:rsid w:val="559B2D78"/>
    <w:rsid w:val="559B68D4"/>
    <w:rsid w:val="55A21A11"/>
    <w:rsid w:val="55A41C2D"/>
    <w:rsid w:val="55A559A5"/>
    <w:rsid w:val="55A80497"/>
    <w:rsid w:val="55A90FF1"/>
    <w:rsid w:val="55A97243"/>
    <w:rsid w:val="55A97E2F"/>
    <w:rsid w:val="55AC288F"/>
    <w:rsid w:val="55AC381E"/>
    <w:rsid w:val="55B21658"/>
    <w:rsid w:val="55B42837"/>
    <w:rsid w:val="55B86DEF"/>
    <w:rsid w:val="55C71477"/>
    <w:rsid w:val="55CB540B"/>
    <w:rsid w:val="55D122F6"/>
    <w:rsid w:val="55D212DB"/>
    <w:rsid w:val="55D3606E"/>
    <w:rsid w:val="55DF4A13"/>
    <w:rsid w:val="55E44668"/>
    <w:rsid w:val="55E62245"/>
    <w:rsid w:val="55EB160A"/>
    <w:rsid w:val="55EC35D4"/>
    <w:rsid w:val="55EE3B5A"/>
    <w:rsid w:val="55F45FE4"/>
    <w:rsid w:val="55F81F79"/>
    <w:rsid w:val="55FF30A4"/>
    <w:rsid w:val="55FF50B5"/>
    <w:rsid w:val="560069AF"/>
    <w:rsid w:val="560721BC"/>
    <w:rsid w:val="560E604A"/>
    <w:rsid w:val="561343B6"/>
    <w:rsid w:val="561A3C9D"/>
    <w:rsid w:val="561F12B3"/>
    <w:rsid w:val="561F5757"/>
    <w:rsid w:val="56231526"/>
    <w:rsid w:val="56262642"/>
    <w:rsid w:val="56291CEA"/>
    <w:rsid w:val="562B4FF8"/>
    <w:rsid w:val="563034C0"/>
    <w:rsid w:val="563F1955"/>
    <w:rsid w:val="564B20A8"/>
    <w:rsid w:val="564C5E20"/>
    <w:rsid w:val="56527585"/>
    <w:rsid w:val="56551179"/>
    <w:rsid w:val="566273F2"/>
    <w:rsid w:val="56644F18"/>
    <w:rsid w:val="566D3E5D"/>
    <w:rsid w:val="566D64C3"/>
    <w:rsid w:val="566F125F"/>
    <w:rsid w:val="56772E9D"/>
    <w:rsid w:val="567C04B4"/>
    <w:rsid w:val="5688746B"/>
    <w:rsid w:val="569357FD"/>
    <w:rsid w:val="56943145"/>
    <w:rsid w:val="569917A1"/>
    <w:rsid w:val="56A33C92"/>
    <w:rsid w:val="56A45C5C"/>
    <w:rsid w:val="56A80286"/>
    <w:rsid w:val="56B04601"/>
    <w:rsid w:val="56B63287"/>
    <w:rsid w:val="56C93A64"/>
    <w:rsid w:val="56D77DE0"/>
    <w:rsid w:val="56E15C15"/>
    <w:rsid w:val="56E20EF8"/>
    <w:rsid w:val="56E30533"/>
    <w:rsid w:val="56E755A0"/>
    <w:rsid w:val="56F02C50"/>
    <w:rsid w:val="56F444EE"/>
    <w:rsid w:val="56F75D8C"/>
    <w:rsid w:val="56FC7846"/>
    <w:rsid w:val="57034731"/>
    <w:rsid w:val="570566FB"/>
    <w:rsid w:val="570E6CD9"/>
    <w:rsid w:val="57212E09"/>
    <w:rsid w:val="572169A8"/>
    <w:rsid w:val="572648C3"/>
    <w:rsid w:val="572A6162"/>
    <w:rsid w:val="572F5526"/>
    <w:rsid w:val="57330F81"/>
    <w:rsid w:val="573945F7"/>
    <w:rsid w:val="573D052D"/>
    <w:rsid w:val="573F1832"/>
    <w:rsid w:val="574B7E86"/>
    <w:rsid w:val="576C677A"/>
    <w:rsid w:val="57784C34"/>
    <w:rsid w:val="578B23F6"/>
    <w:rsid w:val="578D198F"/>
    <w:rsid w:val="57923D07"/>
    <w:rsid w:val="5794182D"/>
    <w:rsid w:val="57961A49"/>
    <w:rsid w:val="579655A5"/>
    <w:rsid w:val="57A10251"/>
    <w:rsid w:val="57A44166"/>
    <w:rsid w:val="57AE678D"/>
    <w:rsid w:val="57B123DF"/>
    <w:rsid w:val="57B15753"/>
    <w:rsid w:val="57B41ECF"/>
    <w:rsid w:val="57B974E6"/>
    <w:rsid w:val="57CE6FB5"/>
    <w:rsid w:val="57D32355"/>
    <w:rsid w:val="57D460CD"/>
    <w:rsid w:val="57D85BBE"/>
    <w:rsid w:val="57DC0C60"/>
    <w:rsid w:val="57E566A6"/>
    <w:rsid w:val="57F02AB0"/>
    <w:rsid w:val="57F16C7F"/>
    <w:rsid w:val="57F22C95"/>
    <w:rsid w:val="57F325DA"/>
    <w:rsid w:val="57F5621E"/>
    <w:rsid w:val="57F6355F"/>
    <w:rsid w:val="58001F97"/>
    <w:rsid w:val="58086316"/>
    <w:rsid w:val="580B5F93"/>
    <w:rsid w:val="580D791A"/>
    <w:rsid w:val="580E0C05"/>
    <w:rsid w:val="581B3CFC"/>
    <w:rsid w:val="581B7F1B"/>
    <w:rsid w:val="581F1A3E"/>
    <w:rsid w:val="58297231"/>
    <w:rsid w:val="58366547"/>
    <w:rsid w:val="5841015B"/>
    <w:rsid w:val="584E40D2"/>
    <w:rsid w:val="58527217"/>
    <w:rsid w:val="5853793A"/>
    <w:rsid w:val="585D2567"/>
    <w:rsid w:val="58607961"/>
    <w:rsid w:val="58653812"/>
    <w:rsid w:val="58670CF0"/>
    <w:rsid w:val="5868001A"/>
    <w:rsid w:val="58692CBA"/>
    <w:rsid w:val="587518AF"/>
    <w:rsid w:val="587F428B"/>
    <w:rsid w:val="58813143"/>
    <w:rsid w:val="5883626C"/>
    <w:rsid w:val="588418A2"/>
    <w:rsid w:val="588A3951"/>
    <w:rsid w:val="589233DD"/>
    <w:rsid w:val="58943D5F"/>
    <w:rsid w:val="589D2963"/>
    <w:rsid w:val="589D4C38"/>
    <w:rsid w:val="589F0257"/>
    <w:rsid w:val="58A106A5"/>
    <w:rsid w:val="58A67A6A"/>
    <w:rsid w:val="58B55EFF"/>
    <w:rsid w:val="58BA1767"/>
    <w:rsid w:val="58BB1208"/>
    <w:rsid w:val="58BC5137"/>
    <w:rsid w:val="58C61EBA"/>
    <w:rsid w:val="58CB3716"/>
    <w:rsid w:val="58CE0D6F"/>
    <w:rsid w:val="58D5034F"/>
    <w:rsid w:val="58D61C75"/>
    <w:rsid w:val="58D75E75"/>
    <w:rsid w:val="58D802CE"/>
    <w:rsid w:val="58DB7438"/>
    <w:rsid w:val="58E14F46"/>
    <w:rsid w:val="58E3481A"/>
    <w:rsid w:val="58F015D0"/>
    <w:rsid w:val="58F16C7A"/>
    <w:rsid w:val="58F76517"/>
    <w:rsid w:val="58F85DEC"/>
    <w:rsid w:val="59036C6A"/>
    <w:rsid w:val="591C6EDD"/>
    <w:rsid w:val="591E0A43"/>
    <w:rsid w:val="59263978"/>
    <w:rsid w:val="59284BD5"/>
    <w:rsid w:val="592866D1"/>
    <w:rsid w:val="59350668"/>
    <w:rsid w:val="593B28A8"/>
    <w:rsid w:val="593E2D1F"/>
    <w:rsid w:val="593E4146"/>
    <w:rsid w:val="59483879"/>
    <w:rsid w:val="594E3CA4"/>
    <w:rsid w:val="595474C6"/>
    <w:rsid w:val="596411B7"/>
    <w:rsid w:val="5970084D"/>
    <w:rsid w:val="59747B49"/>
    <w:rsid w:val="597933D0"/>
    <w:rsid w:val="59797833"/>
    <w:rsid w:val="597C0DDC"/>
    <w:rsid w:val="5987789B"/>
    <w:rsid w:val="59931A4C"/>
    <w:rsid w:val="59957788"/>
    <w:rsid w:val="599C0E6D"/>
    <w:rsid w:val="599C6A38"/>
    <w:rsid w:val="599E2E37"/>
    <w:rsid w:val="59B461B6"/>
    <w:rsid w:val="59C363FA"/>
    <w:rsid w:val="59C52172"/>
    <w:rsid w:val="59C67F57"/>
    <w:rsid w:val="59CC40E2"/>
    <w:rsid w:val="59D35814"/>
    <w:rsid w:val="59DD74BB"/>
    <w:rsid w:val="59DD7B7C"/>
    <w:rsid w:val="59E06FAB"/>
    <w:rsid w:val="59E720E8"/>
    <w:rsid w:val="59E7658C"/>
    <w:rsid w:val="59ED4724"/>
    <w:rsid w:val="59EE103E"/>
    <w:rsid w:val="59F372D7"/>
    <w:rsid w:val="59F82547"/>
    <w:rsid w:val="59F91E1B"/>
    <w:rsid w:val="59FD190B"/>
    <w:rsid w:val="5A0034D6"/>
    <w:rsid w:val="5A00764E"/>
    <w:rsid w:val="5A025174"/>
    <w:rsid w:val="5A07278A"/>
    <w:rsid w:val="5A0D28C9"/>
    <w:rsid w:val="5A107ABE"/>
    <w:rsid w:val="5A114B53"/>
    <w:rsid w:val="5A144EA7"/>
    <w:rsid w:val="5A1A03A5"/>
    <w:rsid w:val="5A1A3741"/>
    <w:rsid w:val="5A1E1882"/>
    <w:rsid w:val="5A1E5A69"/>
    <w:rsid w:val="5A1F6067"/>
    <w:rsid w:val="5A290952"/>
    <w:rsid w:val="5A2E41BB"/>
    <w:rsid w:val="5A451531"/>
    <w:rsid w:val="5A47527D"/>
    <w:rsid w:val="5A4E087F"/>
    <w:rsid w:val="5A5752C7"/>
    <w:rsid w:val="5A5D71D1"/>
    <w:rsid w:val="5A632844"/>
    <w:rsid w:val="5A643CE6"/>
    <w:rsid w:val="5A690D4F"/>
    <w:rsid w:val="5A70032F"/>
    <w:rsid w:val="5A8042EB"/>
    <w:rsid w:val="5A8E2EAB"/>
    <w:rsid w:val="5A90452E"/>
    <w:rsid w:val="5A9D30EE"/>
    <w:rsid w:val="5AA4622B"/>
    <w:rsid w:val="5AAE0E58"/>
    <w:rsid w:val="5AAE43C0"/>
    <w:rsid w:val="5AB86A1E"/>
    <w:rsid w:val="5AB97EAE"/>
    <w:rsid w:val="5ABD72ED"/>
    <w:rsid w:val="5AC108F4"/>
    <w:rsid w:val="5ACA6500"/>
    <w:rsid w:val="5AD44F78"/>
    <w:rsid w:val="5AE42ACB"/>
    <w:rsid w:val="5AF55909"/>
    <w:rsid w:val="5AFE3B8D"/>
    <w:rsid w:val="5AFF11B3"/>
    <w:rsid w:val="5B01542B"/>
    <w:rsid w:val="5B0A0784"/>
    <w:rsid w:val="5B0F2AA9"/>
    <w:rsid w:val="5B101B12"/>
    <w:rsid w:val="5B13021A"/>
    <w:rsid w:val="5B133DAA"/>
    <w:rsid w:val="5B1433B1"/>
    <w:rsid w:val="5B1F1D55"/>
    <w:rsid w:val="5B214BAC"/>
    <w:rsid w:val="5B220213"/>
    <w:rsid w:val="5B2555BE"/>
    <w:rsid w:val="5B2A2D08"/>
    <w:rsid w:val="5B2D6220"/>
    <w:rsid w:val="5B2F1760"/>
    <w:rsid w:val="5B342D3E"/>
    <w:rsid w:val="5B4517BC"/>
    <w:rsid w:val="5B490B80"/>
    <w:rsid w:val="5B4D0671"/>
    <w:rsid w:val="5B637E94"/>
    <w:rsid w:val="5B6836FC"/>
    <w:rsid w:val="5B6854AA"/>
    <w:rsid w:val="5B6918B3"/>
    <w:rsid w:val="5B773940"/>
    <w:rsid w:val="5B7E6A7C"/>
    <w:rsid w:val="5B8C403F"/>
    <w:rsid w:val="5B8F6EDB"/>
    <w:rsid w:val="5B922527"/>
    <w:rsid w:val="5B923195"/>
    <w:rsid w:val="5B94004E"/>
    <w:rsid w:val="5B94775A"/>
    <w:rsid w:val="5BA04C44"/>
    <w:rsid w:val="5BA54009"/>
    <w:rsid w:val="5BAD7361"/>
    <w:rsid w:val="5BB46942"/>
    <w:rsid w:val="5BB55204"/>
    <w:rsid w:val="5BD966B8"/>
    <w:rsid w:val="5BE80399"/>
    <w:rsid w:val="5BEC125D"/>
    <w:rsid w:val="5BEE3AF4"/>
    <w:rsid w:val="5BEE4A1C"/>
    <w:rsid w:val="5BF13D64"/>
    <w:rsid w:val="5BF46D3E"/>
    <w:rsid w:val="5BF84A80"/>
    <w:rsid w:val="5BFA6BBE"/>
    <w:rsid w:val="5BFB00CD"/>
    <w:rsid w:val="5BFB20F5"/>
    <w:rsid w:val="5BFB631F"/>
    <w:rsid w:val="5BFD3E45"/>
    <w:rsid w:val="5C007491"/>
    <w:rsid w:val="5C142F3C"/>
    <w:rsid w:val="5C164F06"/>
    <w:rsid w:val="5C173A64"/>
    <w:rsid w:val="5C180C7F"/>
    <w:rsid w:val="5C182A2D"/>
    <w:rsid w:val="5C207B33"/>
    <w:rsid w:val="5C237623"/>
    <w:rsid w:val="5C2A09B2"/>
    <w:rsid w:val="5C2F7D76"/>
    <w:rsid w:val="5C341831"/>
    <w:rsid w:val="5C3E620B"/>
    <w:rsid w:val="5C537F09"/>
    <w:rsid w:val="5C5B01E8"/>
    <w:rsid w:val="5C61405A"/>
    <w:rsid w:val="5C621719"/>
    <w:rsid w:val="5C675762"/>
    <w:rsid w:val="5C6A0DAE"/>
    <w:rsid w:val="5C745C84"/>
    <w:rsid w:val="5C7659A5"/>
    <w:rsid w:val="5C7A0445"/>
    <w:rsid w:val="5C846314"/>
    <w:rsid w:val="5C913139"/>
    <w:rsid w:val="5C97586A"/>
    <w:rsid w:val="5C9A1694"/>
    <w:rsid w:val="5C9F314E"/>
    <w:rsid w:val="5C9F7DDA"/>
    <w:rsid w:val="5CA72002"/>
    <w:rsid w:val="5CA93FCD"/>
    <w:rsid w:val="5CBC3D00"/>
    <w:rsid w:val="5CC20BEA"/>
    <w:rsid w:val="5CCF11D3"/>
    <w:rsid w:val="5CD31049"/>
    <w:rsid w:val="5CDA4186"/>
    <w:rsid w:val="5CE010FA"/>
    <w:rsid w:val="5CE054F0"/>
    <w:rsid w:val="5CE61362"/>
    <w:rsid w:val="5CE648D9"/>
    <w:rsid w:val="5CE768A3"/>
    <w:rsid w:val="5CE842FC"/>
    <w:rsid w:val="5CEE7C31"/>
    <w:rsid w:val="5CF0706F"/>
    <w:rsid w:val="5CF1327E"/>
    <w:rsid w:val="5CFA59A2"/>
    <w:rsid w:val="5CFC234E"/>
    <w:rsid w:val="5CFF3F21"/>
    <w:rsid w:val="5D0134C1"/>
    <w:rsid w:val="5D015BB7"/>
    <w:rsid w:val="5D017108"/>
    <w:rsid w:val="5D086F45"/>
    <w:rsid w:val="5D090049"/>
    <w:rsid w:val="5D1B64D3"/>
    <w:rsid w:val="5D1F786A"/>
    <w:rsid w:val="5D282BFF"/>
    <w:rsid w:val="5D283143"/>
    <w:rsid w:val="5D327B1E"/>
    <w:rsid w:val="5D3F25BA"/>
    <w:rsid w:val="5D467388"/>
    <w:rsid w:val="5D486FBE"/>
    <w:rsid w:val="5D4A130C"/>
    <w:rsid w:val="5D4B5084"/>
    <w:rsid w:val="5D4E284E"/>
    <w:rsid w:val="5D5A2CC2"/>
    <w:rsid w:val="5D5C4B9B"/>
    <w:rsid w:val="5D635F29"/>
    <w:rsid w:val="5D641CA2"/>
    <w:rsid w:val="5D67381D"/>
    <w:rsid w:val="5D680376"/>
    <w:rsid w:val="5D6C4E7E"/>
    <w:rsid w:val="5D826A79"/>
    <w:rsid w:val="5D8440F2"/>
    <w:rsid w:val="5D845EA0"/>
    <w:rsid w:val="5D8F6D1E"/>
    <w:rsid w:val="5D9702C9"/>
    <w:rsid w:val="5D9A411F"/>
    <w:rsid w:val="5D9C58DF"/>
    <w:rsid w:val="5DA64068"/>
    <w:rsid w:val="5DB06C95"/>
    <w:rsid w:val="5DB44CC9"/>
    <w:rsid w:val="5DBA7B13"/>
    <w:rsid w:val="5DC06184"/>
    <w:rsid w:val="5DC34C1A"/>
    <w:rsid w:val="5DCB3ACF"/>
    <w:rsid w:val="5DE11544"/>
    <w:rsid w:val="5DE60909"/>
    <w:rsid w:val="5DEE6FD8"/>
    <w:rsid w:val="5DF32230"/>
    <w:rsid w:val="5DFB2606"/>
    <w:rsid w:val="5E001545"/>
    <w:rsid w:val="5E0C65C1"/>
    <w:rsid w:val="5E0D40E7"/>
    <w:rsid w:val="5E157EEA"/>
    <w:rsid w:val="5E1611EE"/>
    <w:rsid w:val="5E176D14"/>
    <w:rsid w:val="5E1D07CE"/>
    <w:rsid w:val="5E225DE5"/>
    <w:rsid w:val="5E2636F9"/>
    <w:rsid w:val="5E2722FF"/>
    <w:rsid w:val="5E282CCF"/>
    <w:rsid w:val="5E3626F8"/>
    <w:rsid w:val="5E3831E3"/>
    <w:rsid w:val="5E3C3095"/>
    <w:rsid w:val="5E40626B"/>
    <w:rsid w:val="5E4775F9"/>
    <w:rsid w:val="5E4C4C10"/>
    <w:rsid w:val="5E565A8E"/>
    <w:rsid w:val="5E5B4E53"/>
    <w:rsid w:val="5E5C63DC"/>
    <w:rsid w:val="5E5D0BCB"/>
    <w:rsid w:val="5E602469"/>
    <w:rsid w:val="5E736640"/>
    <w:rsid w:val="5E7B72A3"/>
    <w:rsid w:val="5E800D5D"/>
    <w:rsid w:val="5E802E86"/>
    <w:rsid w:val="5E824AD5"/>
    <w:rsid w:val="5E857224"/>
    <w:rsid w:val="5E8B2EDC"/>
    <w:rsid w:val="5E8C5954"/>
    <w:rsid w:val="5E8E3203"/>
    <w:rsid w:val="5E8F2D4E"/>
    <w:rsid w:val="5EA16ED0"/>
    <w:rsid w:val="5EA52572"/>
    <w:rsid w:val="5EB55739"/>
    <w:rsid w:val="5ECA1FD8"/>
    <w:rsid w:val="5ECB0BA3"/>
    <w:rsid w:val="5ED15115"/>
    <w:rsid w:val="5ED75D25"/>
    <w:rsid w:val="5ED846F5"/>
    <w:rsid w:val="5ED864A3"/>
    <w:rsid w:val="5EE44E48"/>
    <w:rsid w:val="5EEC01A1"/>
    <w:rsid w:val="5EF552A7"/>
    <w:rsid w:val="5EF61170"/>
    <w:rsid w:val="5EFA28BD"/>
    <w:rsid w:val="5EFB791D"/>
    <w:rsid w:val="5F053010"/>
    <w:rsid w:val="5F0720F8"/>
    <w:rsid w:val="5F172392"/>
    <w:rsid w:val="5F1C0B83"/>
    <w:rsid w:val="5F2912C8"/>
    <w:rsid w:val="5F2913F5"/>
    <w:rsid w:val="5F293070"/>
    <w:rsid w:val="5F2C5541"/>
    <w:rsid w:val="5F3B1EC0"/>
    <w:rsid w:val="5F3C2ED6"/>
    <w:rsid w:val="5F3D0F4D"/>
    <w:rsid w:val="5F3E0472"/>
    <w:rsid w:val="5F414BEE"/>
    <w:rsid w:val="5F465B03"/>
    <w:rsid w:val="5F4E4AEF"/>
    <w:rsid w:val="5F4F24EC"/>
    <w:rsid w:val="5F4F6C69"/>
    <w:rsid w:val="5F50072F"/>
    <w:rsid w:val="5F5A62FF"/>
    <w:rsid w:val="5F5C42EB"/>
    <w:rsid w:val="5F5C70D4"/>
    <w:rsid w:val="5F5D12F4"/>
    <w:rsid w:val="5F5E6900"/>
    <w:rsid w:val="5F683CCB"/>
    <w:rsid w:val="5F685614"/>
    <w:rsid w:val="5F742670"/>
    <w:rsid w:val="5F8403D9"/>
    <w:rsid w:val="5F8B79B9"/>
    <w:rsid w:val="5F8E3006"/>
    <w:rsid w:val="5F942D12"/>
    <w:rsid w:val="5F9A19AB"/>
    <w:rsid w:val="5FA40A7B"/>
    <w:rsid w:val="5FAD5B82"/>
    <w:rsid w:val="5FAF1783"/>
    <w:rsid w:val="5FBB3E1E"/>
    <w:rsid w:val="5FBE38EB"/>
    <w:rsid w:val="5FC133DB"/>
    <w:rsid w:val="5FC436B0"/>
    <w:rsid w:val="5FD650C5"/>
    <w:rsid w:val="5FDC0215"/>
    <w:rsid w:val="5FEF1CF6"/>
    <w:rsid w:val="5FF11F12"/>
    <w:rsid w:val="5FF27A39"/>
    <w:rsid w:val="5FF76DFD"/>
    <w:rsid w:val="60003F04"/>
    <w:rsid w:val="60110E2F"/>
    <w:rsid w:val="6017749F"/>
    <w:rsid w:val="601C6864"/>
    <w:rsid w:val="60266AD1"/>
    <w:rsid w:val="602816AC"/>
    <w:rsid w:val="60285C26"/>
    <w:rsid w:val="602D281F"/>
    <w:rsid w:val="602F2A3B"/>
    <w:rsid w:val="603B13E0"/>
    <w:rsid w:val="603D2175"/>
    <w:rsid w:val="60420A89"/>
    <w:rsid w:val="60441AFF"/>
    <w:rsid w:val="60442CA3"/>
    <w:rsid w:val="6051475F"/>
    <w:rsid w:val="60593614"/>
    <w:rsid w:val="60595213"/>
    <w:rsid w:val="60695F4D"/>
    <w:rsid w:val="60711E68"/>
    <w:rsid w:val="607265D1"/>
    <w:rsid w:val="60733548"/>
    <w:rsid w:val="607466A0"/>
    <w:rsid w:val="607632A1"/>
    <w:rsid w:val="60770C85"/>
    <w:rsid w:val="607C7302"/>
    <w:rsid w:val="608A7C71"/>
    <w:rsid w:val="608C39E9"/>
    <w:rsid w:val="60911000"/>
    <w:rsid w:val="60934D78"/>
    <w:rsid w:val="6097604C"/>
    <w:rsid w:val="60997EB4"/>
    <w:rsid w:val="609D1752"/>
    <w:rsid w:val="60A52CFD"/>
    <w:rsid w:val="60AD570E"/>
    <w:rsid w:val="60AF592A"/>
    <w:rsid w:val="60B30F76"/>
    <w:rsid w:val="60BA5F1D"/>
    <w:rsid w:val="60C018E5"/>
    <w:rsid w:val="60C07B37"/>
    <w:rsid w:val="60C72C73"/>
    <w:rsid w:val="60DB04CD"/>
    <w:rsid w:val="60F021CA"/>
    <w:rsid w:val="60F577E0"/>
    <w:rsid w:val="60FA371F"/>
    <w:rsid w:val="60FB46CB"/>
    <w:rsid w:val="60FC1E29"/>
    <w:rsid w:val="60FF41BB"/>
    <w:rsid w:val="60FF6480"/>
    <w:rsid w:val="61004E5C"/>
    <w:rsid w:val="61135EB8"/>
    <w:rsid w:val="6115578D"/>
    <w:rsid w:val="61192DDC"/>
    <w:rsid w:val="611D6D37"/>
    <w:rsid w:val="611F485D"/>
    <w:rsid w:val="612260FC"/>
    <w:rsid w:val="6126799A"/>
    <w:rsid w:val="612B4FB0"/>
    <w:rsid w:val="612B6C21"/>
    <w:rsid w:val="613227E3"/>
    <w:rsid w:val="61333E65"/>
    <w:rsid w:val="61346CBA"/>
    <w:rsid w:val="61366B09"/>
    <w:rsid w:val="613A3445"/>
    <w:rsid w:val="613A6BCF"/>
    <w:rsid w:val="613B0F6B"/>
    <w:rsid w:val="61406582"/>
    <w:rsid w:val="614147D4"/>
    <w:rsid w:val="6142679E"/>
    <w:rsid w:val="614437F2"/>
    <w:rsid w:val="614822A7"/>
    <w:rsid w:val="614A35AB"/>
    <w:rsid w:val="615728C1"/>
    <w:rsid w:val="61573FF7"/>
    <w:rsid w:val="615B6D9D"/>
    <w:rsid w:val="61630BEE"/>
    <w:rsid w:val="6166248C"/>
    <w:rsid w:val="616B7AA3"/>
    <w:rsid w:val="616B7B35"/>
    <w:rsid w:val="617443F0"/>
    <w:rsid w:val="61763176"/>
    <w:rsid w:val="617A7CE6"/>
    <w:rsid w:val="617F2EFF"/>
    <w:rsid w:val="61811074"/>
    <w:rsid w:val="618A0136"/>
    <w:rsid w:val="619274F0"/>
    <w:rsid w:val="619777B6"/>
    <w:rsid w:val="619F0AAE"/>
    <w:rsid w:val="61B9080E"/>
    <w:rsid w:val="61C6117D"/>
    <w:rsid w:val="61C86CA3"/>
    <w:rsid w:val="61CF0031"/>
    <w:rsid w:val="61D03DA9"/>
    <w:rsid w:val="61D05B58"/>
    <w:rsid w:val="61D242D6"/>
    <w:rsid w:val="61D45648"/>
    <w:rsid w:val="61D60C11"/>
    <w:rsid w:val="61DE0683"/>
    <w:rsid w:val="61EF543B"/>
    <w:rsid w:val="61F21F72"/>
    <w:rsid w:val="61FF370F"/>
    <w:rsid w:val="620970B6"/>
    <w:rsid w:val="620D0B5A"/>
    <w:rsid w:val="62126170"/>
    <w:rsid w:val="62173786"/>
    <w:rsid w:val="621A62ED"/>
    <w:rsid w:val="62257C51"/>
    <w:rsid w:val="622C5484"/>
    <w:rsid w:val="622F287E"/>
    <w:rsid w:val="62361E5F"/>
    <w:rsid w:val="623F6839"/>
    <w:rsid w:val="62404A8B"/>
    <w:rsid w:val="62456545"/>
    <w:rsid w:val="62481B92"/>
    <w:rsid w:val="62493570"/>
    <w:rsid w:val="624C7A0B"/>
    <w:rsid w:val="624F4CCE"/>
    <w:rsid w:val="625C605A"/>
    <w:rsid w:val="62677DAD"/>
    <w:rsid w:val="626910C3"/>
    <w:rsid w:val="626D15F8"/>
    <w:rsid w:val="626D784A"/>
    <w:rsid w:val="62741294"/>
    <w:rsid w:val="627666FF"/>
    <w:rsid w:val="627668F2"/>
    <w:rsid w:val="627B5AC3"/>
    <w:rsid w:val="628506F0"/>
    <w:rsid w:val="628538BE"/>
    <w:rsid w:val="628801E0"/>
    <w:rsid w:val="628C0108"/>
    <w:rsid w:val="628D293E"/>
    <w:rsid w:val="629038C3"/>
    <w:rsid w:val="6292105F"/>
    <w:rsid w:val="62A80882"/>
    <w:rsid w:val="62B07A33"/>
    <w:rsid w:val="62B60D8B"/>
    <w:rsid w:val="62B92A90"/>
    <w:rsid w:val="62BA03AC"/>
    <w:rsid w:val="62BC4273"/>
    <w:rsid w:val="62BE310D"/>
    <w:rsid w:val="62C84A81"/>
    <w:rsid w:val="62CF7BBD"/>
    <w:rsid w:val="62D022B3"/>
    <w:rsid w:val="62D3168C"/>
    <w:rsid w:val="62DB47B4"/>
    <w:rsid w:val="62DD013F"/>
    <w:rsid w:val="62E63BA3"/>
    <w:rsid w:val="62ED798A"/>
    <w:rsid w:val="62F37D50"/>
    <w:rsid w:val="62F67840"/>
    <w:rsid w:val="62FB2F72"/>
    <w:rsid w:val="62FD472A"/>
    <w:rsid w:val="62FD6A68"/>
    <w:rsid w:val="63071A4D"/>
    <w:rsid w:val="630E1F93"/>
    <w:rsid w:val="630E2DDB"/>
    <w:rsid w:val="63155F18"/>
    <w:rsid w:val="631D301E"/>
    <w:rsid w:val="63273E9D"/>
    <w:rsid w:val="632C14B3"/>
    <w:rsid w:val="63354200"/>
    <w:rsid w:val="63365E8E"/>
    <w:rsid w:val="633B34A5"/>
    <w:rsid w:val="634C3904"/>
    <w:rsid w:val="635215F2"/>
    <w:rsid w:val="63543C07"/>
    <w:rsid w:val="635A1B7D"/>
    <w:rsid w:val="635D2D54"/>
    <w:rsid w:val="635F53E5"/>
    <w:rsid w:val="636649C5"/>
    <w:rsid w:val="636843F0"/>
    <w:rsid w:val="636930D4"/>
    <w:rsid w:val="63696264"/>
    <w:rsid w:val="63731AE4"/>
    <w:rsid w:val="63774E58"/>
    <w:rsid w:val="637C49ED"/>
    <w:rsid w:val="637F46DB"/>
    <w:rsid w:val="63910EE7"/>
    <w:rsid w:val="63952BB5"/>
    <w:rsid w:val="639A01CB"/>
    <w:rsid w:val="63A7308B"/>
    <w:rsid w:val="63AF718C"/>
    <w:rsid w:val="63B079EF"/>
    <w:rsid w:val="63BC2837"/>
    <w:rsid w:val="63C60FC0"/>
    <w:rsid w:val="63C74D38"/>
    <w:rsid w:val="63C96D02"/>
    <w:rsid w:val="63D01E3F"/>
    <w:rsid w:val="63DA2CBD"/>
    <w:rsid w:val="63E458EA"/>
    <w:rsid w:val="63EF60B0"/>
    <w:rsid w:val="63F7386F"/>
    <w:rsid w:val="63FA4B8B"/>
    <w:rsid w:val="63FD075A"/>
    <w:rsid w:val="64025D23"/>
    <w:rsid w:val="64032214"/>
    <w:rsid w:val="64045874"/>
    <w:rsid w:val="64087C2C"/>
    <w:rsid w:val="640970FF"/>
    <w:rsid w:val="640D4E41"/>
    <w:rsid w:val="641066DF"/>
    <w:rsid w:val="64122457"/>
    <w:rsid w:val="64137F7D"/>
    <w:rsid w:val="641461CF"/>
    <w:rsid w:val="64265F03"/>
    <w:rsid w:val="642A59F3"/>
    <w:rsid w:val="642A5BE2"/>
    <w:rsid w:val="642A77A1"/>
    <w:rsid w:val="64367D22"/>
    <w:rsid w:val="643B5414"/>
    <w:rsid w:val="64407D86"/>
    <w:rsid w:val="644C15B5"/>
    <w:rsid w:val="64520AA6"/>
    <w:rsid w:val="645760BC"/>
    <w:rsid w:val="645D1637"/>
    <w:rsid w:val="64607667"/>
    <w:rsid w:val="64687923"/>
    <w:rsid w:val="646A5DEF"/>
    <w:rsid w:val="6478463A"/>
    <w:rsid w:val="647E189B"/>
    <w:rsid w:val="64824C06"/>
    <w:rsid w:val="648275DD"/>
    <w:rsid w:val="64925AFA"/>
    <w:rsid w:val="64976872"/>
    <w:rsid w:val="64990483"/>
    <w:rsid w:val="64994927"/>
    <w:rsid w:val="649E3CEB"/>
    <w:rsid w:val="64A82747"/>
    <w:rsid w:val="64AC3292"/>
    <w:rsid w:val="64C5571C"/>
    <w:rsid w:val="64CC4655"/>
    <w:rsid w:val="64E5191A"/>
    <w:rsid w:val="64F2562B"/>
    <w:rsid w:val="64F46001"/>
    <w:rsid w:val="64FB2EEB"/>
    <w:rsid w:val="64FB738F"/>
    <w:rsid w:val="64FF0C2E"/>
    <w:rsid w:val="65031DA0"/>
    <w:rsid w:val="65051FBC"/>
    <w:rsid w:val="65085608"/>
    <w:rsid w:val="650A312E"/>
    <w:rsid w:val="650C50F9"/>
    <w:rsid w:val="650D356B"/>
    <w:rsid w:val="6518584B"/>
    <w:rsid w:val="652C7549"/>
    <w:rsid w:val="65322DFD"/>
    <w:rsid w:val="65386E7E"/>
    <w:rsid w:val="65387C9C"/>
    <w:rsid w:val="653900FF"/>
    <w:rsid w:val="653A5A1F"/>
    <w:rsid w:val="654E7F43"/>
    <w:rsid w:val="65510D5D"/>
    <w:rsid w:val="65573688"/>
    <w:rsid w:val="65605444"/>
    <w:rsid w:val="65620689"/>
    <w:rsid w:val="65624D19"/>
    <w:rsid w:val="65646CE3"/>
    <w:rsid w:val="65680AED"/>
    <w:rsid w:val="656868EF"/>
    <w:rsid w:val="656C3DE9"/>
    <w:rsid w:val="656C5B97"/>
    <w:rsid w:val="6571397B"/>
    <w:rsid w:val="65766C69"/>
    <w:rsid w:val="6578278E"/>
    <w:rsid w:val="657C227E"/>
    <w:rsid w:val="657C554C"/>
    <w:rsid w:val="657E785F"/>
    <w:rsid w:val="65870C23"/>
    <w:rsid w:val="65A75259"/>
    <w:rsid w:val="65AE7F5D"/>
    <w:rsid w:val="65BD2836"/>
    <w:rsid w:val="65BD4A8E"/>
    <w:rsid w:val="65BF14FC"/>
    <w:rsid w:val="65C015ED"/>
    <w:rsid w:val="65C77271"/>
    <w:rsid w:val="65D95929"/>
    <w:rsid w:val="65DA51F7"/>
    <w:rsid w:val="65DC4ACB"/>
    <w:rsid w:val="65E9368C"/>
    <w:rsid w:val="65EF7ACC"/>
    <w:rsid w:val="65F20792"/>
    <w:rsid w:val="65FA7647"/>
    <w:rsid w:val="65FF07B9"/>
    <w:rsid w:val="66012783"/>
    <w:rsid w:val="660412A0"/>
    <w:rsid w:val="660B22CD"/>
    <w:rsid w:val="660C5D78"/>
    <w:rsid w:val="660D37F9"/>
    <w:rsid w:val="6612673F"/>
    <w:rsid w:val="66130F86"/>
    <w:rsid w:val="66140709"/>
    <w:rsid w:val="66174262"/>
    <w:rsid w:val="66195D1F"/>
    <w:rsid w:val="661E4BBC"/>
    <w:rsid w:val="662326FA"/>
    <w:rsid w:val="662B7800"/>
    <w:rsid w:val="662F5033"/>
    <w:rsid w:val="66383744"/>
    <w:rsid w:val="6639277A"/>
    <w:rsid w:val="663A5C95"/>
    <w:rsid w:val="663D12E2"/>
    <w:rsid w:val="663D3E4E"/>
    <w:rsid w:val="663E784C"/>
    <w:rsid w:val="664D59C9"/>
    <w:rsid w:val="665263EB"/>
    <w:rsid w:val="665477F1"/>
    <w:rsid w:val="6656075B"/>
    <w:rsid w:val="66562864"/>
    <w:rsid w:val="665D6449"/>
    <w:rsid w:val="6660394E"/>
    <w:rsid w:val="66624588"/>
    <w:rsid w:val="66680A54"/>
    <w:rsid w:val="667E5B82"/>
    <w:rsid w:val="66815078"/>
    <w:rsid w:val="668C0B60"/>
    <w:rsid w:val="66A23F66"/>
    <w:rsid w:val="66A471B0"/>
    <w:rsid w:val="66A870A3"/>
    <w:rsid w:val="66C95F00"/>
    <w:rsid w:val="66CD4046"/>
    <w:rsid w:val="66CD4D5B"/>
    <w:rsid w:val="66D1263E"/>
    <w:rsid w:val="66D566DA"/>
    <w:rsid w:val="66DC6D4D"/>
    <w:rsid w:val="66E10208"/>
    <w:rsid w:val="66E71979"/>
    <w:rsid w:val="66EB0348"/>
    <w:rsid w:val="66F00016"/>
    <w:rsid w:val="66F00949"/>
    <w:rsid w:val="66F01C71"/>
    <w:rsid w:val="66F43704"/>
    <w:rsid w:val="66FD119D"/>
    <w:rsid w:val="66FE3167"/>
    <w:rsid w:val="671169F6"/>
    <w:rsid w:val="671B6503"/>
    <w:rsid w:val="672030DD"/>
    <w:rsid w:val="672229B1"/>
    <w:rsid w:val="67256946"/>
    <w:rsid w:val="672768A2"/>
    <w:rsid w:val="67346B89"/>
    <w:rsid w:val="673821D5"/>
    <w:rsid w:val="67386679"/>
    <w:rsid w:val="67425CA8"/>
    <w:rsid w:val="674370F9"/>
    <w:rsid w:val="6747227C"/>
    <w:rsid w:val="675671D4"/>
    <w:rsid w:val="676034DA"/>
    <w:rsid w:val="676818B7"/>
    <w:rsid w:val="67723DDB"/>
    <w:rsid w:val="677840D0"/>
    <w:rsid w:val="6779459B"/>
    <w:rsid w:val="677B0314"/>
    <w:rsid w:val="677F2848"/>
    <w:rsid w:val="678A33E5"/>
    <w:rsid w:val="6796339F"/>
    <w:rsid w:val="679B09B6"/>
    <w:rsid w:val="679D64DC"/>
    <w:rsid w:val="67AA29A7"/>
    <w:rsid w:val="67AB20E1"/>
    <w:rsid w:val="67B66F21"/>
    <w:rsid w:val="67BA097C"/>
    <w:rsid w:val="67BD3EEF"/>
    <w:rsid w:val="67BF28F6"/>
    <w:rsid w:val="67C6054C"/>
    <w:rsid w:val="67C9107F"/>
    <w:rsid w:val="67C95523"/>
    <w:rsid w:val="67D8215B"/>
    <w:rsid w:val="67D839B8"/>
    <w:rsid w:val="67E1286C"/>
    <w:rsid w:val="67E34F4D"/>
    <w:rsid w:val="67E759A9"/>
    <w:rsid w:val="67EA0B8C"/>
    <w:rsid w:val="67F123E1"/>
    <w:rsid w:val="67F4395F"/>
    <w:rsid w:val="67F81964"/>
    <w:rsid w:val="67FF7197"/>
    <w:rsid w:val="680E73DA"/>
    <w:rsid w:val="68125111"/>
    <w:rsid w:val="681A7B2C"/>
    <w:rsid w:val="681C2B17"/>
    <w:rsid w:val="681F5B8E"/>
    <w:rsid w:val="68262975"/>
    <w:rsid w:val="682664D1"/>
    <w:rsid w:val="682D3CAE"/>
    <w:rsid w:val="682D666D"/>
    <w:rsid w:val="68375408"/>
    <w:rsid w:val="683C5CF5"/>
    <w:rsid w:val="683F0975"/>
    <w:rsid w:val="68434A9E"/>
    <w:rsid w:val="68444BA9"/>
    <w:rsid w:val="68456BA0"/>
    <w:rsid w:val="684921C0"/>
    <w:rsid w:val="684969A7"/>
    <w:rsid w:val="68541290"/>
    <w:rsid w:val="68570D81"/>
    <w:rsid w:val="685C7BC6"/>
    <w:rsid w:val="685E7C65"/>
    <w:rsid w:val="6861575B"/>
    <w:rsid w:val="68617509"/>
    <w:rsid w:val="6864524C"/>
    <w:rsid w:val="68691577"/>
    <w:rsid w:val="686A0AB4"/>
    <w:rsid w:val="687C00FB"/>
    <w:rsid w:val="688B4E92"/>
    <w:rsid w:val="689C49E5"/>
    <w:rsid w:val="689E27D8"/>
    <w:rsid w:val="68A634BD"/>
    <w:rsid w:val="68A815DC"/>
    <w:rsid w:val="68AE4CC0"/>
    <w:rsid w:val="68B51559"/>
    <w:rsid w:val="68B74A5D"/>
    <w:rsid w:val="68B86C5B"/>
    <w:rsid w:val="68B87173"/>
    <w:rsid w:val="68B910F3"/>
    <w:rsid w:val="68B91712"/>
    <w:rsid w:val="68B94891"/>
    <w:rsid w:val="68BE2CB7"/>
    <w:rsid w:val="68C006D4"/>
    <w:rsid w:val="68C77D9B"/>
    <w:rsid w:val="68C87588"/>
    <w:rsid w:val="68CA01FA"/>
    <w:rsid w:val="68CA349B"/>
    <w:rsid w:val="68CC02A9"/>
    <w:rsid w:val="68D11D83"/>
    <w:rsid w:val="68D66149"/>
    <w:rsid w:val="68D96B7C"/>
    <w:rsid w:val="68DD74D8"/>
    <w:rsid w:val="68DE6680"/>
    <w:rsid w:val="68DF3B0D"/>
    <w:rsid w:val="68E343C2"/>
    <w:rsid w:val="68FF6E8F"/>
    <w:rsid w:val="690B169A"/>
    <w:rsid w:val="690D143F"/>
    <w:rsid w:val="69106C82"/>
    <w:rsid w:val="69194288"/>
    <w:rsid w:val="691E250D"/>
    <w:rsid w:val="692073C4"/>
    <w:rsid w:val="69216C99"/>
    <w:rsid w:val="69263D43"/>
    <w:rsid w:val="6926728F"/>
    <w:rsid w:val="692B6F9A"/>
    <w:rsid w:val="692D388F"/>
    <w:rsid w:val="692F7608"/>
    <w:rsid w:val="693034A7"/>
    <w:rsid w:val="693C476F"/>
    <w:rsid w:val="693F23B7"/>
    <w:rsid w:val="694035C3"/>
    <w:rsid w:val="694C0422"/>
    <w:rsid w:val="69531548"/>
    <w:rsid w:val="6954796A"/>
    <w:rsid w:val="69601EB7"/>
    <w:rsid w:val="69603C65"/>
    <w:rsid w:val="696A61A2"/>
    <w:rsid w:val="697C221C"/>
    <w:rsid w:val="69810A41"/>
    <w:rsid w:val="698B3F7B"/>
    <w:rsid w:val="69937011"/>
    <w:rsid w:val="69A1245C"/>
    <w:rsid w:val="69A51678"/>
    <w:rsid w:val="69AA3132"/>
    <w:rsid w:val="69AF0748"/>
    <w:rsid w:val="69B14C74"/>
    <w:rsid w:val="69B33D95"/>
    <w:rsid w:val="69B813AB"/>
    <w:rsid w:val="69B8584F"/>
    <w:rsid w:val="69C2060B"/>
    <w:rsid w:val="69D106BF"/>
    <w:rsid w:val="69D32689"/>
    <w:rsid w:val="69D361E5"/>
    <w:rsid w:val="69D837FB"/>
    <w:rsid w:val="69DE2152"/>
    <w:rsid w:val="69E20B1E"/>
    <w:rsid w:val="69E6499C"/>
    <w:rsid w:val="69EC72A7"/>
    <w:rsid w:val="69F04FE9"/>
    <w:rsid w:val="69F83E9D"/>
    <w:rsid w:val="6A0C7949"/>
    <w:rsid w:val="6A0D5865"/>
    <w:rsid w:val="6A15597A"/>
    <w:rsid w:val="6A1A3E14"/>
    <w:rsid w:val="6A244B48"/>
    <w:rsid w:val="6A2475B2"/>
    <w:rsid w:val="6A2B4273"/>
    <w:rsid w:val="6A2E78BF"/>
    <w:rsid w:val="6A3C1FDC"/>
    <w:rsid w:val="6A426762"/>
    <w:rsid w:val="6A464C09"/>
    <w:rsid w:val="6A485714"/>
    <w:rsid w:val="6A4A5FD9"/>
    <w:rsid w:val="6A4B2170"/>
    <w:rsid w:val="6A5265BA"/>
    <w:rsid w:val="6A5C442C"/>
    <w:rsid w:val="6A7172B1"/>
    <w:rsid w:val="6A793230"/>
    <w:rsid w:val="6A7C7C19"/>
    <w:rsid w:val="6A843983"/>
    <w:rsid w:val="6A9040D6"/>
    <w:rsid w:val="6A915CAD"/>
    <w:rsid w:val="6A927E4E"/>
    <w:rsid w:val="6A995680"/>
    <w:rsid w:val="6A9A0CA2"/>
    <w:rsid w:val="6AA9740B"/>
    <w:rsid w:val="6ABE50E7"/>
    <w:rsid w:val="6AC67AF8"/>
    <w:rsid w:val="6AC95741"/>
    <w:rsid w:val="6ACB1DFA"/>
    <w:rsid w:val="6AD246EE"/>
    <w:rsid w:val="6ADA17F5"/>
    <w:rsid w:val="6ADC556D"/>
    <w:rsid w:val="6AE52674"/>
    <w:rsid w:val="6AEA1A38"/>
    <w:rsid w:val="6AED6BFB"/>
    <w:rsid w:val="6AFE3735"/>
    <w:rsid w:val="6B030D4C"/>
    <w:rsid w:val="6B0D1BCA"/>
    <w:rsid w:val="6B1B42E7"/>
    <w:rsid w:val="6B1D4264"/>
    <w:rsid w:val="6B1F06CE"/>
    <w:rsid w:val="6B2111D2"/>
    <w:rsid w:val="6B270476"/>
    <w:rsid w:val="6B2E3A64"/>
    <w:rsid w:val="6B4649F7"/>
    <w:rsid w:val="6B4B624F"/>
    <w:rsid w:val="6B4E079F"/>
    <w:rsid w:val="6B500E9D"/>
    <w:rsid w:val="6B596BBE"/>
    <w:rsid w:val="6B5B1EEA"/>
    <w:rsid w:val="6B623CC4"/>
    <w:rsid w:val="6B655563"/>
    <w:rsid w:val="6B673089"/>
    <w:rsid w:val="6B681D9F"/>
    <w:rsid w:val="6B6F1F3D"/>
    <w:rsid w:val="6B7632CC"/>
    <w:rsid w:val="6B7B7763"/>
    <w:rsid w:val="6B7D28AC"/>
    <w:rsid w:val="6B7D64E9"/>
    <w:rsid w:val="6B80414A"/>
    <w:rsid w:val="6B813877"/>
    <w:rsid w:val="6B861377"/>
    <w:rsid w:val="6B87197D"/>
    <w:rsid w:val="6B882FFF"/>
    <w:rsid w:val="6B8C2AEF"/>
    <w:rsid w:val="6B90530D"/>
    <w:rsid w:val="6B9A5224"/>
    <w:rsid w:val="6B9B2D32"/>
    <w:rsid w:val="6B9C4CE5"/>
    <w:rsid w:val="6B9D1C9D"/>
    <w:rsid w:val="6BA21BA1"/>
    <w:rsid w:val="6BB362CE"/>
    <w:rsid w:val="6BB67B6C"/>
    <w:rsid w:val="6BBA3B00"/>
    <w:rsid w:val="6BBC7DF7"/>
    <w:rsid w:val="6BC02799"/>
    <w:rsid w:val="6BC404DB"/>
    <w:rsid w:val="6BC40E5C"/>
    <w:rsid w:val="6BC47A19"/>
    <w:rsid w:val="6BCA2D65"/>
    <w:rsid w:val="6BCF62EC"/>
    <w:rsid w:val="6BDB3000"/>
    <w:rsid w:val="6BE85B99"/>
    <w:rsid w:val="6BEE2337"/>
    <w:rsid w:val="6BEE5558"/>
    <w:rsid w:val="6BF10177"/>
    <w:rsid w:val="6BF9053F"/>
    <w:rsid w:val="6BFA68D6"/>
    <w:rsid w:val="6BFF7162"/>
    <w:rsid w:val="6C00528B"/>
    <w:rsid w:val="6C007039"/>
    <w:rsid w:val="6C0528A2"/>
    <w:rsid w:val="6C054650"/>
    <w:rsid w:val="6C084DC9"/>
    <w:rsid w:val="6C0B610A"/>
    <w:rsid w:val="6C152AE5"/>
    <w:rsid w:val="6C1653E3"/>
    <w:rsid w:val="6C290B81"/>
    <w:rsid w:val="6C423AF6"/>
    <w:rsid w:val="6C445178"/>
    <w:rsid w:val="6C494E84"/>
    <w:rsid w:val="6C4E249B"/>
    <w:rsid w:val="6C4F5F07"/>
    <w:rsid w:val="6C4F7452"/>
    <w:rsid w:val="6C53360D"/>
    <w:rsid w:val="6C5D5B58"/>
    <w:rsid w:val="6C620CE0"/>
    <w:rsid w:val="6C673C61"/>
    <w:rsid w:val="6C6770B8"/>
    <w:rsid w:val="6C6E5CA6"/>
    <w:rsid w:val="6C6E7319"/>
    <w:rsid w:val="6C755C79"/>
    <w:rsid w:val="6C773BCA"/>
    <w:rsid w:val="6C7C5FE7"/>
    <w:rsid w:val="6C831258"/>
    <w:rsid w:val="6C861C34"/>
    <w:rsid w:val="6C943AB3"/>
    <w:rsid w:val="6C97174C"/>
    <w:rsid w:val="6C9824B9"/>
    <w:rsid w:val="6C9854C4"/>
    <w:rsid w:val="6CA87DFD"/>
    <w:rsid w:val="6CAD5413"/>
    <w:rsid w:val="6CB00684"/>
    <w:rsid w:val="6CB15E09"/>
    <w:rsid w:val="6CB20AD5"/>
    <w:rsid w:val="6CB95B66"/>
    <w:rsid w:val="6CBA5EF1"/>
    <w:rsid w:val="6CC744C4"/>
    <w:rsid w:val="6CC91B21"/>
    <w:rsid w:val="6CCB3AEB"/>
    <w:rsid w:val="6CCF5389"/>
    <w:rsid w:val="6CD7423E"/>
    <w:rsid w:val="6CD81C1E"/>
    <w:rsid w:val="6CDB6E8A"/>
    <w:rsid w:val="6CDC1854"/>
    <w:rsid w:val="6CEA21C3"/>
    <w:rsid w:val="6CED3A62"/>
    <w:rsid w:val="6CF03552"/>
    <w:rsid w:val="6CF67B53"/>
    <w:rsid w:val="6CFB5F60"/>
    <w:rsid w:val="6D003795"/>
    <w:rsid w:val="6D0B646B"/>
    <w:rsid w:val="6D1159A2"/>
    <w:rsid w:val="6D156B14"/>
    <w:rsid w:val="6D17288C"/>
    <w:rsid w:val="6D237483"/>
    <w:rsid w:val="6D282CA2"/>
    <w:rsid w:val="6D2B180F"/>
    <w:rsid w:val="6D370C48"/>
    <w:rsid w:val="6D396CA7"/>
    <w:rsid w:val="6D3C5DF7"/>
    <w:rsid w:val="6D446D4F"/>
    <w:rsid w:val="6D463172"/>
    <w:rsid w:val="6D4F2026"/>
    <w:rsid w:val="6D4F64CA"/>
    <w:rsid w:val="6D5419EC"/>
    <w:rsid w:val="6D567D16"/>
    <w:rsid w:val="6D594C53"/>
    <w:rsid w:val="6D614D11"/>
    <w:rsid w:val="6D65184A"/>
    <w:rsid w:val="6D6B4986"/>
    <w:rsid w:val="6D6F471B"/>
    <w:rsid w:val="6D7101EF"/>
    <w:rsid w:val="6D723F67"/>
    <w:rsid w:val="6D725D2F"/>
    <w:rsid w:val="6D763A57"/>
    <w:rsid w:val="6D7970CC"/>
    <w:rsid w:val="6D7A3CD7"/>
    <w:rsid w:val="6D7D4DE5"/>
    <w:rsid w:val="6D7E46BA"/>
    <w:rsid w:val="6D837F22"/>
    <w:rsid w:val="6D9263B7"/>
    <w:rsid w:val="6D991CDC"/>
    <w:rsid w:val="6D9B7C18"/>
    <w:rsid w:val="6D9F19E7"/>
    <w:rsid w:val="6DAC7479"/>
    <w:rsid w:val="6DAF51BB"/>
    <w:rsid w:val="6DB20259"/>
    <w:rsid w:val="6DB225B5"/>
    <w:rsid w:val="6DB4457F"/>
    <w:rsid w:val="6DBF1EBD"/>
    <w:rsid w:val="6DCA78FF"/>
    <w:rsid w:val="6DD30BBC"/>
    <w:rsid w:val="6DDD14CC"/>
    <w:rsid w:val="6DDF66EF"/>
    <w:rsid w:val="6DE06159"/>
    <w:rsid w:val="6DE125CA"/>
    <w:rsid w:val="6DEE5CE3"/>
    <w:rsid w:val="6DFA6436"/>
    <w:rsid w:val="6DFE19A0"/>
    <w:rsid w:val="6DFF3A4C"/>
    <w:rsid w:val="6E0077C5"/>
    <w:rsid w:val="6E027C29"/>
    <w:rsid w:val="6E04071C"/>
    <w:rsid w:val="6E0472B5"/>
    <w:rsid w:val="6E072901"/>
    <w:rsid w:val="6E0A419F"/>
    <w:rsid w:val="6E0A6B18"/>
    <w:rsid w:val="6E1312A6"/>
    <w:rsid w:val="6E1A0886"/>
    <w:rsid w:val="6E1D2124"/>
    <w:rsid w:val="6E1E29BA"/>
    <w:rsid w:val="6E2C0530"/>
    <w:rsid w:val="6E3000AA"/>
    <w:rsid w:val="6E392453"/>
    <w:rsid w:val="6E3A2CD6"/>
    <w:rsid w:val="6E3F5CED"/>
    <w:rsid w:val="6E414065"/>
    <w:rsid w:val="6E421057"/>
    <w:rsid w:val="6E443B55"/>
    <w:rsid w:val="6E492F1A"/>
    <w:rsid w:val="6E4A0A40"/>
    <w:rsid w:val="6E511DCE"/>
    <w:rsid w:val="6E58315D"/>
    <w:rsid w:val="6E647D53"/>
    <w:rsid w:val="6E6E2980"/>
    <w:rsid w:val="6E737441"/>
    <w:rsid w:val="6E762C95"/>
    <w:rsid w:val="6E7855AD"/>
    <w:rsid w:val="6E7A04BE"/>
    <w:rsid w:val="6E7D1677"/>
    <w:rsid w:val="6E964EF7"/>
    <w:rsid w:val="6E9666FC"/>
    <w:rsid w:val="6EA36ACE"/>
    <w:rsid w:val="6EA42846"/>
    <w:rsid w:val="6EAA1F10"/>
    <w:rsid w:val="6EBC193D"/>
    <w:rsid w:val="6ECD58F9"/>
    <w:rsid w:val="6ED24CBD"/>
    <w:rsid w:val="6EDB754C"/>
    <w:rsid w:val="6EDF387E"/>
    <w:rsid w:val="6EE44144"/>
    <w:rsid w:val="6EEA46FD"/>
    <w:rsid w:val="6EF26D3C"/>
    <w:rsid w:val="6EF354DC"/>
    <w:rsid w:val="6EFB71CA"/>
    <w:rsid w:val="6EFC1D3A"/>
    <w:rsid w:val="6F0D2199"/>
    <w:rsid w:val="6F103962"/>
    <w:rsid w:val="6F192507"/>
    <w:rsid w:val="6F193452"/>
    <w:rsid w:val="6F1E52ED"/>
    <w:rsid w:val="6F202742"/>
    <w:rsid w:val="6F245066"/>
    <w:rsid w:val="6F257EE0"/>
    <w:rsid w:val="6F2E62F2"/>
    <w:rsid w:val="6F300060"/>
    <w:rsid w:val="6F305E87"/>
    <w:rsid w:val="6F347726"/>
    <w:rsid w:val="6F380483"/>
    <w:rsid w:val="6F3A3986"/>
    <w:rsid w:val="6F413BF1"/>
    <w:rsid w:val="6F4436E1"/>
    <w:rsid w:val="6F4567ED"/>
    <w:rsid w:val="6F4638FD"/>
    <w:rsid w:val="6F4D4C8B"/>
    <w:rsid w:val="6F5E47A3"/>
    <w:rsid w:val="6F675D4D"/>
    <w:rsid w:val="6F6822D7"/>
    <w:rsid w:val="6F712728"/>
    <w:rsid w:val="6F715E6C"/>
    <w:rsid w:val="6F773AB6"/>
    <w:rsid w:val="6F7B5355"/>
    <w:rsid w:val="6F7F4719"/>
    <w:rsid w:val="6F8166E3"/>
    <w:rsid w:val="6F8D3411"/>
    <w:rsid w:val="6F8F0E00"/>
    <w:rsid w:val="6F9237B3"/>
    <w:rsid w:val="6F9778AF"/>
    <w:rsid w:val="6F984159"/>
    <w:rsid w:val="6FAD74D8"/>
    <w:rsid w:val="6FB60C7D"/>
    <w:rsid w:val="6FBD3BBF"/>
    <w:rsid w:val="6FBD596D"/>
    <w:rsid w:val="6FC420DD"/>
    <w:rsid w:val="6FC7059A"/>
    <w:rsid w:val="6FD74555"/>
    <w:rsid w:val="6FD902CD"/>
    <w:rsid w:val="6FDB5DF3"/>
    <w:rsid w:val="6FDE7D18"/>
    <w:rsid w:val="6FE0165C"/>
    <w:rsid w:val="6FE67A82"/>
    <w:rsid w:val="6FEF26AA"/>
    <w:rsid w:val="6FF90541"/>
    <w:rsid w:val="6FFC14C6"/>
    <w:rsid w:val="6FFD28CE"/>
    <w:rsid w:val="6FFD43BC"/>
    <w:rsid w:val="6FFE32A4"/>
    <w:rsid w:val="700730DA"/>
    <w:rsid w:val="70093528"/>
    <w:rsid w:val="7014496E"/>
    <w:rsid w:val="701E2184"/>
    <w:rsid w:val="702526C1"/>
    <w:rsid w:val="702754DC"/>
    <w:rsid w:val="702A6D7B"/>
    <w:rsid w:val="702E686B"/>
    <w:rsid w:val="70332540"/>
    <w:rsid w:val="703419A7"/>
    <w:rsid w:val="703F36AF"/>
    <w:rsid w:val="70406AFA"/>
    <w:rsid w:val="704476BC"/>
    <w:rsid w:val="70483008"/>
    <w:rsid w:val="704B4AC8"/>
    <w:rsid w:val="7055204A"/>
    <w:rsid w:val="70560F05"/>
    <w:rsid w:val="70626515"/>
    <w:rsid w:val="706C0880"/>
    <w:rsid w:val="707A1AB0"/>
    <w:rsid w:val="707D334E"/>
    <w:rsid w:val="707F0E75"/>
    <w:rsid w:val="7080699B"/>
    <w:rsid w:val="7082136E"/>
    <w:rsid w:val="708E3A71"/>
    <w:rsid w:val="708F6BDE"/>
    <w:rsid w:val="70950698"/>
    <w:rsid w:val="70967F6C"/>
    <w:rsid w:val="70980188"/>
    <w:rsid w:val="70985E6D"/>
    <w:rsid w:val="709B3561"/>
    <w:rsid w:val="709B5B4C"/>
    <w:rsid w:val="709C1A26"/>
    <w:rsid w:val="70A24B63"/>
    <w:rsid w:val="70A46B7E"/>
    <w:rsid w:val="70AC59E2"/>
    <w:rsid w:val="70AE175A"/>
    <w:rsid w:val="70BC3F2C"/>
    <w:rsid w:val="70BC5C25"/>
    <w:rsid w:val="70BD374B"/>
    <w:rsid w:val="70C1323B"/>
    <w:rsid w:val="70C42D2B"/>
    <w:rsid w:val="70D511A9"/>
    <w:rsid w:val="70D54A2C"/>
    <w:rsid w:val="70D72A5F"/>
    <w:rsid w:val="70E417C4"/>
    <w:rsid w:val="70E62CA2"/>
    <w:rsid w:val="70EC5DDE"/>
    <w:rsid w:val="70EE5345"/>
    <w:rsid w:val="70F76C5D"/>
    <w:rsid w:val="7100515F"/>
    <w:rsid w:val="710E3FA6"/>
    <w:rsid w:val="710F4C54"/>
    <w:rsid w:val="71124872"/>
    <w:rsid w:val="71153587"/>
    <w:rsid w:val="7118571A"/>
    <w:rsid w:val="71186BD3"/>
    <w:rsid w:val="711B771F"/>
    <w:rsid w:val="71333A0D"/>
    <w:rsid w:val="713E2ADE"/>
    <w:rsid w:val="71423D5C"/>
    <w:rsid w:val="71461992"/>
    <w:rsid w:val="7148570A"/>
    <w:rsid w:val="714B549F"/>
    <w:rsid w:val="7150636D"/>
    <w:rsid w:val="71526589"/>
    <w:rsid w:val="715916C6"/>
    <w:rsid w:val="715B2707"/>
    <w:rsid w:val="715E6F0F"/>
    <w:rsid w:val="715F700B"/>
    <w:rsid w:val="716952A0"/>
    <w:rsid w:val="717007BD"/>
    <w:rsid w:val="717209D9"/>
    <w:rsid w:val="71752277"/>
    <w:rsid w:val="71775FF0"/>
    <w:rsid w:val="717C5785"/>
    <w:rsid w:val="717F6C52"/>
    <w:rsid w:val="718129CA"/>
    <w:rsid w:val="71834994"/>
    <w:rsid w:val="71924BD7"/>
    <w:rsid w:val="719426FE"/>
    <w:rsid w:val="71955D64"/>
    <w:rsid w:val="71A072F4"/>
    <w:rsid w:val="71A10A3E"/>
    <w:rsid w:val="71A165C4"/>
    <w:rsid w:val="71A911D4"/>
    <w:rsid w:val="71AA0173"/>
    <w:rsid w:val="71BA5FA4"/>
    <w:rsid w:val="71BF6659"/>
    <w:rsid w:val="71C468B3"/>
    <w:rsid w:val="71CC633B"/>
    <w:rsid w:val="71DB657E"/>
    <w:rsid w:val="71DC5E53"/>
    <w:rsid w:val="71DD14ED"/>
    <w:rsid w:val="71E84124"/>
    <w:rsid w:val="71ED53F1"/>
    <w:rsid w:val="71EE76F7"/>
    <w:rsid w:val="71F15DA2"/>
    <w:rsid w:val="71F238C8"/>
    <w:rsid w:val="71F57420"/>
    <w:rsid w:val="71F80EDE"/>
    <w:rsid w:val="71F907B3"/>
    <w:rsid w:val="71FB0F8C"/>
    <w:rsid w:val="71FB7089"/>
    <w:rsid w:val="71FC6A0D"/>
    <w:rsid w:val="72017DB2"/>
    <w:rsid w:val="72084E9A"/>
    <w:rsid w:val="721750DD"/>
    <w:rsid w:val="721B4BCD"/>
    <w:rsid w:val="72225F5B"/>
    <w:rsid w:val="72287300"/>
    <w:rsid w:val="722B1E56"/>
    <w:rsid w:val="72331F17"/>
    <w:rsid w:val="72346E25"/>
    <w:rsid w:val="72367718"/>
    <w:rsid w:val="7238752D"/>
    <w:rsid w:val="723932A5"/>
    <w:rsid w:val="72492390"/>
    <w:rsid w:val="724C7A91"/>
    <w:rsid w:val="724F4877"/>
    <w:rsid w:val="72502024"/>
    <w:rsid w:val="72563E57"/>
    <w:rsid w:val="725D1936"/>
    <w:rsid w:val="72697041"/>
    <w:rsid w:val="726A3F29"/>
    <w:rsid w:val="726C5429"/>
    <w:rsid w:val="727E1A1D"/>
    <w:rsid w:val="72875EBF"/>
    <w:rsid w:val="72895FDA"/>
    <w:rsid w:val="7295118A"/>
    <w:rsid w:val="7295497F"/>
    <w:rsid w:val="72975F95"/>
    <w:rsid w:val="729A5612"/>
    <w:rsid w:val="72AC7A94"/>
    <w:rsid w:val="72B02147"/>
    <w:rsid w:val="72B03567"/>
    <w:rsid w:val="72B15531"/>
    <w:rsid w:val="72BF767E"/>
    <w:rsid w:val="72C07522"/>
    <w:rsid w:val="72C33F54"/>
    <w:rsid w:val="72C53D36"/>
    <w:rsid w:val="72C708B1"/>
    <w:rsid w:val="72C76B03"/>
    <w:rsid w:val="72C77465"/>
    <w:rsid w:val="72C83D89"/>
    <w:rsid w:val="72CE41F4"/>
    <w:rsid w:val="72D1706D"/>
    <w:rsid w:val="72D466F0"/>
    <w:rsid w:val="72D52FCE"/>
    <w:rsid w:val="72D60AF4"/>
    <w:rsid w:val="72D74F98"/>
    <w:rsid w:val="72E72D01"/>
    <w:rsid w:val="72F43FC1"/>
    <w:rsid w:val="72F71196"/>
    <w:rsid w:val="73045661"/>
    <w:rsid w:val="7306587D"/>
    <w:rsid w:val="730C2768"/>
    <w:rsid w:val="731F249B"/>
    <w:rsid w:val="73225716"/>
    <w:rsid w:val="732B52E4"/>
    <w:rsid w:val="732B5D6D"/>
    <w:rsid w:val="732E23F9"/>
    <w:rsid w:val="73357F10"/>
    <w:rsid w:val="7338355D"/>
    <w:rsid w:val="73412883"/>
    <w:rsid w:val="7343262D"/>
    <w:rsid w:val="734437F0"/>
    <w:rsid w:val="734819F2"/>
    <w:rsid w:val="734A4F39"/>
    <w:rsid w:val="734C0DB6"/>
    <w:rsid w:val="734D416D"/>
    <w:rsid w:val="734D44BC"/>
    <w:rsid w:val="7358775B"/>
    <w:rsid w:val="73634A7D"/>
    <w:rsid w:val="73663A61"/>
    <w:rsid w:val="736A5CEA"/>
    <w:rsid w:val="73836ECE"/>
    <w:rsid w:val="738B271B"/>
    <w:rsid w:val="738B5BA8"/>
    <w:rsid w:val="738D1AFA"/>
    <w:rsid w:val="73972979"/>
    <w:rsid w:val="73974230"/>
    <w:rsid w:val="739B7164"/>
    <w:rsid w:val="739F4EC0"/>
    <w:rsid w:val="73A34E7A"/>
    <w:rsid w:val="73A62BBC"/>
    <w:rsid w:val="73A744CA"/>
    <w:rsid w:val="73AB4AB5"/>
    <w:rsid w:val="73B37E7A"/>
    <w:rsid w:val="73B70925"/>
    <w:rsid w:val="73BB0416"/>
    <w:rsid w:val="73BC418E"/>
    <w:rsid w:val="73BD53D5"/>
    <w:rsid w:val="73C60B68"/>
    <w:rsid w:val="73DA4614"/>
    <w:rsid w:val="73E0372B"/>
    <w:rsid w:val="73E35EF0"/>
    <w:rsid w:val="73E43920"/>
    <w:rsid w:val="73EA5FB3"/>
    <w:rsid w:val="73EC4A73"/>
    <w:rsid w:val="73EF4563"/>
    <w:rsid w:val="73F47281"/>
    <w:rsid w:val="73F531FC"/>
    <w:rsid w:val="73F76CA2"/>
    <w:rsid w:val="73FC458A"/>
    <w:rsid w:val="741625F4"/>
    <w:rsid w:val="741E015E"/>
    <w:rsid w:val="741E09A4"/>
    <w:rsid w:val="74235FBB"/>
    <w:rsid w:val="742835D1"/>
    <w:rsid w:val="742B70B7"/>
    <w:rsid w:val="742D385E"/>
    <w:rsid w:val="7431035B"/>
    <w:rsid w:val="74387CB8"/>
    <w:rsid w:val="7439183B"/>
    <w:rsid w:val="743957DE"/>
    <w:rsid w:val="743B4721"/>
    <w:rsid w:val="7440091B"/>
    <w:rsid w:val="7440147F"/>
    <w:rsid w:val="74404A49"/>
    <w:rsid w:val="744523D5"/>
    <w:rsid w:val="74452F75"/>
    <w:rsid w:val="744A1799"/>
    <w:rsid w:val="744C3764"/>
    <w:rsid w:val="7452064E"/>
    <w:rsid w:val="74546174"/>
    <w:rsid w:val="74566390"/>
    <w:rsid w:val="745B39A7"/>
    <w:rsid w:val="745B5755"/>
    <w:rsid w:val="74650381"/>
    <w:rsid w:val="74746816"/>
    <w:rsid w:val="74786307"/>
    <w:rsid w:val="747C4521"/>
    <w:rsid w:val="747C7F94"/>
    <w:rsid w:val="747D391D"/>
    <w:rsid w:val="748773BC"/>
    <w:rsid w:val="748C1DB2"/>
    <w:rsid w:val="7496678D"/>
    <w:rsid w:val="74A23383"/>
    <w:rsid w:val="74A25BF9"/>
    <w:rsid w:val="74AD3D78"/>
    <w:rsid w:val="74B0470F"/>
    <w:rsid w:val="74B64665"/>
    <w:rsid w:val="74BB4445"/>
    <w:rsid w:val="74CE23CA"/>
    <w:rsid w:val="74D02BDC"/>
    <w:rsid w:val="74D06143"/>
    <w:rsid w:val="74DD43BC"/>
    <w:rsid w:val="74DF4D01"/>
    <w:rsid w:val="74E05C5A"/>
    <w:rsid w:val="74EA0887"/>
    <w:rsid w:val="74F00593"/>
    <w:rsid w:val="74FE7ABF"/>
    <w:rsid w:val="75134281"/>
    <w:rsid w:val="751F40B7"/>
    <w:rsid w:val="75241FEA"/>
    <w:rsid w:val="75257FEC"/>
    <w:rsid w:val="75287D2D"/>
    <w:rsid w:val="752A2448"/>
    <w:rsid w:val="75436915"/>
    <w:rsid w:val="75497CA3"/>
    <w:rsid w:val="754B3815"/>
    <w:rsid w:val="754E52B9"/>
    <w:rsid w:val="755034E4"/>
    <w:rsid w:val="755A5A0C"/>
    <w:rsid w:val="755F1275"/>
    <w:rsid w:val="75681F2D"/>
    <w:rsid w:val="757C1E26"/>
    <w:rsid w:val="759233F8"/>
    <w:rsid w:val="759365F4"/>
    <w:rsid w:val="759D3840"/>
    <w:rsid w:val="75AE55B5"/>
    <w:rsid w:val="75AF3FAA"/>
    <w:rsid w:val="75C04493"/>
    <w:rsid w:val="75C335B1"/>
    <w:rsid w:val="75D457BF"/>
    <w:rsid w:val="75D752AF"/>
    <w:rsid w:val="75D812E7"/>
    <w:rsid w:val="75D92DD5"/>
    <w:rsid w:val="75D94B83"/>
    <w:rsid w:val="75D97DFB"/>
    <w:rsid w:val="75DB4D9F"/>
    <w:rsid w:val="75E17122"/>
    <w:rsid w:val="75E523C5"/>
    <w:rsid w:val="75E87778"/>
    <w:rsid w:val="75EA7003"/>
    <w:rsid w:val="75EB48B6"/>
    <w:rsid w:val="75F95225"/>
    <w:rsid w:val="75FB0F9D"/>
    <w:rsid w:val="75FC4D15"/>
    <w:rsid w:val="75FE288E"/>
    <w:rsid w:val="760065B4"/>
    <w:rsid w:val="760F54B8"/>
    <w:rsid w:val="76126817"/>
    <w:rsid w:val="761738FD"/>
    <w:rsid w:val="76206C56"/>
    <w:rsid w:val="76286AE8"/>
    <w:rsid w:val="76341C9A"/>
    <w:rsid w:val="76373F9F"/>
    <w:rsid w:val="76397D18"/>
    <w:rsid w:val="764E34A4"/>
    <w:rsid w:val="76521EAA"/>
    <w:rsid w:val="76595CC4"/>
    <w:rsid w:val="765C6A8D"/>
    <w:rsid w:val="7665694D"/>
    <w:rsid w:val="76673004"/>
    <w:rsid w:val="766744F7"/>
    <w:rsid w:val="766D79C1"/>
    <w:rsid w:val="766E4B75"/>
    <w:rsid w:val="766F7295"/>
    <w:rsid w:val="76767E7A"/>
    <w:rsid w:val="76780840"/>
    <w:rsid w:val="76792E50"/>
    <w:rsid w:val="767C19B2"/>
    <w:rsid w:val="767C6572"/>
    <w:rsid w:val="767E2D20"/>
    <w:rsid w:val="76872831"/>
    <w:rsid w:val="769079C5"/>
    <w:rsid w:val="769D232A"/>
    <w:rsid w:val="769F401E"/>
    <w:rsid w:val="76A038F3"/>
    <w:rsid w:val="76A71125"/>
    <w:rsid w:val="76A828B9"/>
    <w:rsid w:val="76B210ED"/>
    <w:rsid w:val="76BE24CC"/>
    <w:rsid w:val="76BF71E2"/>
    <w:rsid w:val="76C07AF1"/>
    <w:rsid w:val="76C1641A"/>
    <w:rsid w:val="76C34356"/>
    <w:rsid w:val="76CE0460"/>
    <w:rsid w:val="76D10E1C"/>
    <w:rsid w:val="76E71522"/>
    <w:rsid w:val="76EB4873"/>
    <w:rsid w:val="76EC4D8A"/>
    <w:rsid w:val="76EC6B38"/>
    <w:rsid w:val="76F37914"/>
    <w:rsid w:val="76F70153"/>
    <w:rsid w:val="76FA1255"/>
    <w:rsid w:val="77034EF2"/>
    <w:rsid w:val="770E2F52"/>
    <w:rsid w:val="770E4D00"/>
    <w:rsid w:val="771D13E7"/>
    <w:rsid w:val="771F0CBB"/>
    <w:rsid w:val="772E53A2"/>
    <w:rsid w:val="77302EC9"/>
    <w:rsid w:val="773679F5"/>
    <w:rsid w:val="773D7394"/>
    <w:rsid w:val="773F310C"/>
    <w:rsid w:val="77442AF2"/>
    <w:rsid w:val="77444BC6"/>
    <w:rsid w:val="774626EC"/>
    <w:rsid w:val="7746449A"/>
    <w:rsid w:val="774A385E"/>
    <w:rsid w:val="775A6197"/>
    <w:rsid w:val="775A7F45"/>
    <w:rsid w:val="776B1569"/>
    <w:rsid w:val="77844FC2"/>
    <w:rsid w:val="778E33FA"/>
    <w:rsid w:val="778E4093"/>
    <w:rsid w:val="77962C0F"/>
    <w:rsid w:val="77A82B65"/>
    <w:rsid w:val="77AB07A1"/>
    <w:rsid w:val="77B36FEF"/>
    <w:rsid w:val="77B51620"/>
    <w:rsid w:val="77C33D3D"/>
    <w:rsid w:val="77C45617"/>
    <w:rsid w:val="77C51D8C"/>
    <w:rsid w:val="77D106E9"/>
    <w:rsid w:val="77D24925"/>
    <w:rsid w:val="77D8156F"/>
    <w:rsid w:val="77E3513E"/>
    <w:rsid w:val="77F008AA"/>
    <w:rsid w:val="77F54AD9"/>
    <w:rsid w:val="77F94DCB"/>
    <w:rsid w:val="78045B8D"/>
    <w:rsid w:val="780F4AD8"/>
    <w:rsid w:val="780F6F82"/>
    <w:rsid w:val="78146346"/>
    <w:rsid w:val="781A76D5"/>
    <w:rsid w:val="7821177A"/>
    <w:rsid w:val="782B718A"/>
    <w:rsid w:val="78333CCE"/>
    <w:rsid w:val="783E1A56"/>
    <w:rsid w:val="783F0B6E"/>
    <w:rsid w:val="78484564"/>
    <w:rsid w:val="786C7F30"/>
    <w:rsid w:val="786D349E"/>
    <w:rsid w:val="786D4702"/>
    <w:rsid w:val="786F24EB"/>
    <w:rsid w:val="7872306D"/>
    <w:rsid w:val="78727E6D"/>
    <w:rsid w:val="78755EE0"/>
    <w:rsid w:val="787C365F"/>
    <w:rsid w:val="787D038F"/>
    <w:rsid w:val="7882338A"/>
    <w:rsid w:val="7883171E"/>
    <w:rsid w:val="788C2381"/>
    <w:rsid w:val="78905FDD"/>
    <w:rsid w:val="78925C5D"/>
    <w:rsid w:val="789314F6"/>
    <w:rsid w:val="78941235"/>
    <w:rsid w:val="789A0AEB"/>
    <w:rsid w:val="789F2118"/>
    <w:rsid w:val="78A1657E"/>
    <w:rsid w:val="78A376CA"/>
    <w:rsid w:val="78B10039"/>
    <w:rsid w:val="78BC253A"/>
    <w:rsid w:val="78BE5827"/>
    <w:rsid w:val="78C00D2A"/>
    <w:rsid w:val="78C37D6C"/>
    <w:rsid w:val="78CB12BA"/>
    <w:rsid w:val="78D2453A"/>
    <w:rsid w:val="78EA70A7"/>
    <w:rsid w:val="78EC72C3"/>
    <w:rsid w:val="78F92189"/>
    <w:rsid w:val="79003D12"/>
    <w:rsid w:val="79022643"/>
    <w:rsid w:val="790B4245"/>
    <w:rsid w:val="791365FE"/>
    <w:rsid w:val="791505C8"/>
    <w:rsid w:val="791A26BE"/>
    <w:rsid w:val="791A75C1"/>
    <w:rsid w:val="791B1956"/>
    <w:rsid w:val="7924508A"/>
    <w:rsid w:val="79256331"/>
    <w:rsid w:val="792A3948"/>
    <w:rsid w:val="793842B6"/>
    <w:rsid w:val="793F382A"/>
    <w:rsid w:val="794E780F"/>
    <w:rsid w:val="79586707"/>
    <w:rsid w:val="795A422D"/>
    <w:rsid w:val="795B1D53"/>
    <w:rsid w:val="795C61F7"/>
    <w:rsid w:val="795D1F6F"/>
    <w:rsid w:val="796450AB"/>
    <w:rsid w:val="7965335C"/>
    <w:rsid w:val="79660E24"/>
    <w:rsid w:val="79663AB4"/>
    <w:rsid w:val="797177C8"/>
    <w:rsid w:val="79733540"/>
    <w:rsid w:val="797572B9"/>
    <w:rsid w:val="79782905"/>
    <w:rsid w:val="797F5D9C"/>
    <w:rsid w:val="798B6FB4"/>
    <w:rsid w:val="798C03A0"/>
    <w:rsid w:val="798E2CF2"/>
    <w:rsid w:val="799F6815"/>
    <w:rsid w:val="79A47B9E"/>
    <w:rsid w:val="79AF70ED"/>
    <w:rsid w:val="79B002F1"/>
    <w:rsid w:val="79B0209F"/>
    <w:rsid w:val="79B80F53"/>
    <w:rsid w:val="79BC7CE2"/>
    <w:rsid w:val="79BD47BC"/>
    <w:rsid w:val="79D00993"/>
    <w:rsid w:val="79D319C8"/>
    <w:rsid w:val="79D93F74"/>
    <w:rsid w:val="79DC2E94"/>
    <w:rsid w:val="79DE4E5E"/>
    <w:rsid w:val="79E45E1F"/>
    <w:rsid w:val="79E61F64"/>
    <w:rsid w:val="79E7658E"/>
    <w:rsid w:val="79FC3536"/>
    <w:rsid w:val="79FC7092"/>
    <w:rsid w:val="79FD047C"/>
    <w:rsid w:val="79FE105C"/>
    <w:rsid w:val="79FE1DE7"/>
    <w:rsid w:val="79FE3F6F"/>
    <w:rsid w:val="7A04063C"/>
    <w:rsid w:val="7A052DF2"/>
    <w:rsid w:val="7A057D3D"/>
    <w:rsid w:val="7A150154"/>
    <w:rsid w:val="7A15284A"/>
    <w:rsid w:val="7A1A1C0E"/>
    <w:rsid w:val="7A222079"/>
    <w:rsid w:val="7A290C7B"/>
    <w:rsid w:val="7A291E51"/>
    <w:rsid w:val="7A2F0694"/>
    <w:rsid w:val="7A2F56B9"/>
    <w:rsid w:val="7A311E86"/>
    <w:rsid w:val="7A3507F6"/>
    <w:rsid w:val="7A356A48"/>
    <w:rsid w:val="7A517C9C"/>
    <w:rsid w:val="7A5501E4"/>
    <w:rsid w:val="7A5A025C"/>
    <w:rsid w:val="7A5C074B"/>
    <w:rsid w:val="7A5C2227"/>
    <w:rsid w:val="7A5C5D83"/>
    <w:rsid w:val="7A6313D7"/>
    <w:rsid w:val="7A6335B5"/>
    <w:rsid w:val="7A687DE1"/>
    <w:rsid w:val="7A6C6196"/>
    <w:rsid w:val="7A7632E8"/>
    <w:rsid w:val="7A795A34"/>
    <w:rsid w:val="7A796935"/>
    <w:rsid w:val="7A7B08FF"/>
    <w:rsid w:val="7A8A28F0"/>
    <w:rsid w:val="7A8D0632"/>
    <w:rsid w:val="7A911ED0"/>
    <w:rsid w:val="7AA21858"/>
    <w:rsid w:val="7AA339B1"/>
    <w:rsid w:val="7AA37E55"/>
    <w:rsid w:val="7AAA2F92"/>
    <w:rsid w:val="7AAF05A8"/>
    <w:rsid w:val="7AB5273E"/>
    <w:rsid w:val="7ABB6F4D"/>
    <w:rsid w:val="7ABD0F17"/>
    <w:rsid w:val="7AC1208A"/>
    <w:rsid w:val="7AC76879"/>
    <w:rsid w:val="7AC810FF"/>
    <w:rsid w:val="7AD16013"/>
    <w:rsid w:val="7AD24297"/>
    <w:rsid w:val="7AD324E9"/>
    <w:rsid w:val="7AD45DCD"/>
    <w:rsid w:val="7ADB314B"/>
    <w:rsid w:val="7ADE49EA"/>
    <w:rsid w:val="7AE3143E"/>
    <w:rsid w:val="7AE85868"/>
    <w:rsid w:val="7AF741CD"/>
    <w:rsid w:val="7AF97A75"/>
    <w:rsid w:val="7AFB4DD2"/>
    <w:rsid w:val="7AFE5CF3"/>
    <w:rsid w:val="7B002BB2"/>
    <w:rsid w:val="7B092BA5"/>
    <w:rsid w:val="7B0A1C83"/>
    <w:rsid w:val="7B0B1050"/>
    <w:rsid w:val="7B114DBF"/>
    <w:rsid w:val="7B1228E5"/>
    <w:rsid w:val="7B1342F4"/>
    <w:rsid w:val="7B1511FF"/>
    <w:rsid w:val="7B191EC6"/>
    <w:rsid w:val="7B220D7A"/>
    <w:rsid w:val="7B25086A"/>
    <w:rsid w:val="7B2A209D"/>
    <w:rsid w:val="7B310FBD"/>
    <w:rsid w:val="7B332F87"/>
    <w:rsid w:val="7B375010"/>
    <w:rsid w:val="7B445194"/>
    <w:rsid w:val="7B446F42"/>
    <w:rsid w:val="7B452B66"/>
    <w:rsid w:val="7B4E6013"/>
    <w:rsid w:val="7B51340D"/>
    <w:rsid w:val="7B5E2383"/>
    <w:rsid w:val="7B5F16CA"/>
    <w:rsid w:val="7B64058B"/>
    <w:rsid w:val="7B672C31"/>
    <w:rsid w:val="7B735F86"/>
    <w:rsid w:val="7B756C9A"/>
    <w:rsid w:val="7B787C1E"/>
    <w:rsid w:val="7B7A2964"/>
    <w:rsid w:val="7B7A6E08"/>
    <w:rsid w:val="7B7D4202"/>
    <w:rsid w:val="7B845591"/>
    <w:rsid w:val="7B882437"/>
    <w:rsid w:val="7B8F3F36"/>
    <w:rsid w:val="7B963516"/>
    <w:rsid w:val="7B985F89"/>
    <w:rsid w:val="7BA2711A"/>
    <w:rsid w:val="7BA40B2C"/>
    <w:rsid w:val="7BA9149B"/>
    <w:rsid w:val="7BAC4AE8"/>
    <w:rsid w:val="7BAD109B"/>
    <w:rsid w:val="7BB10350"/>
    <w:rsid w:val="7BB26AFF"/>
    <w:rsid w:val="7BB31275"/>
    <w:rsid w:val="7BBA7205"/>
    <w:rsid w:val="7BBE30F0"/>
    <w:rsid w:val="7BC13F18"/>
    <w:rsid w:val="7BC167E5"/>
    <w:rsid w:val="7BC22AEF"/>
    <w:rsid w:val="7BC54DE4"/>
    <w:rsid w:val="7BC81EC5"/>
    <w:rsid w:val="7BCE2CB0"/>
    <w:rsid w:val="7BD227A0"/>
    <w:rsid w:val="7BD92135"/>
    <w:rsid w:val="7BDA3403"/>
    <w:rsid w:val="7BDD1145"/>
    <w:rsid w:val="7BDD31C6"/>
    <w:rsid w:val="7BDF4AC5"/>
    <w:rsid w:val="7BF070CA"/>
    <w:rsid w:val="7BF47568"/>
    <w:rsid w:val="7BF91471"/>
    <w:rsid w:val="7C0424AA"/>
    <w:rsid w:val="7C0D37D8"/>
    <w:rsid w:val="7C1508DF"/>
    <w:rsid w:val="7C1E3C37"/>
    <w:rsid w:val="7C1F52BA"/>
    <w:rsid w:val="7C266648"/>
    <w:rsid w:val="7C2E374F"/>
    <w:rsid w:val="7C3B0FE1"/>
    <w:rsid w:val="7C3F2B88"/>
    <w:rsid w:val="7C4349F2"/>
    <w:rsid w:val="7C442F72"/>
    <w:rsid w:val="7C466CEA"/>
    <w:rsid w:val="7C4A0DEC"/>
    <w:rsid w:val="7C4B4301"/>
    <w:rsid w:val="7C572CA5"/>
    <w:rsid w:val="7C594F25"/>
    <w:rsid w:val="7C5D3714"/>
    <w:rsid w:val="7C613B24"/>
    <w:rsid w:val="7C694787"/>
    <w:rsid w:val="7C6A62AD"/>
    <w:rsid w:val="7C7F3FAA"/>
    <w:rsid w:val="7C8313D5"/>
    <w:rsid w:val="7C8428AC"/>
    <w:rsid w:val="7C8B0BA1"/>
    <w:rsid w:val="7C8F0A6B"/>
    <w:rsid w:val="7CA27D92"/>
    <w:rsid w:val="7CA81753"/>
    <w:rsid w:val="7CB400F8"/>
    <w:rsid w:val="7CB4634A"/>
    <w:rsid w:val="7CB62D95"/>
    <w:rsid w:val="7CBC51FE"/>
    <w:rsid w:val="7CC04CEF"/>
    <w:rsid w:val="7CC059B7"/>
    <w:rsid w:val="7CC110A5"/>
    <w:rsid w:val="7CC21B89"/>
    <w:rsid w:val="7CC26AE2"/>
    <w:rsid w:val="7CCA0482"/>
    <w:rsid w:val="7CD152BF"/>
    <w:rsid w:val="7CD16F56"/>
    <w:rsid w:val="7CD43716"/>
    <w:rsid w:val="7CDC31AB"/>
    <w:rsid w:val="7CE02C9B"/>
    <w:rsid w:val="7CE04A0D"/>
    <w:rsid w:val="7CE34539"/>
    <w:rsid w:val="7CE56503"/>
    <w:rsid w:val="7CE9102C"/>
    <w:rsid w:val="7CEF5B66"/>
    <w:rsid w:val="7D02010E"/>
    <w:rsid w:val="7D084EB2"/>
    <w:rsid w:val="7D0C3A90"/>
    <w:rsid w:val="7D185A89"/>
    <w:rsid w:val="7D254B52"/>
    <w:rsid w:val="7D2708CA"/>
    <w:rsid w:val="7D291B42"/>
    <w:rsid w:val="7D2D0569"/>
    <w:rsid w:val="7D2E0E1C"/>
    <w:rsid w:val="7D3678E8"/>
    <w:rsid w:val="7D376081"/>
    <w:rsid w:val="7D3C472D"/>
    <w:rsid w:val="7D3D00ED"/>
    <w:rsid w:val="7D407BDD"/>
    <w:rsid w:val="7D4D68A0"/>
    <w:rsid w:val="7D4F1BCF"/>
    <w:rsid w:val="7D5052A6"/>
    <w:rsid w:val="7D5B4755"/>
    <w:rsid w:val="7D603DDC"/>
    <w:rsid w:val="7D691B19"/>
    <w:rsid w:val="7D7508E1"/>
    <w:rsid w:val="7D7B60EA"/>
    <w:rsid w:val="7D7C4C97"/>
    <w:rsid w:val="7D7D2BE0"/>
    <w:rsid w:val="7D8627C9"/>
    <w:rsid w:val="7D875780"/>
    <w:rsid w:val="7D8A3892"/>
    <w:rsid w:val="7D8B1E81"/>
    <w:rsid w:val="7D8B6384"/>
    <w:rsid w:val="7D910B27"/>
    <w:rsid w:val="7D913F95"/>
    <w:rsid w:val="7D9677FD"/>
    <w:rsid w:val="7D9706F9"/>
    <w:rsid w:val="7D99109C"/>
    <w:rsid w:val="7DA243F4"/>
    <w:rsid w:val="7DA874B0"/>
    <w:rsid w:val="7DA87B9F"/>
    <w:rsid w:val="7DAA5057"/>
    <w:rsid w:val="7DB008BF"/>
    <w:rsid w:val="7DB1018B"/>
    <w:rsid w:val="7DB163E5"/>
    <w:rsid w:val="7DB67FED"/>
    <w:rsid w:val="7DBF4FA6"/>
    <w:rsid w:val="7DC3365B"/>
    <w:rsid w:val="7DC50D77"/>
    <w:rsid w:val="7DC720AD"/>
    <w:rsid w:val="7DC832D7"/>
    <w:rsid w:val="7DCB394B"/>
    <w:rsid w:val="7DD1626D"/>
    <w:rsid w:val="7DD24CD9"/>
    <w:rsid w:val="7DD65E4C"/>
    <w:rsid w:val="7DD80742"/>
    <w:rsid w:val="7DD83365"/>
    <w:rsid w:val="7DDC0553"/>
    <w:rsid w:val="7DE71E07"/>
    <w:rsid w:val="7DEA2E41"/>
    <w:rsid w:val="7DED1B13"/>
    <w:rsid w:val="7DFA5FDE"/>
    <w:rsid w:val="7DFB036F"/>
    <w:rsid w:val="7E0473AC"/>
    <w:rsid w:val="7E065CCE"/>
    <w:rsid w:val="7E0724A9"/>
    <w:rsid w:val="7E083984"/>
    <w:rsid w:val="7E1E7F1F"/>
    <w:rsid w:val="7E221091"/>
    <w:rsid w:val="7E282B4B"/>
    <w:rsid w:val="7E290672"/>
    <w:rsid w:val="7E2C3CBE"/>
    <w:rsid w:val="7E3450CD"/>
    <w:rsid w:val="7E37429F"/>
    <w:rsid w:val="7E4454AB"/>
    <w:rsid w:val="7E5212BA"/>
    <w:rsid w:val="7E553215"/>
    <w:rsid w:val="7E564552"/>
    <w:rsid w:val="7E5B4637"/>
    <w:rsid w:val="7E5E47BF"/>
    <w:rsid w:val="7E633B84"/>
    <w:rsid w:val="7E650B0B"/>
    <w:rsid w:val="7E655B4E"/>
    <w:rsid w:val="7E6D055E"/>
    <w:rsid w:val="7E754DAA"/>
    <w:rsid w:val="7E773953"/>
    <w:rsid w:val="7E774C59"/>
    <w:rsid w:val="7E837D82"/>
    <w:rsid w:val="7E8835EA"/>
    <w:rsid w:val="7E8A314D"/>
    <w:rsid w:val="7E8B1BA5"/>
    <w:rsid w:val="7E941F8F"/>
    <w:rsid w:val="7E9520BA"/>
    <w:rsid w:val="7E991353"/>
    <w:rsid w:val="7E9B7F59"/>
    <w:rsid w:val="7EA30424"/>
    <w:rsid w:val="7EA5419C"/>
    <w:rsid w:val="7EAF0B77"/>
    <w:rsid w:val="7EC16401"/>
    <w:rsid w:val="7ECB1729"/>
    <w:rsid w:val="7ED21BEA"/>
    <w:rsid w:val="7ED4682F"/>
    <w:rsid w:val="7ED92098"/>
    <w:rsid w:val="7EE01C13"/>
    <w:rsid w:val="7EE34CC4"/>
    <w:rsid w:val="7EF417C8"/>
    <w:rsid w:val="7EF42A2E"/>
    <w:rsid w:val="7EF511DA"/>
    <w:rsid w:val="7EFB0260"/>
    <w:rsid w:val="7EFE1AFE"/>
    <w:rsid w:val="7F080287"/>
    <w:rsid w:val="7F0A3FFF"/>
    <w:rsid w:val="7F0B337E"/>
    <w:rsid w:val="7F0C0DFF"/>
    <w:rsid w:val="7F0C6F2A"/>
    <w:rsid w:val="7F0E29B0"/>
    <w:rsid w:val="7F141322"/>
    <w:rsid w:val="7F183EFE"/>
    <w:rsid w:val="7F1B7FBA"/>
    <w:rsid w:val="7F1C4CD8"/>
    <w:rsid w:val="7F3177DE"/>
    <w:rsid w:val="7F360E40"/>
    <w:rsid w:val="7F392B36"/>
    <w:rsid w:val="7F3F5ED1"/>
    <w:rsid w:val="7F4F5EB6"/>
    <w:rsid w:val="7F571433"/>
    <w:rsid w:val="7F574F68"/>
    <w:rsid w:val="7F613B84"/>
    <w:rsid w:val="7F6C4CBA"/>
    <w:rsid w:val="7F6E0A32"/>
    <w:rsid w:val="7F6E5EE9"/>
    <w:rsid w:val="7F6F6558"/>
    <w:rsid w:val="7F71407E"/>
    <w:rsid w:val="7F741DC0"/>
    <w:rsid w:val="7F7C64E2"/>
    <w:rsid w:val="7F7E679B"/>
    <w:rsid w:val="7F8042C1"/>
    <w:rsid w:val="7F842003"/>
    <w:rsid w:val="7F874E1F"/>
    <w:rsid w:val="7F8813C8"/>
    <w:rsid w:val="7F8A5140"/>
    <w:rsid w:val="7F934B69"/>
    <w:rsid w:val="7F945FBF"/>
    <w:rsid w:val="7F966D8C"/>
    <w:rsid w:val="7F9D74BB"/>
    <w:rsid w:val="7F9E2999"/>
    <w:rsid w:val="7FA731FC"/>
    <w:rsid w:val="7FA73F44"/>
    <w:rsid w:val="7FA84887"/>
    <w:rsid w:val="7FAE52D2"/>
    <w:rsid w:val="7FB36445"/>
    <w:rsid w:val="7FBD5515"/>
    <w:rsid w:val="7FC65CAF"/>
    <w:rsid w:val="7FC70142"/>
    <w:rsid w:val="7FCC39AA"/>
    <w:rsid w:val="7FCD66C5"/>
    <w:rsid w:val="7FCE0603"/>
    <w:rsid w:val="7FDB6CE6"/>
    <w:rsid w:val="7FE036CB"/>
    <w:rsid w:val="7FEC1957"/>
    <w:rsid w:val="7FF54CAF"/>
    <w:rsid w:val="7FF60372"/>
    <w:rsid w:val="7FF802FC"/>
    <w:rsid w:val="7FF91E9E"/>
    <w:rsid w:val="7FFC0707"/>
    <w:rsid w:val="7FFC120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qFormat="1" w:unhideWhenUsed="0" w:uiPriority="39" w:semiHidden="0" w:name="toc 8"/>
    <w:lsdException w:unhideWhenUsed="0" w:uiPriority="0" w:semiHidden="0" w:name="toc 9"/>
    <w:lsdException w:qFormat="1"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numPr>
        <w:ilvl w:val="0"/>
        <w:numId w:val="1"/>
      </w:numPr>
      <w:spacing w:line="360" w:lineRule="auto"/>
      <w:ind w:left="0" w:firstLine="643" w:firstLineChars="200"/>
      <w:jc w:val="left"/>
      <w:outlineLvl w:val="3"/>
    </w:pPr>
    <w:rPr>
      <w:rFonts w:hint="eastAsia" w:ascii="Times New Roman" w:hAnsi="Times New Roman" w:eastAsia="仿宋_GB2312" w:cs="仿宋_GB2312"/>
      <w:kern w:val="0"/>
      <w:szCs w:val="32"/>
      <w:lang w:bidi="ar"/>
    </w:rPr>
  </w:style>
  <w:style w:type="character" w:default="1" w:styleId="15">
    <w:name w:val="Default Paragraph Font"/>
    <w:semiHidden/>
    <w:qFormat/>
    <w:uiPriority w:val="0"/>
  </w:style>
  <w:style w:type="table" w:default="1" w:styleId="19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qFormat/>
    <w:uiPriority w:val="0"/>
    <w:pPr>
      <w:tabs>
        <w:tab w:val="left" w:pos="312"/>
      </w:tabs>
      <w:spacing w:line="560" w:lineRule="exact"/>
      <w:ind w:firstLine="420" w:firstLineChars="200"/>
    </w:pPr>
    <w:rPr>
      <w:rFonts w:ascii="仿宋_GB2312" w:hAnsi="仿宋_GB2312" w:eastAsia="仿宋_GB2312"/>
      <w:sz w:val="32"/>
    </w:rPr>
  </w:style>
  <w:style w:type="paragraph" w:styleId="6">
    <w:name w:val="Body Text"/>
    <w:basedOn w:val="1"/>
    <w:next w:val="1"/>
    <w:qFormat/>
    <w:uiPriority w:val="1"/>
    <w:pPr>
      <w:autoSpaceDE w:val="0"/>
      <w:autoSpaceDN w:val="0"/>
      <w:ind w:left="120"/>
      <w:jc w:val="left"/>
    </w:pPr>
    <w:rPr>
      <w:rFonts w:ascii="宋体" w:hAnsi="宋体" w:eastAsia="宋体" w:cs="宋体"/>
      <w:kern w:val="0"/>
      <w:szCs w:val="32"/>
      <w:lang w:val="zh-CN" w:bidi="zh-CN"/>
    </w:rPr>
  </w:style>
  <w:style w:type="paragraph" w:styleId="7">
    <w:name w:val="toc 3"/>
    <w:basedOn w:val="1"/>
    <w:next w:val="1"/>
    <w:unhideWhenUsed/>
    <w:qFormat/>
    <w:uiPriority w:val="39"/>
    <w:pPr>
      <w:ind w:left="640"/>
      <w:jc w:val="left"/>
    </w:pPr>
    <w:rPr>
      <w:rFonts w:eastAsia="Calibri"/>
      <w:sz w:val="22"/>
      <w:szCs w:val="22"/>
    </w:rPr>
  </w:style>
  <w:style w:type="paragraph" w:styleId="8">
    <w:name w:val="Plain Text"/>
    <w:basedOn w:val="1"/>
    <w:next w:val="1"/>
    <w:qFormat/>
    <w:uiPriority w:val="0"/>
    <w:rPr>
      <w:rFonts w:ascii="宋体" w:hAnsi="Courier New"/>
    </w:r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1">
    <w:name w:val="toc 1"/>
    <w:basedOn w:val="1"/>
    <w:next w:val="1"/>
    <w:qFormat/>
    <w:uiPriority w:val="0"/>
  </w:style>
  <w:style w:type="paragraph" w:styleId="12">
    <w:name w:val="footnote text"/>
    <w:basedOn w:val="1"/>
    <w:qFormat/>
    <w:uiPriority w:val="0"/>
    <w:pPr>
      <w:snapToGrid w:val="0"/>
      <w:jc w:val="left"/>
    </w:pPr>
    <w:rPr>
      <w:sz w:val="18"/>
    </w:rPr>
  </w:style>
  <w:style w:type="paragraph" w:styleId="13">
    <w:name w:val="toc 2"/>
    <w:basedOn w:val="1"/>
    <w:next w:val="1"/>
    <w:qFormat/>
    <w:uiPriority w:val="0"/>
    <w:pPr>
      <w:ind w:left="420" w:leftChars="200"/>
    </w:pPr>
  </w:style>
  <w:style w:type="paragraph" w:styleId="14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6">
    <w:name w:val="Strong"/>
    <w:basedOn w:val="15"/>
    <w:qFormat/>
    <w:uiPriority w:val="0"/>
    <w:rPr>
      <w:b/>
    </w:rPr>
  </w:style>
  <w:style w:type="character" w:styleId="17">
    <w:name w:val="Hyperlink"/>
    <w:basedOn w:val="15"/>
    <w:qFormat/>
    <w:uiPriority w:val="0"/>
    <w:rPr>
      <w:color w:val="0000FF"/>
      <w:u w:val="single"/>
    </w:rPr>
  </w:style>
  <w:style w:type="character" w:styleId="18">
    <w:name w:val="footnote reference"/>
    <w:basedOn w:val="15"/>
    <w:qFormat/>
    <w:uiPriority w:val="0"/>
    <w:rPr>
      <w:vertAlign w:val="superscript"/>
    </w:rPr>
  </w:style>
  <w:style w:type="table" w:styleId="20">
    <w:name w:val="Table Grid"/>
    <w:basedOn w:val="1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21">
    <w:name w:val="PlainText"/>
    <w:basedOn w:val="1"/>
    <w:next w:val="1"/>
    <w:qFormat/>
    <w:uiPriority w:val="0"/>
    <w:rPr>
      <w:rFonts w:ascii="宋体" w:hAnsi="宋体"/>
      <w:color w:val="000000"/>
      <w:szCs w:val="21"/>
    </w:rPr>
  </w:style>
  <w:style w:type="paragraph" w:customStyle="1" w:styleId="22">
    <w:name w:val="toc 11"/>
    <w:next w:val="1"/>
    <w:qFormat/>
    <w:uiPriority w:val="0"/>
    <w:pPr>
      <w:wordWrap w:val="0"/>
      <w:jc w:val="both"/>
    </w:pPr>
    <w:rPr>
      <w:rFonts w:ascii="Calibri" w:hAnsi="Calibri" w:eastAsia="宋体" w:cs="Times New Roman"/>
      <w:sz w:val="21"/>
      <w:szCs w:val="22"/>
      <w:lang w:val="en-US" w:eastAsia="zh-CN" w:bidi="ar-SA"/>
    </w:rPr>
  </w:style>
  <w:style w:type="paragraph" w:customStyle="1" w:styleId="23">
    <w:name w:val="Normal Indent1"/>
    <w:qFormat/>
    <w:uiPriority w:val="99"/>
    <w:pPr>
      <w:widowControl w:val="0"/>
      <w:spacing w:line="480" w:lineRule="auto"/>
      <w:ind w:firstLine="420" w:firstLineChars="20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4">
    <w:name w:val="List Paragraph"/>
    <w:basedOn w:val="1"/>
    <w:qFormat/>
    <w:uiPriority w:val="34"/>
    <w:pPr>
      <w:ind w:left="720"/>
      <w:contextualSpacing/>
    </w:pPr>
  </w:style>
  <w:style w:type="character" w:customStyle="1" w:styleId="25">
    <w:name w:val="font21"/>
    <w:basedOn w:val="15"/>
    <w:qFormat/>
    <w:uiPriority w:val="0"/>
    <w:rPr>
      <w:rFonts w:ascii="Segoe UI" w:hAnsi="Segoe UI" w:eastAsia="Segoe UI" w:cs="Segoe UI"/>
      <w:color w:val="000000"/>
      <w:sz w:val="24"/>
      <w:szCs w:val="24"/>
      <w:u w:val="none"/>
    </w:rPr>
  </w:style>
  <w:style w:type="character" w:customStyle="1" w:styleId="26">
    <w:name w:val="font11"/>
    <w:basedOn w:val="15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paragraph" w:customStyle="1" w:styleId="27">
    <w:name w:val="样式2"/>
    <w:basedOn w:val="1"/>
    <w:qFormat/>
    <w:uiPriority w:val="0"/>
    <w:pPr>
      <w:spacing w:line="560" w:lineRule="exact"/>
      <w:ind w:firstLine="960" w:firstLineChars="200"/>
    </w:pPr>
    <w:rPr>
      <w:rFonts w:hint="eastAsia" w:ascii="宋体" w:hAnsi="宋体" w:eastAsia="仿宋_GB2312" w:cs="宋体"/>
      <w:kern w:val="0"/>
      <w:sz w:val="32"/>
      <w:lang w:bidi="ar"/>
    </w:rPr>
  </w:style>
  <w:style w:type="paragraph" w:customStyle="1" w:styleId="28">
    <w:name w:val="目录 11"/>
    <w:next w:val="1"/>
    <w:qFormat/>
    <w:uiPriority w:val="0"/>
    <w:pPr>
      <w:wordWrap w:val="0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contractReview xmlns="http://schemas.wps.cn/vas-ai-hub/contract-review">
  <reviewItems>
    <reviewItem>
      <errorID>c2c47222-5e38-498b-9299-3d9d040c7244</errorID>
      <errorWord>亟需</errorWord>
      <group>L1_Word</group>
      <groupName>字词问题</groupName>
      <ability>L2_Typo</ability>
      <abilityName>字词错误</abilityName>
      <candidateList>
        <item>亟须</item>
      </candidateList>
      <explain/>
      <paraID>757B706B</paraID>
      <start>146</start>
      <end>148</end>
      <status>unmodified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06d178a-1f1b-4cc9-9f10-6144196b35c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28</Pages>
  <Words>13013</Words>
  <Characters>13138</Characters>
  <Lines>0</Lines>
  <Paragraphs>0</Paragraphs>
  <ScaleCrop>false</ScaleCrop>
  <LinksUpToDate>false</LinksUpToDate>
  <CharactersWithSpaces>13628</CharactersWithSpaces>
  <Application>WPS Office_10.8.0.6253_F1E327BC-269C-435d-A152-05C5408002CA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2025-03-11T15:18:00Z</dcterms:created>
  <dc:creator>ThinkPad</dc:creator>
  <cp:lastModifiedBy>Administrator</cp:lastModifiedBy>
  <cp:lastPrinted>2025-12-29T06:46:00Z</cp:lastPrinted>
  <dcterms:modified xsi:type="dcterms:W3CDTF">2026-04-20T09:36:21Z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2052-10.8.0.6253</vt:lpwstr>
  </property>
  <property fmtid="{D5CDD505-2E9C-101B-9397-08002B2CF9AE}" pid="3" name="ICV">
    <vt:lpwstr>5A347642EFF14E2B850E29F41B07455B_13</vt:lpwstr>
  </property>
  <property fmtid="{D5CDD505-2E9C-101B-9397-08002B2CF9AE}" pid="4" name="KSOTemplateDocerSaveRecord">
    <vt:lpwstr>eyJoZGlkIjoiYjdmNDkyMTk5ZWUyM2E0M2E1MDRmN2E3MjBiNzFlMTgiLCJ1c2VySWQiOiIyMjkzMTI3NTMifQ==</vt:lpwstr>
  </property>
</Properties>
</file>