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spacing w:after="0" w:line="560" w:lineRule="exact"/>
        <w:jc w:val="both"/>
        <w:rPr>
          <w:rFonts w:hint="eastAsia" w:ascii="黑体" w:hAnsi="黑体" w:eastAsia="黑体" w:cs="黑体"/>
          <w:sz w:val="32"/>
          <w:szCs w:val="28"/>
          <w:lang w:val="en-US" w:eastAsia="zh-CN"/>
        </w:rPr>
      </w:pPr>
    </w:p>
    <w:p>
      <w:pPr>
        <w:keepNext w:val="0"/>
        <w:keepLines w:val="0"/>
        <w:pageBreakBefore w:val="0"/>
        <w:widowControl w:val="0"/>
        <w:suppressAutoHyphens/>
        <w:kinsoku/>
        <w:wordWrap/>
        <w:overflowPunct/>
        <w:topLinePunct w:val="0"/>
        <w:autoSpaceDE/>
        <w:autoSpaceDN/>
        <w:bidi w:val="0"/>
        <w:adjustRightInd w:val="0"/>
        <w:snapToGrid w:val="0"/>
        <w:spacing w:beforeAutospacing="0" w:afterAutospacing="0" w:line="560" w:lineRule="exact"/>
        <w:ind w:left="0" w:leftChars="0" w:right="0" w:rightChars="0"/>
        <w:jc w:val="center"/>
        <w:textAlignment w:val="auto"/>
        <w:outlineLvl w:val="0"/>
        <w:rPr>
          <w:rFonts w:hint="default" w:ascii="Times New Roman" w:hAnsi="Times New Roman" w:eastAsia="方正小标宋简体" w:cs="Times New Roman"/>
          <w:sz w:val="44"/>
          <w:szCs w:val="44"/>
          <w:highlight w:val="none"/>
        </w:rPr>
      </w:pPr>
      <w:bookmarkStart w:id="0" w:name="_GoBack"/>
      <w:r>
        <w:rPr>
          <w:rFonts w:hint="default" w:ascii="Times New Roman" w:hAnsi="Times New Roman" w:eastAsia="方正小标宋简体" w:cs="Times New Roman"/>
          <w:sz w:val="44"/>
          <w:szCs w:val="44"/>
          <w:highlight w:val="none"/>
        </w:rPr>
        <w:t>《石景山区加快科幻产业发展支持办法》</w:t>
      </w:r>
    </w:p>
    <w:p>
      <w:pPr>
        <w:keepNext w:val="0"/>
        <w:keepLines w:val="0"/>
        <w:pageBreakBefore w:val="0"/>
        <w:widowControl w:val="0"/>
        <w:suppressAutoHyphens/>
        <w:kinsoku/>
        <w:wordWrap/>
        <w:overflowPunct/>
        <w:topLinePunct w:val="0"/>
        <w:autoSpaceDE/>
        <w:autoSpaceDN/>
        <w:bidi w:val="0"/>
        <w:adjustRightInd w:val="0"/>
        <w:snapToGrid w:val="0"/>
        <w:spacing w:beforeAutospacing="0" w:afterAutospacing="0" w:line="560" w:lineRule="exact"/>
        <w:ind w:left="0" w:leftChars="0" w:right="0" w:rightChars="0"/>
        <w:jc w:val="center"/>
        <w:textAlignment w:val="auto"/>
        <w:outlineLvl w:val="0"/>
        <w:rPr>
          <w:rFonts w:hint="default" w:ascii="Times New Roman" w:hAnsi="Times New Roman" w:eastAsia="方正小标宋简体" w:cs="Times New Roman"/>
          <w:color w:val="000000"/>
          <w:sz w:val="44"/>
          <w:szCs w:val="44"/>
          <w:highlight w:val="none"/>
        </w:rPr>
      </w:pPr>
      <w:r>
        <w:rPr>
          <w:rFonts w:hint="default" w:ascii="Times New Roman" w:hAnsi="Times New Roman" w:eastAsia="方正小标宋简体" w:cs="Times New Roman"/>
          <w:color w:val="000000"/>
          <w:sz w:val="44"/>
          <w:szCs w:val="44"/>
          <w:highlight w:val="none"/>
        </w:rPr>
        <w:t>实施细则</w:t>
      </w:r>
    </w:p>
    <w:bookmarkEnd w:id="0"/>
    <w:p>
      <w:pPr>
        <w:pStyle w:val="11"/>
        <w:keepNext w:val="0"/>
        <w:keepLines w:val="0"/>
        <w:pageBreakBefore w:val="0"/>
        <w:kinsoku/>
        <w:wordWrap/>
        <w:overflowPunct/>
        <w:topLinePunct w:val="0"/>
        <w:autoSpaceDE/>
        <w:autoSpaceDN/>
        <w:bidi w:val="0"/>
        <w:adjustRightInd w:val="0"/>
        <w:snapToGrid w:val="0"/>
        <w:spacing w:line="560" w:lineRule="exact"/>
        <w:textAlignment w:val="auto"/>
        <w:rPr>
          <w:rFonts w:hint="eastAsia"/>
          <w:lang w:val="en-US" w:eastAsia="zh-CN"/>
        </w:rPr>
      </w:pP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Style w:val="21"/>
          <w:rFonts w:ascii="Times New Roman" w:hAnsi="Times New Roman" w:eastAsia="仿宋_GB2312" w:cs="Times New Roman"/>
          <w:b w:val="0"/>
          <w:bCs/>
          <w:color w:val="000000"/>
          <w:sz w:val="32"/>
          <w:szCs w:val="32"/>
        </w:rPr>
      </w:pPr>
      <w:r>
        <w:rPr>
          <w:rStyle w:val="21"/>
          <w:rFonts w:hint="eastAsia" w:ascii="Times New Roman" w:hAnsi="Times New Roman" w:eastAsia="仿宋_GB2312" w:cs="Times New Roman"/>
          <w:b w:val="0"/>
          <w:bCs/>
          <w:color w:val="000000"/>
          <w:sz w:val="32"/>
          <w:szCs w:val="32"/>
        </w:rPr>
        <w:t>为促进科幻产业高质量发展，进一步激发创新创造活力，加快创新要素集聚，建设具有影响力的科幻产业创新高地，结合区域实际，制定本办法。</w:t>
      </w:r>
    </w:p>
    <w:p>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textAlignment w:val="auto"/>
        <w:rPr>
          <w:rStyle w:val="21"/>
          <w:rFonts w:ascii="Times New Roman" w:hAnsi="Times New Roman" w:eastAsia="仿宋_GB2312" w:cs="Times New Roman"/>
          <w:b w:val="0"/>
          <w:bCs/>
          <w:color w:val="000000"/>
          <w:sz w:val="32"/>
          <w:szCs w:val="32"/>
        </w:rPr>
      </w:pPr>
      <w:r>
        <w:rPr>
          <w:rFonts w:hint="default" w:ascii="Times New Roman" w:hAnsi="Times New Roman" w:eastAsia="黑体" w:cs="Times New Roman"/>
          <w:b w:val="0"/>
          <w:bCs w:val="0"/>
          <w:color w:val="000000"/>
          <w:sz w:val="32"/>
          <w:szCs w:val="32"/>
          <w:highlight w:val="none"/>
        </w:rPr>
        <w:t>第一部分  支持对象</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Style w:val="21"/>
          <w:rFonts w:ascii="Times New Roman" w:hAnsi="Times New Roman" w:eastAsia="仿宋_GB2312" w:cs="Times New Roman"/>
          <w:b w:val="0"/>
          <w:bCs/>
          <w:color w:val="000000"/>
          <w:sz w:val="32"/>
          <w:szCs w:val="32"/>
        </w:rPr>
      </w:pPr>
      <w:r>
        <w:rPr>
          <w:rStyle w:val="21"/>
          <w:rFonts w:ascii="Times New Roman" w:hAnsi="Times New Roman" w:eastAsia="仿宋_GB2312" w:cs="Times New Roman"/>
          <w:b w:val="0"/>
          <w:bCs/>
          <w:color w:val="000000"/>
          <w:sz w:val="32"/>
          <w:szCs w:val="32"/>
        </w:rPr>
        <w:t>本办法支持在石景山区依法合规开展经营活动的科幻相关企业或机构，包括科幻内容创作、影视、动漫、游戏等科幻文化领域，为科幻创制提供服务的出版发行服务、交易服务、孵化服务、检测认证、标准化服务等科幻运营服务领域，为科幻产品提供技术支撑的虚拟现实、人工智能等科幻关键技术和数字体验装备研发，以及与科幻领域相互融合的科技、文化、教育、体育、旅游、娱乐等科幻场景应用等。</w:t>
      </w:r>
    </w:p>
    <w:p>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textAlignment w:val="auto"/>
        <w:rPr>
          <w:rFonts w:hint="default" w:ascii="Times New Roman" w:hAnsi="Times New Roman" w:eastAsia="黑体" w:cs="Times New Roman"/>
          <w:b w:val="0"/>
          <w:bCs w:val="0"/>
          <w:color w:val="000000"/>
          <w:sz w:val="32"/>
          <w:szCs w:val="32"/>
          <w:highlight w:val="none"/>
          <w:lang w:val="en-US" w:eastAsia="zh-CN"/>
        </w:rPr>
      </w:pPr>
      <w:r>
        <w:rPr>
          <w:rFonts w:hint="default" w:ascii="Times New Roman" w:hAnsi="Times New Roman" w:eastAsia="黑体" w:cs="Times New Roman"/>
          <w:b w:val="0"/>
          <w:bCs w:val="0"/>
          <w:color w:val="000000"/>
          <w:sz w:val="32"/>
          <w:szCs w:val="32"/>
          <w:highlight w:val="none"/>
        </w:rPr>
        <w:t>第二部分  申报条</w:t>
      </w:r>
      <w:r>
        <w:rPr>
          <w:rFonts w:hint="default" w:ascii="Times New Roman" w:hAnsi="Times New Roman" w:eastAsia="黑体" w:cs="Times New Roman"/>
          <w:b w:val="0"/>
          <w:bCs w:val="0"/>
          <w:color w:val="000000"/>
          <w:sz w:val="32"/>
          <w:szCs w:val="32"/>
          <w:highlight w:val="none"/>
          <w:lang w:val="en-US" w:eastAsia="zh-CN"/>
        </w:rPr>
        <w:t>件和支持标准</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lang w:val="en-US" w:eastAsia="zh-CN"/>
        </w:rPr>
        <w:t>一、鼓励</w:t>
      </w:r>
      <w:r>
        <w:rPr>
          <w:rFonts w:hint="eastAsia" w:ascii="黑体" w:hAnsi="黑体" w:eastAsia="黑体" w:cs="黑体"/>
          <w:b w:val="0"/>
          <w:bCs/>
          <w:color w:val="000000"/>
          <w:sz w:val="32"/>
          <w:szCs w:val="32"/>
        </w:rPr>
        <w:t>科幻技术研发</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rightChars="0" w:firstLine="641" w:firstLineChars="200"/>
        <w:contextualSpacing/>
        <w:textAlignment w:val="auto"/>
        <w:rPr>
          <w:rFonts w:hint="default" w:ascii="Times New Roman" w:hAnsi="Times New Roman" w:eastAsia="楷体_GB2312" w:cs="Times New Roman"/>
          <w:color w:val="000000"/>
          <w:sz w:val="32"/>
          <w:highlight w:val="none"/>
        </w:rPr>
      </w:pPr>
      <w:r>
        <w:rPr>
          <w:rFonts w:hint="default" w:ascii="Times New Roman" w:hAnsi="Times New Roman" w:eastAsia="楷体_GB2312" w:cs="Times New Roman"/>
          <w:color w:val="000000"/>
          <w:sz w:val="32"/>
          <w:highlight w:val="none"/>
        </w:rPr>
        <w:t>（一）申报条件</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lang w:val="en-US" w:eastAsia="zh-CN"/>
        </w:rPr>
        <w:t>1.技术</w:t>
      </w:r>
      <w:r>
        <w:rPr>
          <w:rFonts w:hint="eastAsia" w:ascii="仿宋_GB2312" w:hAnsi="仿宋_GB2312" w:eastAsia="仿宋_GB2312" w:cs="仿宋_GB2312"/>
          <w:bCs/>
          <w:color w:val="000000"/>
          <w:sz w:val="32"/>
          <w:szCs w:val="32"/>
        </w:rPr>
        <w:t>需体现原创性与技术前瞻性，重点渲染引擎、空间计算、AIGC、XR、动作捕捉、数字人等科幻底层技术研发创新方向展开，具备可持续的技术竞争力，并对科幻产业链的完善与升级产生积极带动作用。</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lang w:val="en-US" w:eastAsia="zh-CN"/>
        </w:rPr>
        <w:t>2.</w:t>
      </w:r>
      <w:r>
        <w:rPr>
          <w:rFonts w:hint="eastAsia" w:ascii="仿宋_GB2312" w:hAnsi="仿宋_GB2312" w:eastAsia="仿宋_GB2312" w:cs="仿宋_GB2312"/>
          <w:bCs/>
          <w:color w:val="000000"/>
          <w:sz w:val="32"/>
          <w:szCs w:val="32"/>
        </w:rPr>
        <w:t>研发费用包括：</w:t>
      </w:r>
      <w:r>
        <w:rPr>
          <w:rFonts w:hint="eastAsia" w:ascii="仿宋_GB2312" w:hAnsi="仿宋_GB2312" w:eastAsia="仿宋_GB2312" w:cs="仿宋_GB2312"/>
          <w:color w:val="000000"/>
          <w:sz w:val="32"/>
          <w:szCs w:val="32"/>
          <w:highlight w:val="none"/>
          <w:lang w:val="en-US" w:eastAsia="zh-CN"/>
        </w:rPr>
        <w:t>人工成本</w:t>
      </w:r>
      <w:r>
        <w:rPr>
          <w:rStyle w:val="22"/>
          <w:rFonts w:hint="eastAsia" w:ascii="仿宋_GB2312" w:hAnsi="仿宋_GB2312" w:eastAsia="仿宋_GB2312" w:cs="仿宋_GB2312"/>
          <w:color w:val="000000"/>
          <w:sz w:val="32"/>
          <w:szCs w:val="32"/>
          <w:highlight w:val="none"/>
          <w:lang w:val="en-US" w:eastAsia="zh-CN"/>
        </w:rPr>
        <w:footnoteReference w:id="0"/>
      </w:r>
      <w:r>
        <w:rPr>
          <w:rFonts w:hint="eastAsia" w:ascii="仿宋_GB2312" w:hAnsi="仿宋_GB2312" w:eastAsia="仿宋_GB2312" w:cs="仿宋_GB2312"/>
          <w:bCs/>
          <w:color w:val="000000"/>
          <w:sz w:val="32"/>
          <w:szCs w:val="32"/>
        </w:rPr>
        <w:t>、软件研发购置与租赁费用、外包服务费以及科幻软、硬件开发项目实施过程中的其他相关费用。</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lang w:val="en-US" w:eastAsia="zh-CN"/>
        </w:rPr>
        <w:t>3.</w:t>
      </w:r>
      <w:r>
        <w:rPr>
          <w:rFonts w:hint="eastAsia" w:ascii="仿宋_GB2312" w:hAnsi="仿宋_GB2312" w:eastAsia="仿宋_GB2312" w:cs="仿宋_GB2312"/>
          <w:b w:val="0"/>
          <w:bCs w:val="0"/>
          <w:color w:val="000000"/>
          <w:sz w:val="32"/>
          <w:szCs w:val="32"/>
          <w:highlight w:val="none"/>
        </w:rPr>
        <w:t>对已结项的国家或北京市科幻领域重点项目，其成果在我区实现转化或产业化，并对科幻产业发展产生显著带动作用</w:t>
      </w:r>
      <w:r>
        <w:rPr>
          <w:rFonts w:hint="eastAsia" w:ascii="仿宋_GB2312" w:hAnsi="仿宋_GB2312" w:eastAsia="仿宋_GB2312" w:cs="仿宋_GB2312"/>
          <w:b w:val="0"/>
          <w:bCs w:val="0"/>
          <w:color w:val="000000"/>
          <w:sz w:val="32"/>
          <w:szCs w:val="32"/>
          <w:highlight w:val="none"/>
          <w:lang w:eastAsia="zh-CN"/>
        </w:rPr>
        <w:t>。</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rightChars="0" w:firstLine="641" w:firstLineChars="200"/>
        <w:contextualSpacing/>
        <w:textAlignment w:val="auto"/>
        <w:rPr>
          <w:rFonts w:hint="default" w:ascii="Times New Roman" w:hAnsi="Times New Roman" w:eastAsia="楷体_GB2312" w:cs="Times New Roman"/>
          <w:color w:val="000000"/>
          <w:sz w:val="32"/>
          <w:highlight w:val="none"/>
        </w:rPr>
      </w:pPr>
      <w:r>
        <w:rPr>
          <w:rFonts w:hint="default" w:ascii="Times New Roman" w:hAnsi="Times New Roman" w:eastAsia="楷体_GB2312" w:cs="Times New Roman"/>
          <w:color w:val="000000"/>
          <w:sz w:val="32"/>
          <w:highlight w:val="none"/>
        </w:rPr>
        <w:t>（二）支持标准</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Cs/>
          <w:color w:val="000000"/>
          <w:sz w:val="32"/>
          <w:szCs w:val="32"/>
          <w:highlight w:val="none"/>
          <w:lang w:eastAsia="zh-CN"/>
        </w:rPr>
      </w:pPr>
      <w:r>
        <w:rPr>
          <w:rFonts w:hint="eastAsia" w:ascii="仿宋_GB2312" w:hAnsi="仿宋_GB2312" w:eastAsia="仿宋_GB2312" w:cs="仿宋_GB2312"/>
          <w:bCs/>
          <w:color w:val="000000"/>
          <w:sz w:val="32"/>
          <w:szCs w:val="32"/>
          <w:highlight w:val="none"/>
          <w:lang w:val="en-US" w:eastAsia="zh-CN"/>
        </w:rPr>
        <w:t>1.根据科幻</w:t>
      </w:r>
      <w:r>
        <w:rPr>
          <w:rFonts w:hint="eastAsia" w:ascii="仿宋_GB2312" w:hAnsi="仿宋_GB2312" w:eastAsia="仿宋_GB2312" w:cs="仿宋_GB2312"/>
          <w:b w:val="0"/>
          <w:bCs/>
          <w:color w:val="000000"/>
          <w:sz w:val="32"/>
          <w:szCs w:val="32"/>
          <w:highlight w:val="none"/>
          <w:lang w:val="en-US" w:eastAsia="zh-CN"/>
        </w:rPr>
        <w:t>技术创新性、示范效果、社会效益、经济效益</w:t>
      </w:r>
      <w:r>
        <w:rPr>
          <w:rFonts w:hint="eastAsia" w:ascii="仿宋_GB2312" w:hAnsi="仿宋_GB2312" w:eastAsia="仿宋_GB2312" w:cs="仿宋_GB2312"/>
          <w:bCs/>
          <w:color w:val="000000"/>
          <w:sz w:val="32"/>
          <w:szCs w:val="32"/>
          <w:highlight w:val="none"/>
          <w:lang w:val="en-US" w:eastAsia="zh-CN"/>
        </w:rPr>
        <w:t>等指标，经评审，</w:t>
      </w:r>
      <w:r>
        <w:rPr>
          <w:rFonts w:hint="eastAsia" w:ascii="仿宋_GB2312" w:hAnsi="仿宋_GB2312" w:eastAsia="仿宋_GB2312" w:cs="仿宋_GB2312"/>
          <w:bCs/>
          <w:color w:val="000000"/>
          <w:sz w:val="32"/>
          <w:szCs w:val="32"/>
          <w:highlight w:val="none"/>
        </w:rPr>
        <w:t>根据项目研发投入费用的30%给予项目资金支持，单个项目支持金额最高</w:t>
      </w:r>
      <w:r>
        <w:rPr>
          <w:rFonts w:hint="eastAsia" w:ascii="仿宋_GB2312" w:hAnsi="仿宋_GB2312" w:eastAsia="仿宋_GB2312" w:cs="仿宋_GB2312"/>
          <w:bCs/>
          <w:color w:val="000000"/>
          <w:sz w:val="32"/>
          <w:szCs w:val="32"/>
          <w:highlight w:val="none"/>
          <w:lang w:val="en-US" w:eastAsia="zh-CN"/>
        </w:rPr>
        <w:t>2</w:t>
      </w:r>
      <w:r>
        <w:rPr>
          <w:rFonts w:hint="eastAsia" w:ascii="仿宋_GB2312" w:hAnsi="仿宋_GB2312" w:eastAsia="仿宋_GB2312" w:cs="仿宋_GB2312"/>
          <w:bCs/>
          <w:color w:val="000000"/>
          <w:sz w:val="32"/>
          <w:szCs w:val="32"/>
          <w:highlight w:val="none"/>
        </w:rPr>
        <w:t>00万元</w:t>
      </w:r>
      <w:r>
        <w:rPr>
          <w:rFonts w:hint="eastAsia" w:ascii="仿宋_GB2312" w:hAnsi="仿宋_GB2312" w:eastAsia="仿宋_GB2312" w:cs="仿宋_GB2312"/>
          <w:bCs/>
          <w:color w:val="000000"/>
          <w:sz w:val="32"/>
          <w:szCs w:val="32"/>
          <w:highlight w:val="none"/>
          <w:lang w:eastAsia="zh-CN"/>
        </w:rPr>
        <w:t>。项目评审打分标准如下：</w:t>
      </w:r>
    </w:p>
    <w:tbl>
      <w:tblPr>
        <w:tblStyle w:val="1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27"/>
        <w:gridCol w:w="5386"/>
        <w:gridCol w:w="1276"/>
      </w:tblGrid>
      <w:tr>
        <w:trPr>
          <w:trHeight w:val="553" w:hRule="atLeast"/>
          <w:jc w:val="center"/>
        </w:trPr>
        <w:tc>
          <w:tcPr>
            <w:tcW w:w="2127" w:type="dxa"/>
            <w:noWrap w:val="0"/>
            <w:vAlign w:val="top"/>
          </w:tcPr>
          <w:p>
            <w:pPr>
              <w:spacing w:before="240" w:line="240" w:lineRule="exact"/>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一级指标</w:t>
            </w:r>
          </w:p>
        </w:tc>
        <w:tc>
          <w:tcPr>
            <w:tcW w:w="5386" w:type="dxa"/>
            <w:noWrap w:val="0"/>
            <w:vAlign w:val="top"/>
          </w:tcPr>
          <w:p>
            <w:pPr>
              <w:spacing w:before="240" w:line="240" w:lineRule="exact"/>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二级指标</w:t>
            </w:r>
          </w:p>
        </w:tc>
        <w:tc>
          <w:tcPr>
            <w:tcW w:w="1276" w:type="dxa"/>
            <w:noWrap w:val="0"/>
            <w:vAlign w:val="top"/>
          </w:tcPr>
          <w:p>
            <w:pPr>
              <w:spacing w:before="240" w:line="240" w:lineRule="exact"/>
              <w:ind w:left="-163" w:leftChars="-51" w:right="-163" w:rightChars="-51"/>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指标分值</w:t>
            </w:r>
          </w:p>
        </w:tc>
      </w:tr>
      <w:tr>
        <w:trPr>
          <w:trHeight w:val="1394" w:hRule="atLeast"/>
          <w:jc w:val="center"/>
        </w:trPr>
        <w:tc>
          <w:tcPr>
            <w:tcW w:w="2127" w:type="dxa"/>
            <w:vMerge w:val="restart"/>
            <w:noWrap w:val="0"/>
            <w:vAlign w:val="center"/>
          </w:tcPr>
          <w:p>
            <w:pPr>
              <w:adjustRightInd w:val="0"/>
              <w:snapToGrid w:val="0"/>
              <w:spacing w:before="240" w:line="276" w:lineRule="auto"/>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项目的政策符合性和必要性</w:t>
            </w:r>
          </w:p>
          <w:p>
            <w:pPr>
              <w:adjustRightInd w:val="0"/>
              <w:snapToGrid w:val="0"/>
              <w:spacing w:before="240" w:line="276"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（1</w:t>
            </w:r>
            <w:r>
              <w:rPr>
                <w:rFonts w:hint="default" w:ascii="Times New Roman" w:hAnsi="Times New Roman" w:eastAsia="仿宋_GB2312" w:cs="Times New Roman"/>
                <w:b/>
                <w:sz w:val="28"/>
                <w:szCs w:val="28"/>
                <w:lang w:val="en-US" w:eastAsia="zh-CN"/>
              </w:rPr>
              <w:t>0</w:t>
            </w:r>
            <w:r>
              <w:rPr>
                <w:rFonts w:hint="default" w:ascii="Times New Roman" w:hAnsi="Times New Roman" w:eastAsia="仿宋_GB2312" w:cs="Times New Roman"/>
                <w:b/>
                <w:sz w:val="28"/>
                <w:szCs w:val="28"/>
              </w:rPr>
              <w:t>分）</w:t>
            </w:r>
          </w:p>
        </w:tc>
        <w:tc>
          <w:tcPr>
            <w:tcW w:w="5386" w:type="dxa"/>
            <w:noWrap w:val="0"/>
            <w:vAlign w:val="top"/>
          </w:tcPr>
          <w:p>
            <w:pPr>
              <w:adjustRightInd w:val="0"/>
              <w:snapToGrid w:val="0"/>
              <w:spacing w:before="120" w:line="276" w:lineRule="auto"/>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项目的政策符合性（包括是否属于国家及北京市重点发展领域，是否符合石景山区重点支持方向）</w:t>
            </w:r>
          </w:p>
        </w:tc>
        <w:tc>
          <w:tcPr>
            <w:tcW w:w="1276" w:type="dxa"/>
            <w:noWrap w:val="0"/>
            <w:vAlign w:val="center"/>
          </w:tcPr>
          <w:p>
            <w:pPr>
              <w:adjustRightInd w:val="0"/>
              <w:snapToGrid w:val="0"/>
              <w:spacing w:before="240" w:line="276" w:lineRule="auto"/>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5</w:t>
            </w:r>
          </w:p>
        </w:tc>
      </w:tr>
      <w:tr>
        <w:trPr>
          <w:trHeight w:val="1456" w:hRule="atLeast"/>
          <w:jc w:val="center"/>
        </w:trPr>
        <w:tc>
          <w:tcPr>
            <w:tcW w:w="2127" w:type="dxa"/>
            <w:vMerge w:val="continue"/>
            <w:noWrap w:val="0"/>
            <w:vAlign w:val="top"/>
          </w:tcPr>
          <w:p>
            <w:pPr>
              <w:adjustRightInd w:val="0"/>
              <w:snapToGrid w:val="0"/>
              <w:spacing w:before="240" w:line="276" w:lineRule="auto"/>
              <w:jc w:val="center"/>
              <w:rPr>
                <w:rFonts w:hint="default" w:ascii="Times New Roman" w:hAnsi="Times New Roman" w:eastAsia="仿宋_GB2312" w:cs="Times New Roman"/>
                <w:sz w:val="28"/>
                <w:szCs w:val="28"/>
              </w:rPr>
            </w:pPr>
          </w:p>
        </w:tc>
        <w:tc>
          <w:tcPr>
            <w:tcW w:w="5386" w:type="dxa"/>
            <w:noWrap w:val="0"/>
            <w:vAlign w:val="top"/>
          </w:tcPr>
          <w:p>
            <w:pPr>
              <w:adjustRightInd w:val="0"/>
              <w:snapToGrid w:val="0"/>
              <w:spacing w:before="120" w:line="276" w:lineRule="auto"/>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立项的必要性（包括产业发展中存在的问题，阐明相关技术、社会需求；国内外研发进展、主要产品和服务情况）</w:t>
            </w:r>
          </w:p>
        </w:tc>
        <w:tc>
          <w:tcPr>
            <w:tcW w:w="1276" w:type="dxa"/>
            <w:noWrap w:val="0"/>
            <w:vAlign w:val="center"/>
          </w:tcPr>
          <w:p>
            <w:pPr>
              <w:adjustRightInd w:val="0"/>
              <w:snapToGrid w:val="0"/>
              <w:spacing w:before="240" w:line="276" w:lineRule="auto"/>
              <w:jc w:val="center"/>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5</w:t>
            </w:r>
          </w:p>
        </w:tc>
      </w:tr>
      <w:tr>
        <w:trPr>
          <w:trHeight w:val="979" w:hRule="atLeast"/>
          <w:jc w:val="center"/>
        </w:trPr>
        <w:tc>
          <w:tcPr>
            <w:tcW w:w="2127" w:type="dxa"/>
            <w:vMerge w:val="restart"/>
            <w:noWrap w:val="0"/>
            <w:vAlign w:val="center"/>
          </w:tcPr>
          <w:p>
            <w:pPr>
              <w:adjustRightInd w:val="0"/>
              <w:snapToGrid w:val="0"/>
              <w:spacing w:before="240" w:line="276" w:lineRule="auto"/>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承担单位的基本情况</w:t>
            </w:r>
          </w:p>
          <w:p>
            <w:pPr>
              <w:adjustRightInd w:val="0"/>
              <w:snapToGrid w:val="0"/>
              <w:spacing w:before="240" w:line="276"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w:t>
            </w:r>
            <w:r>
              <w:rPr>
                <w:rFonts w:hint="default" w:ascii="Times New Roman" w:hAnsi="Times New Roman" w:eastAsia="仿宋_GB2312" w:cs="Times New Roman"/>
                <w:b/>
                <w:sz w:val="28"/>
                <w:szCs w:val="28"/>
                <w:lang w:val="en-US" w:eastAsia="zh-CN"/>
              </w:rPr>
              <w:t>4</w:t>
            </w:r>
            <w:r>
              <w:rPr>
                <w:rFonts w:hint="default" w:ascii="Times New Roman" w:hAnsi="Times New Roman" w:eastAsia="仿宋_GB2312" w:cs="Times New Roman"/>
                <w:b/>
                <w:sz w:val="28"/>
                <w:szCs w:val="28"/>
              </w:rPr>
              <w:t>0分）</w:t>
            </w:r>
          </w:p>
        </w:tc>
        <w:tc>
          <w:tcPr>
            <w:tcW w:w="5386" w:type="dxa"/>
            <w:noWrap w:val="0"/>
            <w:vAlign w:val="top"/>
          </w:tcPr>
          <w:p>
            <w:pPr>
              <w:adjustRightInd w:val="0"/>
              <w:snapToGrid w:val="0"/>
              <w:spacing w:before="120" w:line="276"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承担单位的综合实力（包括运营状况、营业收入、税收贡献、各类奖励</w:t>
            </w:r>
            <w:r>
              <w:rPr>
                <w:rFonts w:hint="default" w:ascii="Times New Roman" w:hAnsi="Times New Roman" w:eastAsia="仿宋_GB2312" w:cs="Times New Roman"/>
                <w:sz w:val="28"/>
                <w:szCs w:val="28"/>
                <w:lang w:eastAsia="zh-CN"/>
              </w:rPr>
              <w:t>资质</w:t>
            </w:r>
            <w:r>
              <w:rPr>
                <w:rFonts w:hint="default" w:ascii="Times New Roman" w:hAnsi="Times New Roman" w:eastAsia="仿宋_GB2312" w:cs="Times New Roman"/>
                <w:sz w:val="28"/>
                <w:szCs w:val="28"/>
              </w:rPr>
              <w:t>）</w:t>
            </w:r>
          </w:p>
        </w:tc>
        <w:tc>
          <w:tcPr>
            <w:tcW w:w="1276" w:type="dxa"/>
            <w:noWrap w:val="0"/>
            <w:vAlign w:val="center"/>
          </w:tcPr>
          <w:p>
            <w:pPr>
              <w:adjustRightInd w:val="0"/>
              <w:snapToGrid w:val="0"/>
              <w:spacing w:before="240" w:line="276" w:lineRule="auto"/>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lang w:val="en-US" w:eastAsia="zh-CN"/>
              </w:rPr>
              <w:t>3</w:t>
            </w:r>
            <w:r>
              <w:rPr>
                <w:rFonts w:hint="default" w:ascii="Times New Roman" w:hAnsi="Times New Roman" w:eastAsia="仿宋_GB2312" w:cs="Times New Roman"/>
                <w:sz w:val="30"/>
                <w:szCs w:val="30"/>
              </w:rPr>
              <w:t>0</w:t>
            </w:r>
          </w:p>
        </w:tc>
      </w:tr>
      <w:tr>
        <w:trPr>
          <w:trHeight w:val="866" w:hRule="atLeast"/>
          <w:jc w:val="center"/>
        </w:trPr>
        <w:tc>
          <w:tcPr>
            <w:tcW w:w="2127" w:type="dxa"/>
            <w:vMerge w:val="continue"/>
            <w:noWrap w:val="0"/>
            <w:vAlign w:val="top"/>
          </w:tcPr>
          <w:p>
            <w:pPr>
              <w:adjustRightInd w:val="0"/>
              <w:snapToGrid w:val="0"/>
              <w:spacing w:before="240" w:line="276" w:lineRule="auto"/>
              <w:jc w:val="center"/>
              <w:rPr>
                <w:rFonts w:hint="default" w:ascii="Times New Roman" w:hAnsi="Times New Roman" w:eastAsia="仿宋_GB2312" w:cs="Times New Roman"/>
                <w:sz w:val="30"/>
                <w:szCs w:val="30"/>
              </w:rPr>
            </w:pPr>
          </w:p>
        </w:tc>
        <w:tc>
          <w:tcPr>
            <w:tcW w:w="5386" w:type="dxa"/>
            <w:noWrap w:val="0"/>
            <w:vAlign w:val="top"/>
          </w:tcPr>
          <w:p>
            <w:pPr>
              <w:adjustRightInd w:val="0"/>
              <w:snapToGrid w:val="0"/>
              <w:spacing w:before="120" w:line="276" w:lineRule="auto"/>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承担单位的研发实力（包括企业研发人员、知识产权、研发投入等）</w:t>
            </w:r>
          </w:p>
        </w:tc>
        <w:tc>
          <w:tcPr>
            <w:tcW w:w="1276" w:type="dxa"/>
            <w:noWrap w:val="0"/>
            <w:vAlign w:val="center"/>
          </w:tcPr>
          <w:p>
            <w:pPr>
              <w:adjustRightInd w:val="0"/>
              <w:snapToGrid w:val="0"/>
              <w:spacing w:before="240" w:line="276" w:lineRule="auto"/>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5</w:t>
            </w:r>
          </w:p>
        </w:tc>
      </w:tr>
      <w:tr>
        <w:trPr>
          <w:trHeight w:val="866" w:hRule="atLeast"/>
          <w:jc w:val="center"/>
        </w:trPr>
        <w:tc>
          <w:tcPr>
            <w:tcW w:w="2127" w:type="dxa"/>
            <w:vMerge w:val="continue"/>
            <w:noWrap w:val="0"/>
            <w:vAlign w:val="top"/>
          </w:tcPr>
          <w:p>
            <w:pPr>
              <w:adjustRightInd w:val="0"/>
              <w:snapToGrid w:val="0"/>
              <w:spacing w:before="240" w:line="276" w:lineRule="auto"/>
              <w:jc w:val="center"/>
              <w:rPr>
                <w:rFonts w:hint="default" w:ascii="Times New Roman" w:hAnsi="Times New Roman" w:eastAsia="仿宋_GB2312" w:cs="Times New Roman"/>
                <w:sz w:val="30"/>
                <w:szCs w:val="30"/>
              </w:rPr>
            </w:pPr>
          </w:p>
        </w:tc>
        <w:tc>
          <w:tcPr>
            <w:tcW w:w="5386" w:type="dxa"/>
            <w:noWrap w:val="0"/>
            <w:vAlign w:val="top"/>
          </w:tcPr>
          <w:p>
            <w:pPr>
              <w:adjustRightInd w:val="0"/>
              <w:snapToGrid w:val="0"/>
              <w:spacing w:before="120" w:line="276" w:lineRule="auto"/>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承担单位的信用情况（综合考虑各类失信及惩戒情况）</w:t>
            </w:r>
          </w:p>
        </w:tc>
        <w:tc>
          <w:tcPr>
            <w:tcW w:w="1276" w:type="dxa"/>
            <w:noWrap w:val="0"/>
            <w:vAlign w:val="center"/>
          </w:tcPr>
          <w:p>
            <w:pPr>
              <w:adjustRightInd w:val="0"/>
              <w:snapToGrid w:val="0"/>
              <w:spacing w:before="240" w:line="276" w:lineRule="auto"/>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5</w:t>
            </w:r>
          </w:p>
        </w:tc>
      </w:tr>
      <w:tr>
        <w:trPr>
          <w:trHeight w:val="1155" w:hRule="atLeast"/>
          <w:jc w:val="center"/>
        </w:trPr>
        <w:tc>
          <w:tcPr>
            <w:tcW w:w="2127" w:type="dxa"/>
            <w:vMerge w:val="restart"/>
            <w:noWrap w:val="0"/>
            <w:vAlign w:val="center"/>
          </w:tcPr>
          <w:p>
            <w:pPr>
              <w:adjustRightInd w:val="0"/>
              <w:snapToGrid w:val="0"/>
              <w:spacing w:before="240" w:line="276" w:lineRule="auto"/>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项目研究内容的可行性</w:t>
            </w:r>
          </w:p>
          <w:p>
            <w:pPr>
              <w:adjustRightInd w:val="0"/>
              <w:snapToGrid w:val="0"/>
              <w:spacing w:before="240" w:line="276"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（2</w:t>
            </w:r>
            <w:r>
              <w:rPr>
                <w:rFonts w:hint="default" w:ascii="Times New Roman" w:hAnsi="Times New Roman" w:eastAsia="仿宋_GB2312" w:cs="Times New Roman"/>
                <w:b/>
                <w:sz w:val="28"/>
                <w:szCs w:val="28"/>
                <w:lang w:val="en-US" w:eastAsia="zh-CN"/>
              </w:rPr>
              <w:t>0</w:t>
            </w:r>
            <w:r>
              <w:rPr>
                <w:rFonts w:hint="default" w:ascii="Times New Roman" w:hAnsi="Times New Roman" w:eastAsia="仿宋_GB2312" w:cs="Times New Roman"/>
                <w:b/>
                <w:sz w:val="28"/>
                <w:szCs w:val="28"/>
              </w:rPr>
              <w:t>分）</w:t>
            </w:r>
          </w:p>
        </w:tc>
        <w:tc>
          <w:tcPr>
            <w:tcW w:w="5386" w:type="dxa"/>
            <w:noWrap w:val="0"/>
            <w:vAlign w:val="center"/>
          </w:tcPr>
          <w:p>
            <w:pPr>
              <w:adjustRightInd w:val="0"/>
              <w:snapToGrid w:val="0"/>
              <w:spacing w:before="120" w:line="276" w:lineRule="auto"/>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项目目标的明确性和创新性（包括是否具有技术先进性和领先性、商业模式创新、管理创新）</w:t>
            </w:r>
          </w:p>
        </w:tc>
        <w:tc>
          <w:tcPr>
            <w:tcW w:w="1276" w:type="dxa"/>
            <w:noWrap w:val="0"/>
            <w:vAlign w:val="center"/>
          </w:tcPr>
          <w:p>
            <w:pPr>
              <w:adjustRightInd w:val="0"/>
              <w:snapToGrid w:val="0"/>
              <w:spacing w:before="240" w:line="276" w:lineRule="auto"/>
              <w:jc w:val="center"/>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5</w:t>
            </w:r>
          </w:p>
        </w:tc>
      </w:tr>
      <w:tr>
        <w:trPr>
          <w:trHeight w:val="536" w:hRule="atLeast"/>
          <w:jc w:val="center"/>
        </w:trPr>
        <w:tc>
          <w:tcPr>
            <w:tcW w:w="2127" w:type="dxa"/>
            <w:vMerge w:val="continue"/>
            <w:noWrap w:val="0"/>
            <w:vAlign w:val="top"/>
          </w:tcPr>
          <w:p>
            <w:pPr>
              <w:adjustRightInd w:val="0"/>
              <w:snapToGrid w:val="0"/>
              <w:spacing w:before="240" w:line="276" w:lineRule="auto"/>
              <w:jc w:val="center"/>
              <w:rPr>
                <w:rFonts w:hint="default" w:ascii="Times New Roman" w:hAnsi="Times New Roman" w:eastAsia="仿宋_GB2312" w:cs="Times New Roman"/>
                <w:sz w:val="28"/>
                <w:szCs w:val="28"/>
              </w:rPr>
            </w:pPr>
          </w:p>
        </w:tc>
        <w:tc>
          <w:tcPr>
            <w:tcW w:w="5386" w:type="dxa"/>
            <w:noWrap w:val="0"/>
            <w:vAlign w:val="top"/>
          </w:tcPr>
          <w:p>
            <w:pPr>
              <w:adjustRightInd w:val="0"/>
              <w:snapToGrid w:val="0"/>
              <w:spacing w:before="120" w:line="276" w:lineRule="auto"/>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项目建设内容和方案的合理性及可行性</w:t>
            </w:r>
          </w:p>
        </w:tc>
        <w:tc>
          <w:tcPr>
            <w:tcW w:w="1276" w:type="dxa"/>
            <w:noWrap w:val="0"/>
            <w:vAlign w:val="center"/>
          </w:tcPr>
          <w:p>
            <w:pPr>
              <w:adjustRightInd w:val="0"/>
              <w:snapToGrid w:val="0"/>
              <w:spacing w:before="240" w:line="276" w:lineRule="auto"/>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10</w:t>
            </w:r>
          </w:p>
        </w:tc>
      </w:tr>
      <w:tr>
        <w:trPr>
          <w:trHeight w:val="972" w:hRule="atLeast"/>
          <w:jc w:val="center"/>
        </w:trPr>
        <w:tc>
          <w:tcPr>
            <w:tcW w:w="2127" w:type="dxa"/>
            <w:vMerge w:val="continue"/>
            <w:noWrap w:val="0"/>
            <w:vAlign w:val="top"/>
          </w:tcPr>
          <w:p>
            <w:pPr>
              <w:adjustRightInd w:val="0"/>
              <w:snapToGrid w:val="0"/>
              <w:spacing w:before="240" w:line="276" w:lineRule="auto"/>
              <w:jc w:val="center"/>
              <w:rPr>
                <w:rFonts w:hint="default" w:ascii="Times New Roman" w:hAnsi="Times New Roman" w:eastAsia="仿宋_GB2312" w:cs="Times New Roman"/>
                <w:sz w:val="28"/>
                <w:szCs w:val="28"/>
              </w:rPr>
            </w:pPr>
          </w:p>
        </w:tc>
        <w:tc>
          <w:tcPr>
            <w:tcW w:w="5386" w:type="dxa"/>
            <w:noWrap w:val="0"/>
            <w:vAlign w:val="center"/>
          </w:tcPr>
          <w:p>
            <w:pPr>
              <w:adjustRightInd w:val="0"/>
              <w:snapToGrid w:val="0"/>
              <w:spacing w:before="120" w:line="276" w:lineRule="auto"/>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项目考核指标的明确性（考核指标必须可量化、可考核）</w:t>
            </w:r>
          </w:p>
        </w:tc>
        <w:tc>
          <w:tcPr>
            <w:tcW w:w="1276" w:type="dxa"/>
            <w:noWrap w:val="0"/>
            <w:vAlign w:val="center"/>
          </w:tcPr>
          <w:p>
            <w:pPr>
              <w:adjustRightInd w:val="0"/>
              <w:snapToGrid w:val="0"/>
              <w:spacing w:before="240" w:line="276" w:lineRule="auto"/>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5</w:t>
            </w:r>
          </w:p>
        </w:tc>
      </w:tr>
      <w:tr>
        <w:trPr>
          <w:trHeight w:val="787" w:hRule="atLeast"/>
          <w:jc w:val="center"/>
        </w:trPr>
        <w:tc>
          <w:tcPr>
            <w:tcW w:w="2127" w:type="dxa"/>
            <w:vMerge w:val="restart"/>
            <w:noWrap w:val="0"/>
            <w:vAlign w:val="center"/>
          </w:tcPr>
          <w:p>
            <w:pPr>
              <w:adjustRightInd w:val="0"/>
              <w:snapToGrid w:val="0"/>
              <w:spacing w:before="240" w:line="276"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项目预算支出内容及资金筹措落实（10分）</w:t>
            </w:r>
          </w:p>
        </w:tc>
        <w:tc>
          <w:tcPr>
            <w:tcW w:w="5386" w:type="dxa"/>
            <w:noWrap w:val="0"/>
            <w:vAlign w:val="top"/>
          </w:tcPr>
          <w:p>
            <w:pPr>
              <w:adjustRightInd w:val="0"/>
              <w:snapToGrid w:val="0"/>
              <w:spacing w:before="120" w:line="276" w:lineRule="auto"/>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项目预算支出的合理性（项目总投资估算依据是否充分和明确）</w:t>
            </w:r>
          </w:p>
        </w:tc>
        <w:tc>
          <w:tcPr>
            <w:tcW w:w="1276" w:type="dxa"/>
            <w:noWrap w:val="0"/>
            <w:vAlign w:val="center"/>
          </w:tcPr>
          <w:p>
            <w:pPr>
              <w:adjustRightInd w:val="0"/>
              <w:snapToGrid w:val="0"/>
              <w:spacing w:before="240" w:line="276" w:lineRule="auto"/>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5</w:t>
            </w:r>
          </w:p>
        </w:tc>
      </w:tr>
      <w:tr>
        <w:trPr>
          <w:trHeight w:val="420" w:hRule="atLeast"/>
          <w:jc w:val="center"/>
        </w:trPr>
        <w:tc>
          <w:tcPr>
            <w:tcW w:w="2127" w:type="dxa"/>
            <w:vMerge w:val="continue"/>
            <w:noWrap w:val="0"/>
            <w:vAlign w:val="center"/>
          </w:tcPr>
          <w:p>
            <w:pPr>
              <w:adjustRightInd w:val="0"/>
              <w:snapToGrid w:val="0"/>
              <w:spacing w:before="240" w:line="276" w:lineRule="auto"/>
              <w:jc w:val="center"/>
              <w:rPr>
                <w:rFonts w:hint="default" w:ascii="Times New Roman" w:hAnsi="Times New Roman" w:eastAsia="仿宋_GB2312" w:cs="Times New Roman"/>
                <w:sz w:val="28"/>
                <w:szCs w:val="28"/>
              </w:rPr>
            </w:pPr>
          </w:p>
        </w:tc>
        <w:tc>
          <w:tcPr>
            <w:tcW w:w="5386" w:type="dxa"/>
            <w:noWrap w:val="0"/>
            <w:vAlign w:val="center"/>
          </w:tcPr>
          <w:p>
            <w:pPr>
              <w:adjustRightInd w:val="0"/>
              <w:snapToGrid w:val="0"/>
              <w:spacing w:before="120" w:line="276" w:lineRule="auto"/>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项目匹配资金筹措能力</w:t>
            </w:r>
          </w:p>
        </w:tc>
        <w:tc>
          <w:tcPr>
            <w:tcW w:w="1276" w:type="dxa"/>
            <w:noWrap w:val="0"/>
            <w:vAlign w:val="center"/>
          </w:tcPr>
          <w:p>
            <w:pPr>
              <w:adjustRightInd w:val="0"/>
              <w:snapToGrid w:val="0"/>
              <w:spacing w:before="240" w:line="276" w:lineRule="auto"/>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5</w:t>
            </w:r>
          </w:p>
        </w:tc>
      </w:tr>
      <w:tr>
        <w:trPr>
          <w:trHeight w:val="1418" w:hRule="atLeast"/>
          <w:jc w:val="center"/>
        </w:trPr>
        <w:tc>
          <w:tcPr>
            <w:tcW w:w="2127" w:type="dxa"/>
            <w:vMerge w:val="restart"/>
            <w:noWrap w:val="0"/>
            <w:vAlign w:val="center"/>
          </w:tcPr>
          <w:p>
            <w:pPr>
              <w:adjustRightInd w:val="0"/>
              <w:snapToGrid w:val="0"/>
              <w:spacing w:before="240" w:line="276" w:lineRule="auto"/>
              <w:ind w:left="281" w:hanging="281" w:hangingChars="100"/>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项目转化应用情况分析 （</w:t>
            </w:r>
            <w:r>
              <w:rPr>
                <w:rFonts w:hint="default" w:ascii="Times New Roman" w:hAnsi="Times New Roman" w:eastAsia="仿宋_GB2312" w:cs="Times New Roman"/>
                <w:b/>
                <w:sz w:val="28"/>
                <w:szCs w:val="28"/>
                <w:lang w:val="en-US" w:eastAsia="zh-CN"/>
              </w:rPr>
              <w:t>2</w:t>
            </w:r>
            <w:r>
              <w:rPr>
                <w:rFonts w:hint="default" w:ascii="Times New Roman" w:hAnsi="Times New Roman" w:eastAsia="仿宋_GB2312" w:cs="Times New Roman"/>
                <w:b/>
                <w:sz w:val="28"/>
                <w:szCs w:val="28"/>
              </w:rPr>
              <w:t>0分）</w:t>
            </w:r>
          </w:p>
        </w:tc>
        <w:tc>
          <w:tcPr>
            <w:tcW w:w="5386" w:type="dxa"/>
            <w:noWrap w:val="0"/>
            <w:vAlign w:val="top"/>
          </w:tcPr>
          <w:p>
            <w:pPr>
              <w:adjustRightInd w:val="0"/>
              <w:snapToGrid w:val="0"/>
              <w:spacing w:before="120" w:line="276" w:lineRule="auto"/>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项目成果转化应用情况（包括在全国、北京市重点工程应用情况，在石景山区示范应用情况；对行业带动促进作用等）</w:t>
            </w:r>
          </w:p>
        </w:tc>
        <w:tc>
          <w:tcPr>
            <w:tcW w:w="1276" w:type="dxa"/>
            <w:noWrap w:val="0"/>
            <w:vAlign w:val="center"/>
          </w:tcPr>
          <w:p>
            <w:pPr>
              <w:adjustRightInd w:val="0"/>
              <w:snapToGrid w:val="0"/>
              <w:spacing w:before="240" w:line="276" w:lineRule="auto"/>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lang w:val="en-US" w:eastAsia="zh-CN"/>
              </w:rPr>
              <w:t>10</w:t>
            </w:r>
          </w:p>
        </w:tc>
      </w:tr>
      <w:tr>
        <w:trPr>
          <w:jc w:val="center"/>
        </w:trPr>
        <w:tc>
          <w:tcPr>
            <w:tcW w:w="2127" w:type="dxa"/>
            <w:vMerge w:val="continue"/>
            <w:noWrap w:val="0"/>
            <w:vAlign w:val="top"/>
          </w:tcPr>
          <w:p>
            <w:pPr>
              <w:adjustRightInd w:val="0"/>
              <w:snapToGrid w:val="0"/>
              <w:spacing w:before="240" w:line="276" w:lineRule="auto"/>
              <w:jc w:val="center"/>
              <w:rPr>
                <w:rFonts w:hint="default" w:ascii="Times New Roman" w:hAnsi="Times New Roman" w:eastAsia="仿宋_GB2312" w:cs="Times New Roman"/>
                <w:sz w:val="28"/>
                <w:szCs w:val="28"/>
              </w:rPr>
            </w:pPr>
          </w:p>
        </w:tc>
        <w:tc>
          <w:tcPr>
            <w:tcW w:w="5386" w:type="dxa"/>
            <w:noWrap w:val="0"/>
            <w:vAlign w:val="top"/>
          </w:tcPr>
          <w:p>
            <w:pPr>
              <w:adjustRightInd w:val="0"/>
              <w:snapToGrid w:val="0"/>
              <w:spacing w:before="120" w:line="276" w:lineRule="auto"/>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项目产生的经济效益和社会效益</w:t>
            </w:r>
          </w:p>
        </w:tc>
        <w:tc>
          <w:tcPr>
            <w:tcW w:w="1276" w:type="dxa"/>
            <w:noWrap w:val="0"/>
            <w:vAlign w:val="center"/>
          </w:tcPr>
          <w:p>
            <w:pPr>
              <w:adjustRightInd w:val="0"/>
              <w:snapToGrid w:val="0"/>
              <w:spacing w:before="240" w:line="276" w:lineRule="auto"/>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10</w:t>
            </w:r>
          </w:p>
        </w:tc>
      </w:tr>
    </w:tbl>
    <w:p>
      <w:pPr>
        <w:widowControl/>
        <w:spacing w:line="360" w:lineRule="auto"/>
        <w:rPr>
          <w:rFonts w:hint="default" w:ascii="Times New Roman" w:hAnsi="Times New Roman" w:eastAsia="仿宋_GB2312" w:cs="Times New Roman"/>
          <w:b/>
          <w:bCs/>
          <w:snapToGrid w:val="0"/>
          <w:color w:val="000000"/>
          <w:sz w:val="24"/>
        </w:rPr>
      </w:pPr>
      <w:r>
        <w:rPr>
          <w:rFonts w:hint="eastAsia"/>
          <w:lang w:val="en-US" w:eastAsia="zh-CN"/>
        </w:rPr>
        <w:t xml:space="preserve">   </w:t>
      </w:r>
      <w:r>
        <w:rPr>
          <w:rFonts w:hint="default" w:ascii="Times New Roman" w:hAnsi="Times New Roman" w:eastAsia="仿宋_GB2312" w:cs="Times New Roman"/>
          <w:b/>
          <w:bCs/>
          <w:snapToGrid w:val="0"/>
          <w:color w:val="000000"/>
          <w:sz w:val="24"/>
        </w:rPr>
        <w:t xml:space="preserve">注: </w:t>
      </w:r>
    </w:p>
    <w:p>
      <w:pPr>
        <w:spacing w:line="360" w:lineRule="auto"/>
        <w:ind w:left="480" w:leftChars="150" w:firstLine="0" w:firstLineChars="0"/>
        <w:rPr>
          <w:rFonts w:hint="default" w:ascii="Times New Roman" w:hAnsi="Times New Roman" w:eastAsia="仿宋_GB2312" w:cs="Times New Roman"/>
          <w:snapToGrid w:val="0"/>
          <w:color w:val="000000"/>
          <w:sz w:val="24"/>
        </w:rPr>
      </w:pPr>
      <w:r>
        <w:rPr>
          <w:rFonts w:hint="default" w:ascii="Times New Roman" w:hAnsi="Times New Roman" w:eastAsia="仿宋_GB2312" w:cs="Times New Roman"/>
          <w:snapToGrid w:val="0"/>
          <w:color w:val="000000"/>
          <w:sz w:val="24"/>
        </w:rPr>
        <w:t>A类：项目符合专项资金项目重点支持方向，社会效益、经济效益较好，具有示范带动效应。建议立项(80分以上)。</w:t>
      </w:r>
    </w:p>
    <w:p>
      <w:pPr>
        <w:spacing w:line="360" w:lineRule="auto"/>
        <w:ind w:left="480" w:leftChars="150" w:firstLine="0" w:firstLineChars="0"/>
        <w:rPr>
          <w:rFonts w:hint="default" w:ascii="Times New Roman" w:hAnsi="Times New Roman" w:eastAsia="仿宋_GB2312" w:cs="Times New Roman"/>
          <w:snapToGrid w:val="0"/>
          <w:color w:val="000000"/>
          <w:sz w:val="24"/>
        </w:rPr>
      </w:pPr>
      <w:r>
        <w:rPr>
          <w:rFonts w:hint="default" w:ascii="Times New Roman" w:hAnsi="Times New Roman" w:eastAsia="仿宋_GB2312" w:cs="Times New Roman"/>
          <w:snapToGrid w:val="0"/>
          <w:color w:val="000000"/>
          <w:sz w:val="24"/>
        </w:rPr>
        <w:t>B类：项目基本符合专项资金项目重点支持方向，具有一定的社会效益、经济效益，但在某些方面仍需改进和提升。建议暂缓立项(70-79分)。</w:t>
      </w:r>
    </w:p>
    <w:p>
      <w:pPr>
        <w:ind w:firstLine="480" w:firstLineChars="200"/>
        <w:rPr>
          <w:rFonts w:hint="default"/>
          <w:lang w:val="en-US" w:eastAsia="zh-CN"/>
        </w:rPr>
      </w:pPr>
      <w:r>
        <w:rPr>
          <w:rFonts w:hint="default" w:ascii="Times New Roman" w:hAnsi="Times New Roman" w:eastAsia="仿宋_GB2312" w:cs="Times New Roman"/>
          <w:snapToGrid w:val="0"/>
          <w:color w:val="000000"/>
          <w:sz w:val="24"/>
        </w:rPr>
        <w:t>C类：项目尚不成熟，不建议立项(70分以下)。</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color w:val="000000"/>
          <w:sz w:val="32"/>
          <w:szCs w:val="32"/>
          <w:highlight w:val="none"/>
        </w:rPr>
      </w:pPr>
      <w:r>
        <w:rPr>
          <w:rFonts w:hint="eastAsia" w:ascii="仿宋_GB2312" w:hAnsi="仿宋_GB2312" w:eastAsia="仿宋_GB2312" w:cs="仿宋_GB2312"/>
          <w:bCs/>
          <w:color w:val="000000"/>
          <w:sz w:val="32"/>
          <w:szCs w:val="32"/>
          <w:highlight w:val="none"/>
          <w:lang w:val="en-US" w:eastAsia="zh-CN"/>
        </w:rPr>
        <w:t>2.</w:t>
      </w:r>
      <w:r>
        <w:rPr>
          <w:rFonts w:hint="eastAsia" w:ascii="仿宋_GB2312" w:hAnsi="仿宋_GB2312" w:eastAsia="仿宋_GB2312" w:cs="仿宋_GB2312"/>
          <w:bCs/>
          <w:color w:val="000000"/>
          <w:sz w:val="32"/>
          <w:szCs w:val="32"/>
          <w:highlight w:val="none"/>
        </w:rPr>
        <w:t>对获得国家或北京市支持的科幻领域重点项目，按照国家或市级支持资金30%比例予以配套，最高1500万元。</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Style w:val="21"/>
          <w:rFonts w:hint="default" w:ascii="黑体" w:hAnsi="黑体" w:eastAsia="黑体" w:cs="黑体"/>
          <w:b w:val="0"/>
          <w:bCs/>
          <w:color w:val="000000"/>
          <w:sz w:val="32"/>
          <w:szCs w:val="32"/>
          <w:highlight w:val="none"/>
          <w:lang w:val="en-US" w:eastAsia="zh-CN"/>
        </w:rPr>
      </w:pPr>
      <w:r>
        <w:rPr>
          <w:rFonts w:hint="eastAsia" w:ascii="黑体" w:hAnsi="黑体" w:eastAsia="黑体" w:cs="黑体"/>
          <w:b w:val="0"/>
          <w:bCs/>
          <w:color w:val="000000"/>
          <w:sz w:val="32"/>
          <w:szCs w:val="32"/>
          <w:highlight w:val="none"/>
          <w:lang w:val="en-US" w:eastAsia="zh-CN"/>
        </w:rPr>
        <w:t>二、</w:t>
      </w:r>
      <w:r>
        <w:rPr>
          <w:rStyle w:val="21"/>
          <w:rFonts w:hint="eastAsia" w:ascii="黑体" w:hAnsi="黑体" w:eastAsia="黑体" w:cs="黑体"/>
          <w:b w:val="0"/>
          <w:bCs/>
          <w:color w:val="000000"/>
          <w:sz w:val="32"/>
          <w:szCs w:val="32"/>
          <w:highlight w:val="none"/>
        </w:rPr>
        <w:t>支持科幻</w:t>
      </w:r>
      <w:r>
        <w:rPr>
          <w:rStyle w:val="21"/>
          <w:rFonts w:hint="eastAsia" w:ascii="黑体" w:hAnsi="黑体" w:eastAsia="黑体" w:cs="黑体"/>
          <w:b w:val="0"/>
          <w:bCs/>
          <w:color w:val="000000"/>
          <w:sz w:val="32"/>
          <w:szCs w:val="32"/>
          <w:highlight w:val="none"/>
          <w:lang w:val="en-US" w:eastAsia="zh-CN"/>
        </w:rPr>
        <w:t>内容</w:t>
      </w:r>
      <w:r>
        <w:rPr>
          <w:rStyle w:val="21"/>
          <w:rFonts w:hint="eastAsia" w:ascii="黑体" w:hAnsi="黑体" w:eastAsia="黑体" w:cs="黑体"/>
          <w:b w:val="0"/>
          <w:bCs/>
          <w:color w:val="000000"/>
          <w:sz w:val="32"/>
          <w:szCs w:val="32"/>
          <w:highlight w:val="none"/>
        </w:rPr>
        <w:t>创作</w:t>
      </w:r>
      <w:r>
        <w:rPr>
          <w:rStyle w:val="21"/>
          <w:rFonts w:hint="eastAsia" w:ascii="黑体" w:hAnsi="黑体" w:eastAsia="黑体" w:cs="黑体"/>
          <w:b w:val="0"/>
          <w:bCs/>
          <w:color w:val="000000"/>
          <w:sz w:val="32"/>
          <w:szCs w:val="32"/>
          <w:highlight w:val="none"/>
          <w:lang w:eastAsia="zh-CN"/>
        </w:rPr>
        <w:t>及</w:t>
      </w:r>
      <w:r>
        <w:rPr>
          <w:rStyle w:val="21"/>
          <w:rFonts w:hint="eastAsia" w:ascii="黑体" w:hAnsi="黑体" w:eastAsia="黑体" w:cs="黑体"/>
          <w:b w:val="0"/>
          <w:bCs/>
          <w:color w:val="000000"/>
          <w:sz w:val="32"/>
          <w:szCs w:val="32"/>
          <w:highlight w:val="none"/>
          <w:lang w:val="en-US" w:eastAsia="zh-CN"/>
        </w:rPr>
        <w:t>IP转化</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rightChars="0" w:firstLine="641" w:firstLineChars="200"/>
        <w:contextualSpacing/>
        <w:textAlignment w:val="auto"/>
        <w:rPr>
          <w:rFonts w:hint="default" w:ascii="Times New Roman" w:hAnsi="Times New Roman" w:eastAsia="楷体_GB2312" w:cs="Times New Roman"/>
          <w:color w:val="000000"/>
          <w:sz w:val="32"/>
          <w:highlight w:val="none"/>
        </w:rPr>
      </w:pPr>
      <w:r>
        <w:rPr>
          <w:rFonts w:hint="default" w:ascii="Times New Roman" w:hAnsi="Times New Roman" w:eastAsia="楷体_GB2312" w:cs="Times New Roman"/>
          <w:color w:val="000000"/>
          <w:sz w:val="32"/>
          <w:highlight w:val="none"/>
        </w:rPr>
        <w:t>（一）申报条件</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Style w:val="21"/>
          <w:rFonts w:hint="eastAsia" w:ascii="仿宋_GB2312" w:hAnsi="仿宋_GB2312" w:eastAsia="仿宋_GB2312" w:cs="仿宋_GB2312"/>
          <w:b w:val="0"/>
          <w:bCs/>
          <w:color w:val="000000"/>
          <w:sz w:val="32"/>
          <w:szCs w:val="32"/>
          <w:highlight w:val="none"/>
          <w:lang w:val="en-US" w:eastAsia="zh-CN"/>
        </w:rPr>
      </w:pPr>
      <w:r>
        <w:rPr>
          <w:rStyle w:val="21"/>
          <w:rFonts w:hint="eastAsia" w:ascii="仿宋_GB2312" w:hAnsi="仿宋_GB2312" w:eastAsia="仿宋_GB2312" w:cs="仿宋_GB2312"/>
          <w:b w:val="0"/>
          <w:bCs/>
          <w:color w:val="000000"/>
          <w:sz w:val="32"/>
          <w:szCs w:val="32"/>
          <w:highlight w:val="none"/>
          <w:lang w:val="en-US" w:eastAsia="zh-CN"/>
        </w:rPr>
        <w:t>1.申报作品已在相关部门备案，并获得相关部门批准出版运营等批文，如（1）科幻图书已获得图书ISBN书号（2）游戏已获得游戏版号（3）院线电影、网络电影、网络剧片、电视剧等影视类作品已获公映许可证或发行许可证。</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Style w:val="21"/>
          <w:rFonts w:hint="eastAsia" w:ascii="仿宋_GB2312" w:hAnsi="仿宋_GB2312" w:eastAsia="仿宋_GB2312" w:cs="仿宋_GB2312"/>
          <w:b w:val="0"/>
          <w:bCs/>
          <w:color w:val="000000"/>
          <w:sz w:val="32"/>
          <w:szCs w:val="32"/>
          <w:highlight w:val="none"/>
          <w:lang w:val="en-US" w:eastAsia="zh-CN"/>
        </w:rPr>
      </w:pPr>
      <w:r>
        <w:rPr>
          <w:rStyle w:val="21"/>
          <w:rFonts w:hint="eastAsia" w:ascii="仿宋_GB2312" w:hAnsi="仿宋_GB2312" w:eastAsia="仿宋_GB2312" w:cs="仿宋_GB2312"/>
          <w:b w:val="0"/>
          <w:bCs/>
          <w:color w:val="000000"/>
          <w:sz w:val="32"/>
          <w:szCs w:val="32"/>
          <w:highlight w:val="none"/>
          <w:lang w:val="en-US" w:eastAsia="zh-CN"/>
        </w:rPr>
        <w:t>2.申报单位须拥有所申报科幻原创作品的版权，且不存在任何知识产权等法律纠纷情况。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Style w:val="21"/>
          <w:rFonts w:hint="eastAsia" w:ascii="仿宋_GB2312" w:hAnsi="仿宋_GB2312" w:eastAsia="仿宋_GB2312" w:cs="仿宋_GB2312"/>
          <w:b w:val="0"/>
          <w:bCs/>
          <w:color w:val="000000"/>
          <w:sz w:val="32"/>
          <w:szCs w:val="32"/>
          <w:highlight w:val="none"/>
          <w:lang w:val="en-US" w:eastAsia="zh-CN"/>
        </w:rPr>
      </w:pPr>
      <w:r>
        <w:rPr>
          <w:rStyle w:val="21"/>
          <w:rFonts w:hint="eastAsia" w:ascii="仿宋_GB2312" w:hAnsi="仿宋_GB2312" w:eastAsia="仿宋_GB2312" w:cs="仿宋_GB2312"/>
          <w:b w:val="0"/>
          <w:bCs/>
          <w:color w:val="000000"/>
          <w:sz w:val="32"/>
          <w:szCs w:val="32"/>
          <w:highlight w:val="none"/>
          <w:lang w:val="en-US" w:eastAsia="zh-CN"/>
        </w:rPr>
        <w:t>3.作品内容必须正面、积极，符合社会主义核心价值观，且作品主创人员不得有劣迹。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Style w:val="21"/>
          <w:rFonts w:hint="eastAsia" w:ascii="仿宋_GB2312" w:hAnsi="仿宋_GB2312" w:eastAsia="仿宋_GB2312" w:cs="仿宋_GB2312"/>
          <w:b w:val="0"/>
          <w:bCs/>
          <w:color w:val="000000"/>
          <w:sz w:val="32"/>
          <w:szCs w:val="32"/>
          <w:highlight w:val="none"/>
          <w:lang w:eastAsia="zh-CN"/>
        </w:rPr>
      </w:pPr>
      <w:r>
        <w:rPr>
          <w:rStyle w:val="21"/>
          <w:rFonts w:hint="eastAsia" w:ascii="仿宋_GB2312" w:hAnsi="仿宋_GB2312" w:eastAsia="仿宋_GB2312" w:cs="仿宋_GB2312"/>
          <w:b w:val="0"/>
          <w:bCs/>
          <w:color w:val="000000"/>
          <w:sz w:val="32"/>
          <w:szCs w:val="32"/>
          <w:highlight w:val="none"/>
          <w:lang w:val="en-US" w:eastAsia="zh-CN"/>
        </w:rPr>
        <w:t>4.</w:t>
      </w:r>
      <w:r>
        <w:rPr>
          <w:rStyle w:val="21"/>
          <w:rFonts w:hint="eastAsia" w:ascii="仿宋_GB2312" w:hAnsi="仿宋_GB2312" w:eastAsia="仿宋_GB2312" w:cs="仿宋_GB2312"/>
          <w:b w:val="0"/>
          <w:bCs/>
          <w:color w:val="000000"/>
          <w:sz w:val="32"/>
          <w:szCs w:val="32"/>
          <w:highlight w:val="none"/>
          <w:lang w:eastAsia="zh-CN"/>
        </w:rPr>
        <w:t>申报单位</w:t>
      </w:r>
      <w:r>
        <w:rPr>
          <w:rStyle w:val="21"/>
          <w:rFonts w:hint="eastAsia" w:ascii="仿宋_GB2312" w:hAnsi="仿宋_GB2312" w:eastAsia="仿宋_GB2312" w:cs="仿宋_GB2312"/>
          <w:b w:val="0"/>
          <w:bCs/>
          <w:color w:val="000000"/>
          <w:sz w:val="32"/>
          <w:szCs w:val="32"/>
          <w:highlight w:val="none"/>
          <w:lang w:val="en-US" w:eastAsia="zh-CN"/>
        </w:rPr>
        <w:t>应</w:t>
      </w:r>
      <w:r>
        <w:rPr>
          <w:rFonts w:hint="eastAsia" w:ascii="仿宋_GB2312" w:hAnsi="仿宋_GB2312" w:eastAsia="仿宋_GB2312" w:cs="仿宋_GB2312"/>
          <w:color w:val="000000"/>
          <w:sz w:val="32"/>
          <w:szCs w:val="32"/>
          <w:highlight w:val="none"/>
          <w:lang w:val="en-US" w:eastAsia="zh-CN"/>
        </w:rPr>
        <w:t>具有健全完善的</w:t>
      </w:r>
      <w:r>
        <w:rPr>
          <w:rStyle w:val="21"/>
          <w:rFonts w:hint="eastAsia" w:ascii="仿宋_GB2312" w:hAnsi="仿宋_GB2312" w:eastAsia="仿宋_GB2312" w:cs="仿宋_GB2312"/>
          <w:b w:val="0"/>
          <w:bCs/>
          <w:color w:val="000000"/>
          <w:sz w:val="32"/>
          <w:szCs w:val="32"/>
          <w:highlight w:val="none"/>
          <w:lang w:eastAsia="zh-CN"/>
        </w:rPr>
        <w:t>财务管理制度，无不良信用记录。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Style w:val="21"/>
          <w:rFonts w:hint="eastAsia" w:ascii="仿宋_GB2312" w:hAnsi="仿宋_GB2312" w:eastAsia="仿宋_GB2312" w:cs="仿宋_GB2312"/>
          <w:b w:val="0"/>
          <w:bCs/>
          <w:color w:val="000000"/>
          <w:sz w:val="32"/>
          <w:szCs w:val="32"/>
          <w:highlight w:val="none"/>
          <w:lang w:eastAsia="zh-CN"/>
        </w:rPr>
      </w:pPr>
      <w:r>
        <w:rPr>
          <w:rStyle w:val="21"/>
          <w:rFonts w:hint="eastAsia" w:ascii="仿宋_GB2312" w:hAnsi="仿宋_GB2312" w:eastAsia="仿宋_GB2312" w:cs="仿宋_GB2312"/>
          <w:b w:val="0"/>
          <w:bCs/>
          <w:color w:val="000000"/>
          <w:sz w:val="32"/>
          <w:szCs w:val="32"/>
          <w:highlight w:val="none"/>
          <w:lang w:val="en-US" w:eastAsia="zh-CN"/>
        </w:rPr>
        <w:t>5.</w:t>
      </w:r>
      <w:r>
        <w:rPr>
          <w:rStyle w:val="21"/>
          <w:rFonts w:hint="eastAsia" w:ascii="仿宋_GB2312" w:hAnsi="仿宋_GB2312" w:eastAsia="仿宋_GB2312" w:cs="仿宋_GB2312"/>
          <w:b w:val="0"/>
          <w:bCs/>
          <w:color w:val="000000"/>
          <w:sz w:val="32"/>
          <w:szCs w:val="32"/>
          <w:highlight w:val="none"/>
          <w:lang w:eastAsia="zh-CN"/>
        </w:rPr>
        <w:t>科幻IP转化项目：申报作品（科幻影视、游戏等）须已取得相关发行许可并正式上线、公映或发行，且能清晰追溯并证明其核心内容来源于一个已有的科幻知识产权（如科幻小说、剧本、漫画等）。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Style w:val="21"/>
          <w:rFonts w:hint="eastAsia" w:ascii="仿宋_GB2312" w:hAnsi="仿宋_GB2312" w:eastAsia="仿宋_GB2312" w:cs="仿宋_GB2312"/>
          <w:b w:val="0"/>
          <w:bCs/>
          <w:color w:val="000000"/>
          <w:sz w:val="32"/>
          <w:szCs w:val="32"/>
          <w:highlight w:val="none"/>
          <w:lang w:eastAsia="zh-CN"/>
        </w:rPr>
      </w:pPr>
      <w:r>
        <w:rPr>
          <w:rStyle w:val="21"/>
          <w:rFonts w:hint="eastAsia" w:ascii="仿宋_GB2312" w:hAnsi="仿宋_GB2312" w:eastAsia="仿宋_GB2312" w:cs="仿宋_GB2312"/>
          <w:b w:val="0"/>
          <w:bCs/>
          <w:color w:val="000000"/>
          <w:sz w:val="32"/>
          <w:szCs w:val="32"/>
          <w:highlight w:val="none"/>
          <w:lang w:val="en-US" w:eastAsia="zh-CN"/>
        </w:rPr>
        <w:t>6.</w:t>
      </w:r>
      <w:r>
        <w:rPr>
          <w:rStyle w:val="21"/>
          <w:rFonts w:hint="eastAsia" w:ascii="仿宋_GB2312" w:hAnsi="仿宋_GB2312" w:eastAsia="仿宋_GB2312" w:cs="仿宋_GB2312"/>
          <w:b w:val="0"/>
          <w:bCs/>
          <w:color w:val="000000"/>
          <w:sz w:val="32"/>
          <w:szCs w:val="32"/>
          <w:highlight w:val="none"/>
          <w:lang w:eastAsia="zh-CN"/>
        </w:rPr>
        <w:t>科幻IP交易项目：交易的科幻IP版权权属清晰，无法律纠纷，且已完成版权变更登记或相关法律手续。交易双方均须为市场独立主体，关联方交易除外。</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Style w:val="21"/>
          <w:rFonts w:hint="eastAsia" w:ascii="仿宋_GB2312" w:hAnsi="仿宋_GB2312" w:eastAsia="仿宋_GB2312" w:cs="仿宋_GB2312"/>
          <w:b w:val="0"/>
          <w:bCs/>
          <w:color w:val="000000"/>
          <w:sz w:val="32"/>
          <w:szCs w:val="32"/>
          <w:highlight w:val="none"/>
          <w:lang w:val="en-US" w:eastAsia="zh-CN"/>
        </w:rPr>
      </w:pPr>
      <w:r>
        <w:rPr>
          <w:rStyle w:val="21"/>
          <w:rFonts w:hint="eastAsia" w:ascii="仿宋_GB2312" w:hAnsi="仿宋_GB2312" w:eastAsia="仿宋_GB2312" w:cs="仿宋_GB2312"/>
          <w:b w:val="0"/>
          <w:bCs/>
          <w:color w:val="000000"/>
          <w:sz w:val="32"/>
          <w:szCs w:val="32"/>
          <w:highlight w:val="none"/>
          <w:lang w:val="en-US" w:eastAsia="zh-CN"/>
        </w:rPr>
        <w:t>7.</w:t>
      </w:r>
      <w:r>
        <w:rPr>
          <w:rStyle w:val="21"/>
          <w:rFonts w:hint="eastAsia" w:ascii="仿宋_GB2312" w:hAnsi="仿宋_GB2312" w:eastAsia="仿宋_GB2312" w:cs="仿宋_GB2312"/>
          <w:b w:val="0"/>
          <w:bCs/>
          <w:color w:val="000000"/>
          <w:sz w:val="32"/>
          <w:szCs w:val="32"/>
          <w:highlight w:val="none"/>
          <w:lang w:eastAsia="zh-CN"/>
        </w:rPr>
        <w:t>申报“IP转化”支持的项目，所提交的投入费用须为与项目直接相关的合理成本，并能提供完备的第三方审计报告及证明材料。</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rightChars="0" w:firstLine="641" w:firstLineChars="200"/>
        <w:textAlignment w:val="auto"/>
        <w:rPr>
          <w:rFonts w:hint="default" w:ascii="Times New Roman" w:hAnsi="Times New Roman" w:eastAsia="楷体_GB2312" w:cs="Times New Roman"/>
          <w:b/>
          <w:bCs/>
          <w:color w:val="000000"/>
          <w:sz w:val="32"/>
          <w:highlight w:val="none"/>
        </w:rPr>
      </w:pPr>
      <w:r>
        <w:rPr>
          <w:rFonts w:hint="default" w:ascii="Times New Roman" w:hAnsi="Times New Roman" w:eastAsia="楷体_GB2312" w:cs="Times New Roman"/>
          <w:b/>
          <w:bCs/>
          <w:color w:val="000000"/>
          <w:sz w:val="32"/>
          <w:highlight w:val="none"/>
        </w:rPr>
        <w:t>（二）支持标准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Style w:val="21"/>
          <w:rFonts w:hint="eastAsia" w:ascii="仿宋_GB2312" w:hAnsi="仿宋_GB2312" w:eastAsia="仿宋_GB2312" w:cs="仿宋_GB2312"/>
          <w:b w:val="0"/>
          <w:bCs/>
          <w:color w:val="000000"/>
          <w:sz w:val="32"/>
          <w:szCs w:val="32"/>
          <w:highlight w:val="none"/>
        </w:rPr>
      </w:pPr>
      <w:r>
        <w:rPr>
          <w:rStyle w:val="21"/>
          <w:rFonts w:hint="eastAsia" w:ascii="仿宋_GB2312" w:hAnsi="仿宋_GB2312" w:eastAsia="仿宋_GB2312" w:cs="仿宋_GB2312"/>
          <w:b w:val="0"/>
          <w:bCs/>
          <w:color w:val="000000"/>
          <w:sz w:val="32"/>
          <w:szCs w:val="32"/>
          <w:highlight w:val="none"/>
          <w:lang w:val="en-US" w:eastAsia="zh-CN"/>
        </w:rPr>
        <w:t>1.</w:t>
      </w:r>
      <w:r>
        <w:rPr>
          <w:rStyle w:val="21"/>
          <w:rFonts w:hint="eastAsia" w:ascii="仿宋_GB2312" w:hAnsi="仿宋_GB2312" w:eastAsia="仿宋_GB2312" w:cs="仿宋_GB2312"/>
          <w:b w:val="0"/>
          <w:bCs/>
          <w:color w:val="000000"/>
          <w:sz w:val="32"/>
          <w:szCs w:val="32"/>
          <w:highlight w:val="none"/>
        </w:rPr>
        <w:t>对</w:t>
      </w:r>
      <w:r>
        <w:rPr>
          <w:rStyle w:val="21"/>
          <w:rFonts w:hint="eastAsia" w:ascii="仿宋_GB2312" w:hAnsi="仿宋_GB2312" w:eastAsia="仿宋_GB2312" w:cs="仿宋_GB2312"/>
          <w:b w:val="0"/>
          <w:bCs/>
          <w:color w:val="000000"/>
          <w:sz w:val="32"/>
          <w:szCs w:val="32"/>
          <w:highlight w:val="none"/>
          <w:lang w:eastAsia="zh-CN"/>
        </w:rPr>
        <w:t>获得版权并出版发行的科幻作品</w:t>
      </w:r>
      <w:r>
        <w:rPr>
          <w:rStyle w:val="21"/>
          <w:rFonts w:hint="eastAsia" w:ascii="仿宋_GB2312" w:hAnsi="仿宋_GB2312" w:eastAsia="仿宋_GB2312" w:cs="仿宋_GB2312"/>
          <w:b w:val="0"/>
          <w:bCs/>
          <w:color w:val="000000"/>
          <w:sz w:val="32"/>
          <w:szCs w:val="32"/>
          <w:highlight w:val="none"/>
        </w:rPr>
        <w:t>，每部（项）作品给予一次性5万元资金支持。</w:t>
      </w:r>
    </w:p>
    <w:p>
      <w:pPr>
        <w:widowControl w:val="0"/>
        <w:adjustRightInd w:val="0"/>
        <w:snapToGrid w:val="0"/>
        <w:spacing w:line="560" w:lineRule="exact"/>
        <w:ind w:firstLine="640" w:firstLineChars="200"/>
        <w:rPr>
          <w:rStyle w:val="21"/>
          <w:rFonts w:hint="eastAsia" w:ascii="仿宋_GB2312" w:hAnsi="仿宋_GB2312" w:eastAsia="仿宋_GB2312" w:cs="仿宋_GB2312"/>
          <w:b w:val="0"/>
          <w:bCs/>
          <w:color w:val="000000"/>
          <w:sz w:val="32"/>
          <w:szCs w:val="32"/>
          <w:highlight w:val="none"/>
          <w:lang w:eastAsia="zh-CN"/>
        </w:rPr>
      </w:pPr>
      <w:r>
        <w:rPr>
          <w:rStyle w:val="21"/>
          <w:rFonts w:hint="eastAsia" w:ascii="仿宋_GB2312" w:hAnsi="仿宋_GB2312" w:eastAsia="仿宋_GB2312" w:cs="仿宋_GB2312"/>
          <w:b w:val="0"/>
          <w:bCs/>
          <w:color w:val="000000"/>
          <w:sz w:val="32"/>
          <w:szCs w:val="32"/>
          <w:highlight w:val="none"/>
          <w:lang w:val="en-US" w:eastAsia="zh-CN"/>
        </w:rPr>
        <w:t>2.</w:t>
      </w:r>
      <w:r>
        <w:rPr>
          <w:rFonts w:hint="eastAsia" w:ascii="仿宋_GB2312" w:hAnsi="仿宋_GB2312" w:eastAsia="仿宋_GB2312" w:cs="仿宋_GB2312"/>
          <w:b w:val="0"/>
          <w:bCs/>
          <w:color w:val="000000"/>
          <w:sz w:val="32"/>
          <w:szCs w:val="32"/>
          <w:highlight w:val="none"/>
          <w:lang w:eastAsia="zh-CN"/>
        </w:rPr>
        <w:t>科幻IP</w:t>
      </w:r>
      <w:r>
        <w:rPr>
          <w:rFonts w:hint="eastAsia" w:ascii="仿宋_GB2312" w:hAnsi="仿宋_GB2312" w:eastAsia="仿宋_GB2312" w:cs="仿宋_GB2312"/>
          <w:b w:val="0"/>
          <w:bCs/>
          <w:color w:val="000000"/>
          <w:sz w:val="32"/>
          <w:szCs w:val="32"/>
          <w:highlight w:val="none"/>
          <w:lang w:val="en-US" w:eastAsia="zh-CN"/>
        </w:rPr>
        <w:t>版权引育孵化：</w:t>
      </w:r>
      <w:r>
        <w:rPr>
          <w:rStyle w:val="21"/>
          <w:rFonts w:hint="eastAsia" w:ascii="仿宋_GB2312" w:hAnsi="仿宋_GB2312" w:eastAsia="仿宋_GB2312" w:cs="仿宋_GB2312"/>
          <w:b w:val="0"/>
          <w:bCs/>
          <w:color w:val="000000"/>
          <w:sz w:val="32"/>
          <w:szCs w:val="32"/>
          <w:highlight w:val="none"/>
          <w:lang w:eastAsia="zh-CN"/>
        </w:rPr>
        <w:t>按实际获得且完成入账的IP版权交易额的10%给予补贴，单个项目补贴金额最高</w:t>
      </w:r>
      <w:r>
        <w:rPr>
          <w:rStyle w:val="21"/>
          <w:rFonts w:hint="eastAsia" w:ascii="仿宋_GB2312" w:hAnsi="仿宋_GB2312" w:eastAsia="仿宋_GB2312" w:cs="仿宋_GB2312"/>
          <w:b w:val="0"/>
          <w:bCs/>
          <w:color w:val="000000"/>
          <w:sz w:val="32"/>
          <w:szCs w:val="32"/>
          <w:highlight w:val="none"/>
          <w:lang w:val="en-US" w:eastAsia="zh-CN"/>
        </w:rPr>
        <w:t>10</w:t>
      </w:r>
      <w:r>
        <w:rPr>
          <w:rStyle w:val="21"/>
          <w:rFonts w:hint="eastAsia" w:ascii="仿宋_GB2312" w:hAnsi="仿宋_GB2312" w:eastAsia="仿宋_GB2312" w:cs="仿宋_GB2312"/>
          <w:b w:val="0"/>
          <w:bCs/>
          <w:color w:val="000000"/>
          <w:sz w:val="32"/>
          <w:szCs w:val="32"/>
          <w:highlight w:val="none"/>
          <w:lang w:eastAsia="zh-CN"/>
        </w:rPr>
        <w:t>0万元，</w:t>
      </w:r>
      <w:r>
        <w:rPr>
          <w:rStyle w:val="21"/>
          <w:rFonts w:hint="eastAsia" w:ascii="仿宋_GB2312" w:hAnsi="仿宋_GB2312" w:eastAsia="仿宋_GB2312" w:cs="仿宋_GB2312"/>
          <w:b w:val="0"/>
          <w:bCs/>
          <w:color w:val="000000"/>
          <w:sz w:val="32"/>
          <w:szCs w:val="32"/>
          <w:highlight w:val="none"/>
          <w:lang w:val="en-US" w:eastAsia="zh-CN"/>
        </w:rPr>
        <w:t>同一企业当年最高享受200万元支持</w:t>
      </w:r>
      <w:r>
        <w:rPr>
          <w:rStyle w:val="21"/>
          <w:rFonts w:hint="eastAsia" w:ascii="仿宋_GB2312" w:hAnsi="仿宋_GB2312" w:eastAsia="仿宋_GB2312" w:cs="仿宋_GB2312"/>
          <w:b w:val="0"/>
          <w:bCs/>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Style w:val="21"/>
          <w:rFonts w:hint="eastAsia" w:ascii="仿宋_GB2312" w:hAnsi="仿宋_GB2312" w:eastAsia="仿宋_GB2312" w:cs="仿宋_GB2312"/>
          <w:b w:val="0"/>
          <w:bCs/>
          <w:color w:val="000000"/>
          <w:sz w:val="32"/>
          <w:szCs w:val="32"/>
          <w:highlight w:val="none"/>
          <w:lang w:eastAsia="zh-CN"/>
        </w:rPr>
      </w:pPr>
      <w:r>
        <w:rPr>
          <w:rFonts w:hint="eastAsia" w:ascii="仿宋_GB2312" w:hAnsi="仿宋_GB2312" w:eastAsia="仿宋_GB2312" w:cs="仿宋_GB2312"/>
          <w:b w:val="0"/>
          <w:bCs/>
          <w:color w:val="000000"/>
          <w:sz w:val="32"/>
          <w:szCs w:val="32"/>
          <w:highlight w:val="none"/>
          <w:lang w:val="en-US" w:eastAsia="zh-CN"/>
        </w:rPr>
        <w:t>3.</w:t>
      </w:r>
      <w:r>
        <w:rPr>
          <w:rStyle w:val="21"/>
          <w:rFonts w:hint="eastAsia" w:ascii="仿宋_GB2312" w:hAnsi="仿宋_GB2312" w:eastAsia="仿宋_GB2312" w:cs="仿宋_GB2312"/>
          <w:b w:val="0"/>
          <w:bCs/>
          <w:color w:val="000000"/>
          <w:sz w:val="32"/>
          <w:szCs w:val="32"/>
          <w:highlight w:val="none"/>
          <w:lang w:eastAsia="zh-CN"/>
        </w:rPr>
        <w:t>科幻IP转化支持：对经评审的科幻IP转化作品及</w:t>
      </w:r>
      <w:r>
        <w:rPr>
          <w:rStyle w:val="21"/>
          <w:rFonts w:hint="eastAsia" w:ascii="仿宋_GB2312" w:hAnsi="仿宋_GB2312" w:eastAsia="仿宋_GB2312" w:cs="仿宋_GB2312"/>
          <w:b w:val="0"/>
          <w:bCs/>
          <w:color w:val="000000"/>
          <w:sz w:val="32"/>
          <w:szCs w:val="32"/>
          <w:highlight w:val="none"/>
          <w:lang w:val="en-US" w:eastAsia="zh-CN"/>
        </w:rPr>
        <w:t>IP开发相关科幻产品</w:t>
      </w:r>
      <w:r>
        <w:rPr>
          <w:rStyle w:val="21"/>
          <w:rFonts w:hint="eastAsia" w:ascii="仿宋_GB2312" w:hAnsi="仿宋_GB2312" w:eastAsia="仿宋_GB2312" w:cs="仿宋_GB2312"/>
          <w:b w:val="0"/>
          <w:bCs/>
          <w:color w:val="000000"/>
          <w:sz w:val="32"/>
          <w:szCs w:val="32"/>
          <w:highlight w:val="none"/>
          <w:lang w:eastAsia="zh-CN"/>
        </w:rPr>
        <w:t>，按其实际投入费用的30%给予一次性资金支持，单个项目支持金额最高</w:t>
      </w:r>
      <w:r>
        <w:rPr>
          <w:rStyle w:val="21"/>
          <w:rFonts w:hint="eastAsia" w:ascii="仿宋_GB2312" w:hAnsi="仿宋_GB2312" w:eastAsia="仿宋_GB2312" w:cs="仿宋_GB2312"/>
          <w:b w:val="0"/>
          <w:bCs/>
          <w:color w:val="000000"/>
          <w:sz w:val="32"/>
          <w:szCs w:val="32"/>
          <w:highlight w:val="none"/>
          <w:lang w:val="en-US" w:eastAsia="zh-CN"/>
        </w:rPr>
        <w:t>3</w:t>
      </w:r>
      <w:r>
        <w:rPr>
          <w:rStyle w:val="21"/>
          <w:rFonts w:hint="eastAsia" w:ascii="仿宋_GB2312" w:hAnsi="仿宋_GB2312" w:eastAsia="仿宋_GB2312" w:cs="仿宋_GB2312"/>
          <w:b w:val="0"/>
          <w:bCs/>
          <w:color w:val="000000"/>
          <w:sz w:val="32"/>
          <w:szCs w:val="32"/>
          <w:highlight w:val="none"/>
          <w:lang w:eastAsia="zh-CN"/>
        </w:rPr>
        <w:t>00万元。</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Style w:val="21"/>
          <w:rFonts w:hint="eastAsia" w:ascii="黑体" w:hAnsi="黑体" w:eastAsia="黑体" w:cs="黑体"/>
          <w:b w:val="0"/>
          <w:bCs w:val="0"/>
          <w:color w:val="000000"/>
          <w:sz w:val="32"/>
          <w:szCs w:val="32"/>
          <w:highlight w:val="none"/>
          <w:lang w:eastAsia="zh-CN"/>
        </w:rPr>
      </w:pPr>
      <w:r>
        <w:rPr>
          <w:rStyle w:val="21"/>
          <w:rFonts w:hint="eastAsia" w:ascii="黑体" w:hAnsi="黑体" w:eastAsia="黑体" w:cs="黑体"/>
          <w:b w:val="0"/>
          <w:bCs w:val="0"/>
          <w:color w:val="000000"/>
          <w:sz w:val="32"/>
          <w:szCs w:val="32"/>
          <w:highlight w:val="none"/>
          <w:lang w:val="en-US" w:eastAsia="zh-CN"/>
        </w:rPr>
        <w:t>三、</w:t>
      </w:r>
      <w:r>
        <w:rPr>
          <w:rStyle w:val="21"/>
          <w:rFonts w:hint="eastAsia" w:ascii="黑体" w:hAnsi="黑体" w:eastAsia="黑体" w:cs="黑体"/>
          <w:b w:val="0"/>
          <w:bCs w:val="0"/>
          <w:color w:val="000000"/>
          <w:sz w:val="32"/>
          <w:szCs w:val="32"/>
          <w:highlight w:val="none"/>
          <w:lang w:eastAsia="zh-CN"/>
        </w:rPr>
        <w:t>加强</w:t>
      </w:r>
      <w:r>
        <w:rPr>
          <w:rStyle w:val="21"/>
          <w:rFonts w:hint="eastAsia" w:ascii="黑体" w:hAnsi="黑体" w:eastAsia="黑体" w:cs="黑体"/>
          <w:b w:val="0"/>
          <w:bCs w:val="0"/>
          <w:color w:val="000000"/>
          <w:sz w:val="32"/>
          <w:szCs w:val="32"/>
          <w:highlight w:val="none"/>
        </w:rPr>
        <w:t>创新策源力量</w:t>
      </w:r>
      <w:r>
        <w:rPr>
          <w:rStyle w:val="21"/>
          <w:rFonts w:hint="eastAsia" w:ascii="黑体" w:hAnsi="黑体" w:eastAsia="黑体" w:cs="黑体"/>
          <w:b w:val="0"/>
          <w:bCs w:val="0"/>
          <w:color w:val="000000"/>
          <w:sz w:val="32"/>
          <w:szCs w:val="32"/>
          <w:highlight w:val="none"/>
          <w:lang w:eastAsia="zh-CN"/>
        </w:rPr>
        <w:t>引入</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rightChars="0" w:firstLine="641" w:firstLineChars="200"/>
        <w:contextualSpacing/>
        <w:textAlignment w:val="auto"/>
        <w:rPr>
          <w:rFonts w:hint="default" w:ascii="Times New Roman" w:hAnsi="Times New Roman" w:eastAsia="楷体_GB2312" w:cs="Times New Roman"/>
          <w:color w:val="000000"/>
          <w:sz w:val="32"/>
          <w:highlight w:val="none"/>
        </w:rPr>
      </w:pPr>
      <w:r>
        <w:rPr>
          <w:rFonts w:hint="default" w:ascii="Times New Roman" w:hAnsi="Times New Roman" w:eastAsia="楷体_GB2312" w:cs="Times New Roman"/>
          <w:color w:val="000000"/>
          <w:sz w:val="32"/>
          <w:highlight w:val="none"/>
        </w:rPr>
        <w:t>（一）申报条件</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textAlignment w:val="auto"/>
        <w:rPr>
          <w:rStyle w:val="21"/>
          <w:rFonts w:hint="eastAsia" w:ascii="仿宋_GB2312" w:hAnsi="仿宋_GB2312" w:eastAsia="仿宋_GB2312" w:cs="仿宋_GB2312"/>
          <w:b w:val="0"/>
          <w:bCs/>
          <w:color w:val="000000"/>
          <w:sz w:val="32"/>
          <w:szCs w:val="32"/>
          <w:highlight w:val="none"/>
          <w:lang w:val="en-US" w:eastAsia="zh-CN"/>
        </w:rPr>
      </w:pPr>
      <w:r>
        <w:rPr>
          <w:rStyle w:val="21"/>
          <w:rFonts w:hint="eastAsia" w:ascii="仿宋_GB2312" w:hAnsi="仿宋_GB2312" w:eastAsia="仿宋_GB2312" w:cs="仿宋_GB2312"/>
          <w:b w:val="0"/>
          <w:bCs/>
          <w:color w:val="000000"/>
          <w:sz w:val="32"/>
          <w:szCs w:val="32"/>
          <w:highlight w:val="none"/>
          <w:lang w:val="en-US" w:eastAsia="zh-CN"/>
        </w:rPr>
        <w:t>1.对符合申报条件的国家级或市级重点实验室，需明确建设运营主体，同时提供相关获批文件及认定证书。</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textAlignment w:val="auto"/>
        <w:rPr>
          <w:rStyle w:val="21"/>
          <w:rFonts w:hint="eastAsia" w:ascii="仿宋_GB2312" w:hAnsi="仿宋_GB2312" w:eastAsia="仿宋_GB2312" w:cs="仿宋_GB2312"/>
          <w:b w:val="0"/>
          <w:bCs/>
          <w:color w:val="000000"/>
          <w:sz w:val="32"/>
          <w:szCs w:val="32"/>
          <w:highlight w:val="none"/>
          <w:lang w:val="en-US" w:eastAsia="zh-CN"/>
        </w:rPr>
      </w:pPr>
      <w:r>
        <w:rPr>
          <w:rStyle w:val="21"/>
          <w:rFonts w:hint="eastAsia" w:ascii="仿宋_GB2312" w:hAnsi="仿宋_GB2312" w:eastAsia="仿宋_GB2312" w:cs="仿宋_GB2312"/>
          <w:b w:val="0"/>
          <w:bCs/>
          <w:color w:val="000000"/>
          <w:sz w:val="32"/>
          <w:szCs w:val="32"/>
          <w:highlight w:val="none"/>
          <w:lang w:val="en-US" w:eastAsia="zh-CN"/>
        </w:rPr>
        <w:t>2.校企申报实验室运营费用补贴的，需成立时间满一年，参与共建的产业研究机构、技能培育基地和技术创新实验室等企业，需在关键领域具有产业基础与创新能力，高校应具备相关学科专业优势，拥有完善的科研教学体系与师资力量。校企双方需提供详细的实验室建设方案与人才培养计划，明确关键领域的研究方向与预期成果。技能培育基地、技术创新实验室每年新增培养学生数量不少于200人，每年进入游戏行业的学生数量不少于50人。</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仿宋_GB2312" w:hAnsi="仿宋_GB2312" w:eastAsia="仿宋_GB2312" w:cs="仿宋_GB2312"/>
          <w:bCs/>
          <w:color w:val="000000"/>
          <w:sz w:val="32"/>
          <w:szCs w:val="32"/>
          <w:lang w:val="en-US" w:eastAsia="zh-CN"/>
        </w:rPr>
      </w:pPr>
      <w:r>
        <w:rPr>
          <w:rStyle w:val="21"/>
          <w:rFonts w:hint="eastAsia" w:ascii="仿宋_GB2312" w:hAnsi="仿宋_GB2312" w:eastAsia="仿宋_GB2312" w:cs="仿宋_GB2312"/>
          <w:b w:val="0"/>
          <w:bCs/>
          <w:color w:val="000000"/>
          <w:sz w:val="32"/>
          <w:szCs w:val="32"/>
          <w:highlight w:val="none"/>
          <w:lang w:val="en-US" w:eastAsia="zh-CN"/>
        </w:rPr>
        <w:t>3.运营费用包括：人工成本、设备购置与维护、场地租赁（</w:t>
      </w:r>
      <w:r>
        <w:rPr>
          <w:rFonts w:hint="eastAsia" w:ascii="仿宋_GB2312" w:hAnsi="仿宋_GB2312" w:eastAsia="仿宋_GB2312" w:cs="仿宋_GB2312"/>
          <w:bCs/>
          <w:color w:val="000000"/>
          <w:sz w:val="32"/>
          <w:szCs w:val="32"/>
          <w:highlight w:val="none"/>
          <w:lang w:val="en-US" w:eastAsia="zh-CN"/>
        </w:rPr>
        <w:t>以实际租赁协议、房屋产权证明等资料载明面积为准</w:t>
      </w:r>
      <w:r>
        <w:rPr>
          <w:rStyle w:val="21"/>
          <w:rFonts w:hint="eastAsia" w:ascii="仿宋_GB2312" w:hAnsi="仿宋_GB2312" w:eastAsia="仿宋_GB2312" w:cs="仿宋_GB2312"/>
          <w:b w:val="0"/>
          <w:bCs/>
          <w:color w:val="000000"/>
          <w:sz w:val="32"/>
          <w:szCs w:val="32"/>
          <w:highlight w:val="none"/>
          <w:lang w:val="en-US" w:eastAsia="zh-CN"/>
        </w:rPr>
        <w:t>）、活动举办等直接相关费用。</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rightChars="0" w:firstLine="641" w:firstLineChars="200"/>
        <w:textAlignment w:val="auto"/>
        <w:rPr>
          <w:rFonts w:hint="default" w:ascii="Times New Roman" w:hAnsi="Times New Roman" w:eastAsia="楷体_GB2312" w:cs="Times New Roman"/>
          <w:b/>
          <w:bCs/>
          <w:color w:val="000000"/>
          <w:sz w:val="32"/>
          <w:highlight w:val="none"/>
        </w:rPr>
      </w:pPr>
      <w:r>
        <w:rPr>
          <w:rFonts w:hint="default" w:ascii="Times New Roman" w:hAnsi="Times New Roman" w:eastAsia="楷体_GB2312" w:cs="Times New Roman"/>
          <w:b/>
          <w:bCs/>
          <w:color w:val="000000"/>
          <w:sz w:val="32"/>
          <w:highlight w:val="none"/>
        </w:rPr>
        <w:t>（二）支持标准</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Style w:val="21"/>
          <w:rFonts w:hint="eastAsia" w:ascii="仿宋_GB2312" w:hAnsi="仿宋_GB2312" w:eastAsia="仿宋_GB2312" w:cs="仿宋_GB2312"/>
          <w:b w:val="0"/>
          <w:color w:val="000000"/>
          <w:sz w:val="32"/>
          <w:szCs w:val="32"/>
          <w:highlight w:val="none"/>
        </w:rPr>
      </w:pPr>
      <w:r>
        <w:rPr>
          <w:rStyle w:val="21"/>
          <w:rFonts w:hint="eastAsia" w:ascii="仿宋_GB2312" w:hAnsi="仿宋_GB2312" w:eastAsia="仿宋_GB2312" w:cs="仿宋_GB2312"/>
          <w:b w:val="0"/>
          <w:bCs/>
          <w:color w:val="000000"/>
          <w:sz w:val="32"/>
          <w:szCs w:val="32"/>
          <w:highlight w:val="none"/>
          <w:lang w:val="en-US" w:eastAsia="zh-CN"/>
        </w:rPr>
        <w:t>1.</w:t>
      </w:r>
      <w:r>
        <w:rPr>
          <w:rStyle w:val="21"/>
          <w:rFonts w:hint="eastAsia" w:ascii="仿宋_GB2312" w:hAnsi="仿宋_GB2312" w:eastAsia="仿宋_GB2312" w:cs="仿宋_GB2312"/>
          <w:b w:val="0"/>
          <w:bCs/>
          <w:color w:val="000000"/>
          <w:sz w:val="32"/>
          <w:szCs w:val="32"/>
          <w:highlight w:val="none"/>
        </w:rPr>
        <w:t>对经</w:t>
      </w:r>
      <w:r>
        <w:rPr>
          <w:rStyle w:val="21"/>
          <w:rFonts w:hint="eastAsia" w:ascii="仿宋_GB2312" w:hAnsi="仿宋_GB2312" w:eastAsia="仿宋_GB2312" w:cs="仿宋_GB2312"/>
          <w:b w:val="0"/>
          <w:bCs/>
          <w:color w:val="000000"/>
          <w:sz w:val="32"/>
          <w:szCs w:val="32"/>
          <w:highlight w:val="none"/>
          <w:lang w:eastAsia="zh-CN"/>
        </w:rPr>
        <w:t>评审</w:t>
      </w:r>
      <w:r>
        <w:rPr>
          <w:rStyle w:val="21"/>
          <w:rFonts w:hint="eastAsia" w:ascii="仿宋_GB2312" w:hAnsi="仿宋_GB2312" w:eastAsia="仿宋_GB2312" w:cs="仿宋_GB2312"/>
          <w:b w:val="0"/>
          <w:bCs/>
          <w:color w:val="000000"/>
          <w:sz w:val="32"/>
          <w:szCs w:val="32"/>
          <w:highlight w:val="none"/>
        </w:rPr>
        <w:t>的国家级重点实验室，按其研发及办公场地实际使用面积的100%给予租金或购建费用补贴</w:t>
      </w:r>
      <w:r>
        <w:rPr>
          <w:rStyle w:val="21"/>
          <w:rFonts w:hint="eastAsia" w:ascii="仿宋_GB2312" w:hAnsi="仿宋_GB2312" w:eastAsia="仿宋_GB2312" w:cs="仿宋_GB2312"/>
          <w:b w:val="0"/>
          <w:bCs/>
          <w:color w:val="000000"/>
          <w:sz w:val="32"/>
          <w:szCs w:val="32"/>
          <w:highlight w:val="none"/>
          <w:lang w:eastAsia="zh-CN"/>
        </w:rPr>
        <w:t>，</w:t>
      </w:r>
      <w:r>
        <w:rPr>
          <w:rStyle w:val="21"/>
          <w:rFonts w:hint="eastAsia" w:ascii="仿宋_GB2312" w:hAnsi="仿宋_GB2312" w:eastAsia="仿宋_GB2312" w:cs="仿宋_GB2312"/>
          <w:b w:val="0"/>
          <w:color w:val="000000"/>
          <w:sz w:val="32"/>
          <w:szCs w:val="32"/>
          <w:highlight w:val="none"/>
        </w:rPr>
        <w:t>最高4000平方米</w:t>
      </w:r>
      <w:r>
        <w:rPr>
          <w:rStyle w:val="21"/>
          <w:rFonts w:hint="eastAsia" w:ascii="仿宋_GB2312" w:hAnsi="仿宋_GB2312" w:eastAsia="仿宋_GB2312" w:cs="仿宋_GB2312"/>
          <w:b w:val="0"/>
          <w:color w:val="000000"/>
          <w:sz w:val="32"/>
          <w:szCs w:val="32"/>
          <w:highlight w:val="none"/>
          <w:lang w:eastAsia="zh-CN"/>
        </w:rPr>
        <w:t>，</w:t>
      </w:r>
      <w:r>
        <w:rPr>
          <w:rStyle w:val="21"/>
          <w:rFonts w:hint="eastAsia" w:ascii="仿宋_GB2312" w:hAnsi="仿宋_GB2312" w:eastAsia="仿宋_GB2312" w:cs="仿宋_GB2312"/>
          <w:b w:val="0"/>
          <w:color w:val="000000"/>
          <w:sz w:val="32"/>
          <w:szCs w:val="32"/>
          <w:highlight w:val="none"/>
        </w:rPr>
        <w:t>并予以每年</w:t>
      </w:r>
      <w:r>
        <w:rPr>
          <w:rStyle w:val="21"/>
          <w:rFonts w:hint="eastAsia" w:ascii="仿宋_GB2312" w:hAnsi="仿宋_GB2312" w:eastAsia="仿宋_GB2312" w:cs="仿宋_GB2312"/>
          <w:b w:val="0"/>
          <w:color w:val="000000"/>
          <w:sz w:val="32"/>
          <w:szCs w:val="32"/>
          <w:highlight w:val="none"/>
          <w:lang w:eastAsia="zh-CN"/>
        </w:rPr>
        <w:t>最高</w:t>
      </w:r>
      <w:r>
        <w:rPr>
          <w:rStyle w:val="21"/>
          <w:rFonts w:hint="eastAsia" w:ascii="仿宋_GB2312" w:hAnsi="仿宋_GB2312" w:eastAsia="仿宋_GB2312" w:cs="仿宋_GB2312"/>
          <w:b w:val="0"/>
          <w:color w:val="000000"/>
          <w:sz w:val="32"/>
          <w:szCs w:val="32"/>
          <w:highlight w:val="none"/>
        </w:rPr>
        <w:t>500万元运营</w:t>
      </w:r>
      <w:r>
        <w:rPr>
          <w:rStyle w:val="21"/>
          <w:rFonts w:hint="eastAsia" w:ascii="仿宋_GB2312" w:hAnsi="仿宋_GB2312" w:eastAsia="仿宋_GB2312" w:cs="仿宋_GB2312"/>
          <w:b w:val="0"/>
          <w:color w:val="000000"/>
          <w:sz w:val="32"/>
          <w:szCs w:val="32"/>
          <w:highlight w:val="none"/>
          <w:lang w:val="en-US" w:eastAsia="zh-CN"/>
        </w:rPr>
        <w:t>费补贴</w:t>
      </w:r>
      <w:r>
        <w:rPr>
          <w:rStyle w:val="21"/>
          <w:rFonts w:hint="eastAsia" w:ascii="仿宋_GB2312" w:hAnsi="仿宋_GB2312" w:eastAsia="仿宋_GB2312" w:cs="仿宋_GB2312"/>
          <w:b w:val="0"/>
          <w:color w:val="000000"/>
          <w:sz w:val="32"/>
          <w:szCs w:val="32"/>
          <w:highlight w:val="none"/>
        </w:rPr>
        <w:t>，连续支持不超过</w:t>
      </w:r>
      <w:r>
        <w:rPr>
          <w:rStyle w:val="21"/>
          <w:rFonts w:hint="eastAsia" w:ascii="仿宋_GB2312" w:hAnsi="仿宋_GB2312" w:eastAsia="仿宋_GB2312" w:cs="仿宋_GB2312"/>
          <w:b w:val="0"/>
          <w:color w:val="000000"/>
          <w:sz w:val="32"/>
          <w:szCs w:val="32"/>
          <w:highlight w:val="none"/>
          <w:lang w:val="en-US" w:eastAsia="zh-CN"/>
        </w:rPr>
        <w:t>3</w:t>
      </w:r>
      <w:r>
        <w:rPr>
          <w:rStyle w:val="21"/>
          <w:rFonts w:hint="eastAsia" w:ascii="仿宋_GB2312" w:hAnsi="仿宋_GB2312" w:eastAsia="仿宋_GB2312" w:cs="仿宋_GB2312"/>
          <w:b w:val="0"/>
          <w:color w:val="000000"/>
          <w:sz w:val="32"/>
          <w:szCs w:val="32"/>
          <w:highlight w:val="none"/>
        </w:rPr>
        <w:t>年。</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Style w:val="21"/>
          <w:rFonts w:hint="eastAsia" w:ascii="仿宋_GB2312" w:hAnsi="仿宋_GB2312" w:eastAsia="仿宋_GB2312" w:cs="仿宋_GB2312"/>
          <w:b w:val="0"/>
          <w:color w:val="000000"/>
          <w:sz w:val="32"/>
          <w:szCs w:val="32"/>
          <w:highlight w:val="none"/>
        </w:rPr>
      </w:pPr>
      <w:r>
        <w:rPr>
          <w:rStyle w:val="21"/>
          <w:rFonts w:hint="eastAsia" w:ascii="仿宋_GB2312" w:hAnsi="仿宋_GB2312" w:eastAsia="仿宋_GB2312" w:cs="仿宋_GB2312"/>
          <w:b w:val="0"/>
          <w:bCs/>
          <w:color w:val="000000"/>
          <w:sz w:val="32"/>
          <w:szCs w:val="32"/>
          <w:highlight w:val="none"/>
          <w:lang w:val="en-US" w:eastAsia="zh-CN"/>
        </w:rPr>
        <w:t>2.</w:t>
      </w:r>
      <w:r>
        <w:rPr>
          <w:rStyle w:val="21"/>
          <w:rFonts w:hint="eastAsia" w:ascii="仿宋_GB2312" w:hAnsi="仿宋_GB2312" w:eastAsia="仿宋_GB2312" w:cs="仿宋_GB2312"/>
          <w:b w:val="0"/>
          <w:bCs/>
          <w:color w:val="000000"/>
          <w:sz w:val="32"/>
          <w:szCs w:val="32"/>
          <w:highlight w:val="none"/>
        </w:rPr>
        <w:t>对经</w:t>
      </w:r>
      <w:r>
        <w:rPr>
          <w:rStyle w:val="21"/>
          <w:rFonts w:hint="eastAsia" w:ascii="仿宋_GB2312" w:hAnsi="仿宋_GB2312" w:eastAsia="仿宋_GB2312" w:cs="仿宋_GB2312"/>
          <w:b w:val="0"/>
          <w:bCs/>
          <w:color w:val="000000"/>
          <w:sz w:val="32"/>
          <w:szCs w:val="32"/>
          <w:highlight w:val="none"/>
          <w:lang w:eastAsia="zh-CN"/>
        </w:rPr>
        <w:t>评审</w:t>
      </w:r>
      <w:r>
        <w:rPr>
          <w:rStyle w:val="21"/>
          <w:rFonts w:hint="eastAsia" w:ascii="仿宋_GB2312" w:hAnsi="仿宋_GB2312" w:eastAsia="仿宋_GB2312" w:cs="仿宋_GB2312"/>
          <w:b w:val="0"/>
          <w:bCs/>
          <w:color w:val="000000"/>
          <w:sz w:val="32"/>
          <w:szCs w:val="32"/>
          <w:highlight w:val="none"/>
        </w:rPr>
        <w:t>的市级重点实验室，按其研发及办公场地实际使用面积的80%给予租金或购建费用补贴</w:t>
      </w:r>
      <w:r>
        <w:rPr>
          <w:rStyle w:val="21"/>
          <w:rFonts w:hint="eastAsia" w:ascii="仿宋_GB2312" w:hAnsi="仿宋_GB2312" w:eastAsia="仿宋_GB2312" w:cs="仿宋_GB2312"/>
          <w:b w:val="0"/>
          <w:bCs/>
          <w:color w:val="000000"/>
          <w:sz w:val="32"/>
          <w:szCs w:val="32"/>
          <w:highlight w:val="none"/>
          <w:lang w:eastAsia="zh-CN"/>
        </w:rPr>
        <w:t>，</w:t>
      </w:r>
      <w:r>
        <w:rPr>
          <w:rStyle w:val="21"/>
          <w:rFonts w:hint="eastAsia" w:ascii="仿宋_GB2312" w:hAnsi="仿宋_GB2312" w:eastAsia="仿宋_GB2312" w:cs="仿宋_GB2312"/>
          <w:b w:val="0"/>
          <w:color w:val="000000"/>
          <w:sz w:val="32"/>
          <w:szCs w:val="32"/>
          <w:highlight w:val="none"/>
        </w:rPr>
        <w:t>最高4000平方米</w:t>
      </w:r>
      <w:r>
        <w:rPr>
          <w:rStyle w:val="21"/>
          <w:rFonts w:hint="eastAsia" w:ascii="仿宋_GB2312" w:hAnsi="仿宋_GB2312" w:eastAsia="仿宋_GB2312" w:cs="仿宋_GB2312"/>
          <w:b w:val="0"/>
          <w:color w:val="000000"/>
          <w:sz w:val="32"/>
          <w:szCs w:val="32"/>
          <w:highlight w:val="none"/>
          <w:lang w:eastAsia="zh-CN"/>
        </w:rPr>
        <w:t>。</w:t>
      </w:r>
      <w:r>
        <w:rPr>
          <w:rStyle w:val="21"/>
          <w:rFonts w:hint="eastAsia" w:ascii="仿宋_GB2312" w:hAnsi="仿宋_GB2312" w:eastAsia="仿宋_GB2312" w:cs="仿宋_GB2312"/>
          <w:b w:val="0"/>
          <w:color w:val="000000"/>
          <w:sz w:val="32"/>
          <w:szCs w:val="32"/>
          <w:highlight w:val="none"/>
        </w:rPr>
        <w:t>并予以每年</w:t>
      </w:r>
      <w:r>
        <w:rPr>
          <w:rStyle w:val="21"/>
          <w:rFonts w:hint="eastAsia" w:ascii="仿宋_GB2312" w:hAnsi="仿宋_GB2312" w:eastAsia="仿宋_GB2312" w:cs="仿宋_GB2312"/>
          <w:b w:val="0"/>
          <w:color w:val="000000"/>
          <w:sz w:val="32"/>
          <w:szCs w:val="32"/>
          <w:highlight w:val="none"/>
          <w:lang w:eastAsia="zh-CN"/>
        </w:rPr>
        <w:t>最高</w:t>
      </w:r>
      <w:r>
        <w:rPr>
          <w:rStyle w:val="21"/>
          <w:rFonts w:hint="eastAsia" w:ascii="仿宋_GB2312" w:hAnsi="仿宋_GB2312" w:eastAsia="仿宋_GB2312" w:cs="仿宋_GB2312"/>
          <w:b w:val="0"/>
          <w:color w:val="000000"/>
          <w:sz w:val="32"/>
          <w:szCs w:val="32"/>
          <w:highlight w:val="none"/>
        </w:rPr>
        <w:t>500万元运营</w:t>
      </w:r>
      <w:r>
        <w:rPr>
          <w:rStyle w:val="21"/>
          <w:rFonts w:hint="eastAsia" w:ascii="仿宋_GB2312" w:hAnsi="仿宋_GB2312" w:eastAsia="仿宋_GB2312" w:cs="仿宋_GB2312"/>
          <w:b w:val="0"/>
          <w:color w:val="000000"/>
          <w:sz w:val="32"/>
          <w:szCs w:val="32"/>
          <w:highlight w:val="none"/>
          <w:lang w:val="en-US" w:eastAsia="zh-CN"/>
        </w:rPr>
        <w:t>费补贴</w:t>
      </w:r>
      <w:r>
        <w:rPr>
          <w:rStyle w:val="21"/>
          <w:rFonts w:hint="eastAsia" w:ascii="仿宋_GB2312" w:hAnsi="仿宋_GB2312" w:eastAsia="仿宋_GB2312" w:cs="仿宋_GB2312"/>
          <w:b w:val="0"/>
          <w:color w:val="000000"/>
          <w:sz w:val="32"/>
          <w:szCs w:val="32"/>
          <w:highlight w:val="none"/>
        </w:rPr>
        <w:t>，连续支持不超过</w:t>
      </w:r>
      <w:r>
        <w:rPr>
          <w:rStyle w:val="21"/>
          <w:rFonts w:hint="eastAsia" w:ascii="仿宋_GB2312" w:hAnsi="仿宋_GB2312" w:eastAsia="仿宋_GB2312" w:cs="仿宋_GB2312"/>
          <w:b w:val="0"/>
          <w:color w:val="000000"/>
          <w:sz w:val="32"/>
          <w:szCs w:val="32"/>
          <w:highlight w:val="none"/>
          <w:lang w:val="en-US" w:eastAsia="zh-CN"/>
        </w:rPr>
        <w:t>3</w:t>
      </w:r>
      <w:r>
        <w:rPr>
          <w:rStyle w:val="21"/>
          <w:rFonts w:hint="eastAsia" w:ascii="仿宋_GB2312" w:hAnsi="仿宋_GB2312" w:eastAsia="仿宋_GB2312" w:cs="仿宋_GB2312"/>
          <w:b w:val="0"/>
          <w:color w:val="000000"/>
          <w:sz w:val="32"/>
          <w:szCs w:val="32"/>
          <w:highlight w:val="none"/>
        </w:rPr>
        <w:t>年。</w:t>
      </w:r>
    </w:p>
    <w:p>
      <w:pPr>
        <w:pStyle w:val="10"/>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textAlignment w:val="auto"/>
        <w:rPr>
          <w:rStyle w:val="21"/>
          <w:rFonts w:hint="eastAsia" w:ascii="仿宋_GB2312" w:hAnsi="仿宋_GB2312" w:eastAsia="仿宋_GB2312" w:cs="仿宋_GB2312"/>
          <w:b w:val="0"/>
          <w:color w:val="000000"/>
          <w:sz w:val="32"/>
          <w:szCs w:val="32"/>
          <w:highlight w:val="none"/>
          <w:lang w:val="en-US" w:eastAsia="zh-CN"/>
        </w:rPr>
      </w:pPr>
      <w:r>
        <w:rPr>
          <w:rStyle w:val="21"/>
          <w:rFonts w:hint="eastAsia" w:ascii="仿宋_GB2312" w:hAnsi="仿宋_GB2312" w:eastAsia="仿宋_GB2312" w:cs="仿宋_GB2312"/>
          <w:b w:val="0"/>
          <w:color w:val="000000"/>
          <w:sz w:val="32"/>
          <w:szCs w:val="32"/>
          <w:highlight w:val="none"/>
          <w:lang w:val="en-US" w:eastAsia="zh-CN"/>
        </w:rPr>
        <w:t>3.同一实验室若同时满足多级资质，按“就高不重复”原则享受支持。</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Style w:val="21"/>
          <w:rFonts w:hint="eastAsia" w:ascii="黑体" w:hAnsi="黑体" w:eastAsia="黑体" w:cs="黑体"/>
          <w:b w:val="0"/>
          <w:bCs w:val="0"/>
          <w:color w:val="000000"/>
          <w:sz w:val="32"/>
          <w:szCs w:val="32"/>
          <w:highlight w:val="none"/>
        </w:rPr>
      </w:pPr>
      <w:r>
        <w:rPr>
          <w:rStyle w:val="21"/>
          <w:rFonts w:hint="eastAsia" w:ascii="黑体" w:hAnsi="黑体" w:eastAsia="黑体" w:cs="黑体"/>
          <w:b w:val="0"/>
          <w:bCs w:val="0"/>
          <w:color w:val="000000"/>
          <w:sz w:val="32"/>
          <w:szCs w:val="32"/>
          <w:highlight w:val="none"/>
          <w:lang w:val="en-US" w:eastAsia="zh-CN"/>
        </w:rPr>
        <w:t>四、加强</w:t>
      </w:r>
      <w:r>
        <w:rPr>
          <w:rStyle w:val="21"/>
          <w:rFonts w:hint="eastAsia" w:ascii="黑体" w:hAnsi="黑体" w:eastAsia="黑体" w:cs="黑体"/>
          <w:b w:val="0"/>
          <w:bCs w:val="0"/>
          <w:color w:val="000000"/>
          <w:sz w:val="32"/>
          <w:szCs w:val="32"/>
          <w:highlight w:val="none"/>
        </w:rPr>
        <w:t>产业公共服务平台建设</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rightChars="0" w:firstLine="641" w:firstLineChars="200"/>
        <w:contextualSpacing/>
        <w:textAlignment w:val="auto"/>
        <w:rPr>
          <w:rFonts w:hint="default" w:ascii="Times New Roman" w:hAnsi="Times New Roman" w:eastAsia="楷体_GB2312" w:cs="Times New Roman"/>
          <w:color w:val="000000"/>
          <w:sz w:val="32"/>
          <w:highlight w:val="none"/>
        </w:rPr>
      </w:pPr>
      <w:r>
        <w:rPr>
          <w:rFonts w:hint="default" w:ascii="Times New Roman" w:hAnsi="Times New Roman" w:eastAsia="楷体_GB2312" w:cs="Times New Roman"/>
          <w:color w:val="000000"/>
          <w:sz w:val="32"/>
          <w:highlight w:val="none"/>
        </w:rPr>
        <w:t>（一）申报条件</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textAlignment w:val="auto"/>
        <w:rPr>
          <w:rStyle w:val="21"/>
          <w:rFonts w:hint="eastAsia" w:ascii="仿宋_GB2312" w:hAnsi="仿宋_GB2312" w:eastAsia="仿宋_GB2312" w:cs="仿宋_GB2312"/>
          <w:b w:val="0"/>
          <w:bCs/>
          <w:color w:val="000000"/>
          <w:sz w:val="32"/>
          <w:szCs w:val="32"/>
          <w:highlight w:val="none"/>
          <w:lang w:val="en-US" w:eastAsia="zh-CN"/>
        </w:rPr>
      </w:pPr>
      <w:r>
        <w:rPr>
          <w:rStyle w:val="21"/>
          <w:rFonts w:hint="eastAsia" w:ascii="仿宋_GB2312" w:hAnsi="仿宋_GB2312" w:eastAsia="仿宋_GB2312" w:cs="仿宋_GB2312"/>
          <w:b w:val="0"/>
          <w:bCs/>
          <w:color w:val="000000"/>
          <w:sz w:val="32"/>
          <w:szCs w:val="32"/>
          <w:highlight w:val="none"/>
          <w:lang w:val="en-US" w:eastAsia="zh-CN"/>
        </w:rPr>
        <w:t>1.平台架构与功能性完整，申报单位应</w:t>
      </w:r>
      <w:r>
        <w:rPr>
          <w:rFonts w:hint="eastAsia" w:ascii="仿宋_GB2312" w:hAnsi="仿宋_GB2312" w:eastAsia="仿宋_GB2312" w:cs="仿宋_GB2312"/>
          <w:color w:val="000000"/>
          <w:sz w:val="32"/>
          <w:szCs w:val="32"/>
          <w:highlight w:val="none"/>
          <w:lang w:val="en-US" w:eastAsia="zh-CN"/>
        </w:rPr>
        <w:t>具有健全完善的项目管理和财务管理制度，</w:t>
      </w:r>
      <w:r>
        <w:rPr>
          <w:rStyle w:val="21"/>
          <w:rFonts w:hint="eastAsia" w:ascii="仿宋_GB2312" w:hAnsi="仿宋_GB2312" w:eastAsia="仿宋_GB2312" w:cs="仿宋_GB2312"/>
          <w:b w:val="0"/>
          <w:bCs/>
          <w:color w:val="000000"/>
          <w:sz w:val="32"/>
          <w:szCs w:val="32"/>
          <w:highlight w:val="none"/>
          <w:lang w:val="en-US" w:eastAsia="zh-CN"/>
        </w:rPr>
        <w:t>具备建设平台所需的自筹资金、人才条件、技术装备以及完成项目所需的组织管理和协调能力。</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textAlignment w:val="auto"/>
        <w:rPr>
          <w:rStyle w:val="21"/>
          <w:rFonts w:hint="eastAsia" w:ascii="仿宋_GB2312" w:hAnsi="仿宋_GB2312" w:eastAsia="仿宋_GB2312" w:cs="仿宋_GB2312"/>
          <w:b w:val="0"/>
          <w:bCs/>
          <w:color w:val="000000"/>
          <w:sz w:val="32"/>
          <w:szCs w:val="32"/>
          <w:highlight w:val="none"/>
          <w:lang w:val="en-US" w:eastAsia="zh-CN"/>
        </w:rPr>
      </w:pPr>
      <w:r>
        <w:rPr>
          <w:rStyle w:val="21"/>
          <w:rFonts w:hint="eastAsia" w:ascii="仿宋_GB2312" w:hAnsi="仿宋_GB2312" w:eastAsia="仿宋_GB2312" w:cs="仿宋_GB2312"/>
          <w:b w:val="0"/>
          <w:bCs/>
          <w:color w:val="000000"/>
          <w:sz w:val="32"/>
          <w:szCs w:val="32"/>
          <w:highlight w:val="none"/>
          <w:lang w:val="en-US" w:eastAsia="zh-CN"/>
        </w:rPr>
        <w:t>2.平台需聚焦于硬件测试、内容创制、软件服务等科幻产业共性技术或公共服务方向。项目需已完成立项备案，并具备明确的建设规划、资金预算和实施团队。平台建成后需具备公共性、开放性和服务能力，面向科幻企业提供专业服务。</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3.企业、高校、科研院所等主体协同创新平台视为1个平台项目，由所有主体进行联合申报或经其他单位同意由一家主体作为代表申报，申报单位具有完成项目的组织管理和协调能力。</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Style w:val="21"/>
          <w:rFonts w:hint="eastAsia" w:ascii="仿宋_GB2312" w:hAnsi="仿宋_GB2312" w:eastAsia="仿宋_GB2312" w:cs="仿宋_GB2312"/>
          <w:b w:val="0"/>
          <w:bCs/>
          <w:color w:val="000000"/>
          <w:sz w:val="32"/>
          <w:szCs w:val="32"/>
          <w:highlight w:val="none"/>
          <w:lang w:val="en-US" w:eastAsia="zh-CN"/>
        </w:rPr>
        <w:t>4.平台建设投入包括：人工成本、软硬件设备采购、技术研发、市场推广、运营维护、场地租赁（</w:t>
      </w:r>
      <w:r>
        <w:rPr>
          <w:rFonts w:hint="eastAsia" w:ascii="仿宋_GB2312" w:hAnsi="仿宋_GB2312" w:eastAsia="仿宋_GB2312" w:cs="仿宋_GB2312"/>
          <w:color w:val="000000"/>
          <w:sz w:val="32"/>
          <w:szCs w:val="32"/>
          <w:highlight w:val="none"/>
          <w:lang w:val="en-US" w:eastAsia="zh-CN"/>
        </w:rPr>
        <w:t>以实际租赁协议、房屋产权证明等资料载明面积为准</w:t>
      </w:r>
      <w:r>
        <w:rPr>
          <w:rStyle w:val="21"/>
          <w:rFonts w:hint="eastAsia" w:ascii="仿宋_GB2312" w:hAnsi="仿宋_GB2312" w:eastAsia="仿宋_GB2312" w:cs="仿宋_GB2312"/>
          <w:b w:val="0"/>
          <w:bCs/>
          <w:color w:val="000000"/>
          <w:sz w:val="32"/>
          <w:szCs w:val="32"/>
          <w:highlight w:val="none"/>
          <w:lang w:val="en-US" w:eastAsia="zh-CN"/>
        </w:rPr>
        <w:t>）</w:t>
      </w:r>
      <w:r>
        <w:rPr>
          <w:rFonts w:hint="eastAsia" w:ascii="仿宋_GB2312" w:hAnsi="仿宋_GB2312" w:eastAsia="仿宋_GB2312" w:cs="仿宋_GB2312"/>
          <w:color w:val="000000"/>
          <w:sz w:val="32"/>
          <w:szCs w:val="32"/>
          <w:highlight w:val="none"/>
          <w:lang w:val="en-US" w:eastAsia="zh-CN"/>
        </w:rPr>
        <w:t>以及游戏平台建设过程中的其他直接相关费用。</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textAlignment w:val="auto"/>
        <w:rPr>
          <w:rFonts w:hint="eastAsia" w:ascii="仿宋_GB2312" w:hAnsi="仿宋_GB2312" w:eastAsia="仿宋_GB2312" w:cs="仿宋_GB2312"/>
          <w:color w:val="000000"/>
          <w:sz w:val="32"/>
          <w:szCs w:val="32"/>
          <w:highlight w:val="none"/>
          <w:lang w:val="en-US" w:eastAsia="zh-CN"/>
        </w:rPr>
      </w:pPr>
      <w:r>
        <w:rPr>
          <w:rStyle w:val="21"/>
          <w:rFonts w:hint="eastAsia" w:ascii="仿宋_GB2312" w:hAnsi="仿宋_GB2312" w:eastAsia="仿宋_GB2312" w:cs="仿宋_GB2312"/>
          <w:b w:val="0"/>
          <w:color w:val="000000"/>
          <w:sz w:val="32"/>
          <w:szCs w:val="32"/>
          <w:highlight w:val="none"/>
          <w:lang w:val="en-US" w:eastAsia="zh-CN"/>
        </w:rPr>
        <w:t>5.</w:t>
      </w:r>
      <w:r>
        <w:rPr>
          <w:rStyle w:val="21"/>
          <w:rFonts w:hint="eastAsia" w:ascii="仿宋_GB2312" w:hAnsi="仿宋_GB2312" w:eastAsia="仿宋_GB2312" w:cs="仿宋_GB2312"/>
          <w:b w:val="0"/>
          <w:color w:val="000000"/>
          <w:sz w:val="32"/>
          <w:szCs w:val="32"/>
          <w:highlight w:val="none"/>
          <w:lang w:eastAsia="zh-CN"/>
        </w:rPr>
        <w:t>科幻组织</w:t>
      </w:r>
      <w:r>
        <w:rPr>
          <w:rStyle w:val="21"/>
          <w:rFonts w:hint="eastAsia" w:ascii="仿宋_GB2312" w:hAnsi="仿宋_GB2312" w:eastAsia="仿宋_GB2312" w:cs="仿宋_GB2312"/>
          <w:b w:val="0"/>
          <w:color w:val="000000"/>
          <w:sz w:val="32"/>
          <w:szCs w:val="32"/>
          <w:highlight w:val="none"/>
        </w:rPr>
        <w:t>申报主体须为正常开展活动的科幻产业联盟、行业协会、民办非企业单位等非营利性社会组织。</w:t>
      </w:r>
      <w:r>
        <w:rPr>
          <w:rStyle w:val="21"/>
          <w:rFonts w:hint="eastAsia" w:ascii="仿宋_GB2312" w:hAnsi="仿宋_GB2312" w:eastAsia="仿宋_GB2312" w:cs="仿宋_GB2312"/>
          <w:b w:val="0"/>
          <w:color w:val="000000"/>
          <w:sz w:val="32"/>
          <w:szCs w:val="32"/>
          <w:highlight w:val="none"/>
          <w:lang w:val="en-US" w:eastAsia="zh-CN"/>
        </w:rPr>
        <w:t>要求</w:t>
      </w:r>
      <w:r>
        <w:rPr>
          <w:rStyle w:val="21"/>
          <w:rFonts w:hint="eastAsia" w:ascii="仿宋_GB2312" w:hAnsi="仿宋_GB2312" w:eastAsia="仿宋_GB2312" w:cs="仿宋_GB2312"/>
          <w:b w:val="0"/>
          <w:color w:val="000000"/>
          <w:sz w:val="32"/>
          <w:szCs w:val="32"/>
          <w:highlight w:val="none"/>
        </w:rPr>
        <w:t>组织机构健全，内部管理制度完善</w:t>
      </w:r>
      <w:r>
        <w:rPr>
          <w:rStyle w:val="21"/>
          <w:rFonts w:hint="eastAsia" w:ascii="仿宋_GB2312" w:hAnsi="仿宋_GB2312" w:eastAsia="仿宋_GB2312" w:cs="仿宋_GB2312"/>
          <w:b w:val="0"/>
          <w:color w:val="000000"/>
          <w:sz w:val="32"/>
          <w:szCs w:val="32"/>
          <w:highlight w:val="none"/>
          <w:lang w:eastAsia="zh-CN"/>
        </w:rPr>
        <w:t>，</w:t>
      </w:r>
      <w:r>
        <w:rPr>
          <w:rStyle w:val="21"/>
          <w:rFonts w:hint="eastAsia" w:ascii="仿宋_GB2312" w:hAnsi="仿宋_GB2312" w:eastAsia="仿宋_GB2312" w:cs="仿宋_GB2312"/>
          <w:b w:val="0"/>
          <w:color w:val="000000"/>
          <w:sz w:val="32"/>
          <w:szCs w:val="32"/>
          <w:highlight w:val="none"/>
          <w:lang w:val="en-US" w:eastAsia="zh-CN"/>
        </w:rPr>
        <w:t>围绕石景山区科幻产业发展，在产业促进、生态构建、公共服务等方面取得显著成效。</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rightChars="0" w:firstLine="641" w:firstLineChars="200"/>
        <w:textAlignment w:val="auto"/>
        <w:rPr>
          <w:rFonts w:hint="default" w:ascii="Times New Roman" w:hAnsi="Times New Roman" w:eastAsia="楷体_GB2312" w:cs="Times New Roman"/>
          <w:b/>
          <w:bCs/>
          <w:color w:val="000000"/>
          <w:sz w:val="32"/>
          <w:highlight w:val="none"/>
        </w:rPr>
      </w:pPr>
      <w:r>
        <w:rPr>
          <w:rFonts w:hint="default" w:ascii="Times New Roman" w:hAnsi="Times New Roman" w:eastAsia="楷体_GB2312" w:cs="Times New Roman"/>
          <w:b/>
          <w:bCs/>
          <w:color w:val="000000"/>
          <w:sz w:val="32"/>
          <w:highlight w:val="none"/>
        </w:rPr>
        <w:t>（二）支持标准</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Style w:val="21"/>
          <w:rFonts w:hint="eastAsia" w:ascii="仿宋_GB2312" w:hAnsi="仿宋_GB2312" w:eastAsia="仿宋_GB2312" w:cs="仿宋_GB2312"/>
          <w:b w:val="0"/>
          <w:color w:val="000000"/>
          <w:sz w:val="32"/>
          <w:szCs w:val="32"/>
          <w:highlight w:val="none"/>
          <w:lang w:eastAsia="zh-CN"/>
        </w:rPr>
      </w:pPr>
      <w:r>
        <w:rPr>
          <w:rStyle w:val="21"/>
          <w:rFonts w:hint="eastAsia" w:ascii="仿宋_GB2312" w:hAnsi="仿宋_GB2312" w:eastAsia="仿宋_GB2312" w:cs="仿宋_GB2312"/>
          <w:b w:val="0"/>
          <w:color w:val="000000"/>
          <w:sz w:val="32"/>
          <w:szCs w:val="32"/>
          <w:highlight w:val="none"/>
          <w:lang w:val="en-US" w:eastAsia="zh-CN"/>
        </w:rPr>
        <w:t>1.</w:t>
      </w:r>
      <w:r>
        <w:rPr>
          <w:rStyle w:val="21"/>
          <w:rFonts w:hint="eastAsia" w:ascii="仿宋_GB2312" w:hAnsi="仿宋_GB2312" w:eastAsia="仿宋_GB2312" w:cs="仿宋_GB2312"/>
          <w:b w:val="0"/>
          <w:color w:val="000000"/>
          <w:sz w:val="32"/>
          <w:szCs w:val="32"/>
          <w:highlight w:val="none"/>
          <w:lang w:eastAsia="zh-CN"/>
        </w:rPr>
        <w:t>对于经评审的公共服务平台项目，按照其经核定总投资的30%给予一次性资金支持，单个项目支持金额最高</w:t>
      </w:r>
      <w:r>
        <w:rPr>
          <w:rStyle w:val="21"/>
          <w:rFonts w:hint="eastAsia" w:ascii="仿宋_GB2312" w:hAnsi="仿宋_GB2312" w:eastAsia="仿宋_GB2312" w:cs="仿宋_GB2312"/>
          <w:b w:val="0"/>
          <w:color w:val="000000"/>
          <w:sz w:val="32"/>
          <w:szCs w:val="32"/>
          <w:highlight w:val="none"/>
          <w:lang w:val="en-US" w:eastAsia="zh-CN"/>
        </w:rPr>
        <w:t>2</w:t>
      </w:r>
      <w:r>
        <w:rPr>
          <w:rStyle w:val="21"/>
          <w:rFonts w:hint="eastAsia" w:ascii="仿宋_GB2312" w:hAnsi="仿宋_GB2312" w:eastAsia="仿宋_GB2312" w:cs="仿宋_GB2312"/>
          <w:b w:val="0"/>
          <w:color w:val="000000"/>
          <w:sz w:val="32"/>
          <w:szCs w:val="32"/>
          <w:highlight w:val="none"/>
          <w:lang w:eastAsia="zh-CN"/>
        </w:rPr>
        <w:t>00万元。</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Style w:val="21"/>
          <w:rFonts w:hint="eastAsia" w:ascii="仿宋_GB2312" w:hAnsi="仿宋_GB2312" w:eastAsia="仿宋_GB2312" w:cs="仿宋_GB2312"/>
          <w:b w:val="0"/>
          <w:color w:val="000000"/>
          <w:sz w:val="32"/>
          <w:szCs w:val="32"/>
          <w:highlight w:val="none"/>
          <w:lang w:eastAsia="zh-CN"/>
        </w:rPr>
      </w:pPr>
      <w:r>
        <w:rPr>
          <w:rStyle w:val="21"/>
          <w:rFonts w:hint="eastAsia" w:ascii="仿宋_GB2312" w:hAnsi="仿宋_GB2312" w:eastAsia="仿宋_GB2312" w:cs="仿宋_GB2312"/>
          <w:b w:val="0"/>
          <w:color w:val="000000"/>
          <w:sz w:val="32"/>
          <w:szCs w:val="32"/>
          <w:highlight w:val="none"/>
          <w:lang w:val="en-US" w:eastAsia="zh-CN"/>
        </w:rPr>
        <w:t>2.</w:t>
      </w:r>
      <w:r>
        <w:rPr>
          <w:rStyle w:val="21"/>
          <w:rFonts w:hint="eastAsia" w:ascii="仿宋_GB2312" w:hAnsi="仿宋_GB2312" w:eastAsia="仿宋_GB2312" w:cs="仿宋_GB2312"/>
          <w:b w:val="0"/>
          <w:color w:val="000000"/>
          <w:sz w:val="32"/>
          <w:szCs w:val="32"/>
          <w:highlight w:val="none"/>
          <w:lang w:eastAsia="zh-CN"/>
        </w:rPr>
        <w:t>对已获得国家或北京市资金支持的科幻领域产业平台，按照其所获上级财政支持资金总额的30%给予区级配套资金支持，单个项目配套金额最高1500万元。</w:t>
      </w:r>
    </w:p>
    <w:p>
      <w:pPr>
        <w:numPr>
          <w:ilvl w:val="0"/>
          <w:numId w:val="0"/>
        </w:numPr>
        <w:adjustRightInd w:val="0"/>
        <w:snapToGrid w:val="0"/>
        <w:spacing w:line="560" w:lineRule="exact"/>
        <w:ind w:firstLine="640" w:firstLineChars="200"/>
        <w:rPr>
          <w:rStyle w:val="21"/>
          <w:rFonts w:hint="eastAsia" w:ascii="仿宋_GB2312" w:hAnsi="仿宋_GB2312" w:eastAsia="仿宋_GB2312" w:cs="仿宋_GB2312"/>
          <w:b w:val="0"/>
          <w:color w:val="000000"/>
          <w:sz w:val="32"/>
          <w:szCs w:val="32"/>
          <w:highlight w:val="none"/>
          <w:lang w:eastAsia="zh-CN"/>
        </w:rPr>
      </w:pPr>
      <w:r>
        <w:rPr>
          <w:rStyle w:val="21"/>
          <w:rFonts w:hint="eastAsia" w:ascii="仿宋_GB2312" w:hAnsi="仿宋_GB2312" w:eastAsia="仿宋_GB2312" w:cs="仿宋_GB2312"/>
          <w:b w:val="0"/>
          <w:color w:val="000000"/>
          <w:sz w:val="32"/>
          <w:szCs w:val="32"/>
          <w:highlight w:val="none"/>
          <w:lang w:val="en-US" w:eastAsia="zh-CN"/>
        </w:rPr>
        <w:t>3.</w:t>
      </w:r>
      <w:r>
        <w:rPr>
          <w:rStyle w:val="21"/>
          <w:rFonts w:hint="eastAsia" w:ascii="仿宋_GB2312" w:hAnsi="仿宋_GB2312" w:eastAsia="仿宋_GB2312" w:cs="仿宋_GB2312"/>
          <w:b w:val="0"/>
          <w:color w:val="000000"/>
          <w:sz w:val="32"/>
          <w:szCs w:val="32"/>
          <w:highlight w:val="none"/>
        </w:rPr>
        <w:t>对达到支持标准的社会组织，按照</w:t>
      </w:r>
      <w:r>
        <w:rPr>
          <w:rStyle w:val="21"/>
          <w:rFonts w:hint="eastAsia" w:ascii="仿宋_GB2312" w:hAnsi="仿宋_GB2312" w:eastAsia="仿宋_GB2312" w:cs="仿宋_GB2312"/>
          <w:b w:val="0"/>
          <w:color w:val="000000"/>
          <w:sz w:val="32"/>
          <w:szCs w:val="32"/>
          <w:highlight w:val="none"/>
          <w:lang w:eastAsia="zh-CN"/>
        </w:rPr>
        <w:t>其服务企业的数量、举办活动场次、成果转化应用数量等情况进行</w:t>
      </w:r>
      <w:r>
        <w:rPr>
          <w:rStyle w:val="21"/>
          <w:rFonts w:hint="eastAsia" w:ascii="仿宋_GB2312" w:hAnsi="仿宋_GB2312" w:eastAsia="仿宋_GB2312" w:cs="仿宋_GB2312"/>
          <w:b w:val="0"/>
          <w:color w:val="000000"/>
          <w:sz w:val="32"/>
          <w:szCs w:val="32"/>
          <w:highlight w:val="none"/>
        </w:rPr>
        <w:t>综合</w:t>
      </w:r>
      <w:r>
        <w:rPr>
          <w:rStyle w:val="21"/>
          <w:rFonts w:hint="eastAsia" w:ascii="仿宋_GB2312" w:hAnsi="仿宋_GB2312" w:eastAsia="仿宋_GB2312" w:cs="仿宋_GB2312"/>
          <w:b w:val="0"/>
          <w:color w:val="000000"/>
          <w:sz w:val="32"/>
          <w:szCs w:val="32"/>
          <w:highlight w:val="none"/>
          <w:lang w:eastAsia="zh-CN"/>
        </w:rPr>
        <w:t>打分。按照实际得分</w:t>
      </w:r>
      <w:r>
        <w:rPr>
          <w:rStyle w:val="21"/>
          <w:rFonts w:hint="eastAsia" w:ascii="仿宋_GB2312" w:hAnsi="仿宋_GB2312" w:eastAsia="仿宋_GB2312" w:cs="仿宋_GB2312"/>
          <w:b w:val="0"/>
          <w:color w:val="000000"/>
          <w:sz w:val="32"/>
          <w:szCs w:val="32"/>
          <w:highlight w:val="none"/>
        </w:rPr>
        <w:t>给予一次性资金支持，最高20万元。</w:t>
      </w:r>
      <w:r>
        <w:rPr>
          <w:rStyle w:val="21"/>
          <w:rFonts w:hint="eastAsia" w:ascii="仿宋_GB2312" w:hAnsi="仿宋_GB2312" w:eastAsia="仿宋_GB2312" w:cs="仿宋_GB2312"/>
          <w:b w:val="0"/>
          <w:color w:val="000000"/>
          <w:sz w:val="32"/>
          <w:szCs w:val="32"/>
          <w:highlight w:val="none"/>
          <w:lang w:eastAsia="zh-CN"/>
        </w:rPr>
        <w:t>打分标准如下：</w:t>
      </w:r>
    </w:p>
    <w:tbl>
      <w:tblPr>
        <w:tblStyle w:val="18"/>
        <w:tblW w:w="481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760"/>
        <w:gridCol w:w="2892"/>
        <w:gridCol w:w="3081"/>
      </w:tblGrid>
      <w:tr>
        <w:trPr>
          <w:trHeight w:val="170" w:hRule="atLeast"/>
          <w:jc w:val="center"/>
        </w:trPr>
        <w:tc>
          <w:tcPr>
            <w:tcW w:w="1580" w:type="pct"/>
            <w:noWrap w:val="0"/>
            <w:vAlign w:val="top"/>
          </w:tcPr>
          <w:p>
            <w:pPr>
              <w:spacing w:before="240" w:line="240" w:lineRule="exact"/>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指标</w:t>
            </w:r>
          </w:p>
        </w:tc>
        <w:tc>
          <w:tcPr>
            <w:tcW w:w="1656" w:type="pct"/>
            <w:noWrap w:val="0"/>
            <w:vAlign w:val="top"/>
          </w:tcPr>
          <w:p>
            <w:pPr>
              <w:spacing w:before="240" w:line="240" w:lineRule="exact"/>
              <w:ind w:left="-163" w:leftChars="-51" w:right="-163" w:rightChars="-51"/>
              <w:jc w:val="center"/>
              <w:rPr>
                <w:rFonts w:hint="default" w:ascii="Times New Roman" w:hAnsi="Times New Roman" w:eastAsia="黑体" w:cs="Times New Roman"/>
                <w:b/>
                <w:sz w:val="28"/>
                <w:szCs w:val="28"/>
                <w:lang w:val="en-US" w:eastAsia="zh-CN"/>
              </w:rPr>
            </w:pPr>
            <w:r>
              <w:rPr>
                <w:rFonts w:hint="eastAsia" w:eastAsia="黑体" w:cs="Times New Roman"/>
                <w:b/>
                <w:sz w:val="28"/>
                <w:szCs w:val="28"/>
                <w:lang w:val="en-US" w:eastAsia="zh-CN"/>
              </w:rPr>
              <w:t>分值（单位：分）</w:t>
            </w:r>
          </w:p>
        </w:tc>
        <w:tc>
          <w:tcPr>
            <w:tcW w:w="1762" w:type="pct"/>
            <w:noWrap w:val="0"/>
            <w:vAlign w:val="top"/>
          </w:tcPr>
          <w:p>
            <w:pPr>
              <w:spacing w:before="240" w:line="240" w:lineRule="exact"/>
              <w:ind w:left="-163" w:leftChars="-51" w:right="-163" w:rightChars="-51"/>
              <w:jc w:val="center"/>
              <w:rPr>
                <w:rFonts w:hint="eastAsia" w:eastAsia="黑体" w:cs="Times New Roman"/>
                <w:b/>
                <w:sz w:val="28"/>
                <w:szCs w:val="28"/>
                <w:lang w:val="en-US" w:eastAsia="zh-CN"/>
              </w:rPr>
            </w:pPr>
            <w:r>
              <w:rPr>
                <w:rFonts w:hint="eastAsia" w:eastAsia="黑体" w:cs="Times New Roman"/>
                <w:b/>
                <w:sz w:val="28"/>
                <w:szCs w:val="28"/>
                <w:lang w:val="en-US" w:eastAsia="zh-CN"/>
              </w:rPr>
              <w:t>上限（单位：分）</w:t>
            </w:r>
          </w:p>
        </w:tc>
      </w:tr>
      <w:tr>
        <w:trPr>
          <w:trHeight w:val="170" w:hRule="atLeast"/>
          <w:jc w:val="center"/>
        </w:trPr>
        <w:tc>
          <w:tcPr>
            <w:tcW w:w="1580" w:type="pct"/>
            <w:noWrap w:val="0"/>
            <w:vAlign w:val="center"/>
          </w:tcPr>
          <w:p>
            <w:pPr>
              <w:adjustRightInd w:val="0"/>
              <w:snapToGrid w:val="0"/>
              <w:spacing w:before="240" w:line="276" w:lineRule="auto"/>
              <w:jc w:val="center"/>
              <w:rPr>
                <w:rFonts w:hint="default" w:ascii="Times New Roman" w:hAnsi="Times New Roman" w:eastAsia="仿宋_GB2312" w:cs="Times New Roman"/>
                <w:sz w:val="28"/>
                <w:szCs w:val="28"/>
              </w:rPr>
            </w:pPr>
            <w:r>
              <w:rPr>
                <w:rFonts w:hint="eastAsia" w:eastAsia="仿宋_GB2312" w:cs="Times New Roman"/>
                <w:b/>
                <w:sz w:val="28"/>
                <w:szCs w:val="28"/>
                <w:lang w:eastAsia="zh-CN"/>
              </w:rPr>
              <w:t>服务企业数量</w:t>
            </w:r>
          </w:p>
        </w:tc>
        <w:tc>
          <w:tcPr>
            <w:tcW w:w="1656" w:type="pct"/>
            <w:noWrap w:val="0"/>
            <w:vAlign w:val="center"/>
          </w:tcPr>
          <w:p>
            <w:pPr>
              <w:adjustRightInd w:val="0"/>
              <w:snapToGrid w:val="0"/>
              <w:spacing w:before="240" w:line="276" w:lineRule="auto"/>
              <w:jc w:val="center"/>
              <w:rPr>
                <w:rFonts w:hint="default" w:eastAsia="仿宋_GB2312" w:cs="Times New Roman"/>
                <w:sz w:val="30"/>
                <w:szCs w:val="30"/>
                <w:lang w:val="en-US" w:eastAsia="zh-CN"/>
              </w:rPr>
            </w:pPr>
            <w:r>
              <w:rPr>
                <w:rFonts w:hint="eastAsia" w:eastAsia="仿宋_GB2312" w:cs="Times New Roman"/>
                <w:sz w:val="30"/>
                <w:szCs w:val="30"/>
                <w:lang w:val="en-US" w:eastAsia="zh-CN"/>
              </w:rPr>
              <w:t>0.003/家</w:t>
            </w:r>
          </w:p>
        </w:tc>
        <w:tc>
          <w:tcPr>
            <w:tcW w:w="1762" w:type="pct"/>
            <w:noWrap w:val="0"/>
            <w:vAlign w:val="center"/>
          </w:tcPr>
          <w:p>
            <w:pPr>
              <w:adjustRightInd w:val="0"/>
              <w:snapToGrid w:val="0"/>
              <w:spacing w:before="240" w:line="276" w:lineRule="auto"/>
              <w:jc w:val="center"/>
              <w:rPr>
                <w:rFonts w:hint="default" w:eastAsia="仿宋_GB2312" w:cs="Times New Roman"/>
                <w:sz w:val="30"/>
                <w:szCs w:val="30"/>
                <w:lang w:val="en-US" w:eastAsia="zh-CN"/>
              </w:rPr>
            </w:pPr>
            <w:r>
              <w:rPr>
                <w:rFonts w:hint="eastAsia" w:eastAsia="仿宋_GB2312" w:cs="Times New Roman"/>
                <w:sz w:val="30"/>
                <w:szCs w:val="30"/>
                <w:lang w:val="en-US" w:eastAsia="zh-CN"/>
              </w:rPr>
              <w:t>0.3</w:t>
            </w:r>
          </w:p>
        </w:tc>
      </w:tr>
      <w:tr>
        <w:trPr>
          <w:trHeight w:val="170" w:hRule="atLeast"/>
          <w:jc w:val="center"/>
        </w:trPr>
        <w:tc>
          <w:tcPr>
            <w:tcW w:w="1580" w:type="pct"/>
            <w:noWrap w:val="0"/>
            <w:vAlign w:val="center"/>
          </w:tcPr>
          <w:p>
            <w:pPr>
              <w:adjustRightInd w:val="0"/>
              <w:snapToGrid w:val="0"/>
              <w:spacing w:before="240" w:line="276" w:lineRule="auto"/>
              <w:jc w:val="center"/>
              <w:rPr>
                <w:rFonts w:hint="default" w:ascii="Times New Roman" w:hAnsi="Times New Roman" w:eastAsia="仿宋_GB2312" w:cs="Times New Roman"/>
                <w:sz w:val="28"/>
                <w:szCs w:val="28"/>
              </w:rPr>
            </w:pPr>
            <w:r>
              <w:rPr>
                <w:rFonts w:hint="eastAsia" w:eastAsia="仿宋_GB2312" w:cs="Times New Roman"/>
                <w:b/>
                <w:sz w:val="28"/>
                <w:szCs w:val="28"/>
                <w:lang w:eastAsia="zh-CN"/>
              </w:rPr>
              <w:t>举办活动场次</w:t>
            </w:r>
          </w:p>
        </w:tc>
        <w:tc>
          <w:tcPr>
            <w:tcW w:w="1656" w:type="pct"/>
            <w:shd w:val="clear" w:color="auto" w:fill="auto"/>
            <w:noWrap w:val="0"/>
            <w:vAlign w:val="center"/>
          </w:tcPr>
          <w:p>
            <w:pPr>
              <w:adjustRightInd w:val="0"/>
              <w:snapToGrid w:val="0"/>
              <w:spacing w:before="240" w:line="276" w:lineRule="auto"/>
              <w:jc w:val="center"/>
              <w:rPr>
                <w:rFonts w:hint="default" w:ascii="Times New Roman" w:hAnsi="Times New Roman" w:eastAsia="仿宋_GB2312" w:cs="Times New Roman"/>
                <w:kern w:val="2"/>
                <w:sz w:val="30"/>
                <w:szCs w:val="30"/>
                <w:lang w:val="en-US" w:eastAsia="zh-CN" w:bidi="ar-SA"/>
              </w:rPr>
            </w:pPr>
            <w:r>
              <w:rPr>
                <w:rFonts w:hint="eastAsia" w:eastAsia="仿宋_GB2312" w:cs="Times New Roman"/>
                <w:kern w:val="2"/>
                <w:sz w:val="30"/>
                <w:szCs w:val="30"/>
                <w:lang w:val="en-US" w:eastAsia="zh-CN" w:bidi="ar-SA"/>
              </w:rPr>
              <w:t>0.06/场</w:t>
            </w:r>
          </w:p>
        </w:tc>
        <w:tc>
          <w:tcPr>
            <w:tcW w:w="1762" w:type="pct"/>
            <w:shd w:val="clear" w:color="auto" w:fill="auto"/>
            <w:noWrap w:val="0"/>
            <w:vAlign w:val="center"/>
          </w:tcPr>
          <w:p>
            <w:pPr>
              <w:adjustRightInd w:val="0"/>
              <w:snapToGrid w:val="0"/>
              <w:spacing w:before="240" w:line="276" w:lineRule="auto"/>
              <w:jc w:val="center"/>
              <w:rPr>
                <w:rFonts w:hint="default" w:eastAsia="仿宋_GB2312" w:cs="Times New Roman"/>
                <w:kern w:val="2"/>
                <w:sz w:val="30"/>
                <w:szCs w:val="30"/>
                <w:lang w:val="en-US" w:eastAsia="zh-CN" w:bidi="ar-SA"/>
              </w:rPr>
            </w:pPr>
            <w:r>
              <w:rPr>
                <w:rFonts w:hint="eastAsia" w:eastAsia="仿宋_GB2312" w:cs="Times New Roman"/>
                <w:kern w:val="2"/>
                <w:sz w:val="30"/>
                <w:szCs w:val="30"/>
                <w:lang w:val="en-US" w:eastAsia="zh-CN" w:bidi="ar-SA"/>
              </w:rPr>
              <w:t>0.3</w:t>
            </w:r>
          </w:p>
        </w:tc>
      </w:tr>
      <w:tr>
        <w:trPr>
          <w:trHeight w:val="170" w:hRule="atLeast"/>
          <w:jc w:val="center"/>
        </w:trPr>
        <w:tc>
          <w:tcPr>
            <w:tcW w:w="1580" w:type="pct"/>
            <w:noWrap w:val="0"/>
            <w:vAlign w:val="center"/>
          </w:tcPr>
          <w:p>
            <w:pPr>
              <w:adjustRightInd w:val="0"/>
              <w:snapToGrid w:val="0"/>
              <w:spacing w:before="240" w:line="276" w:lineRule="auto"/>
              <w:jc w:val="center"/>
              <w:rPr>
                <w:rFonts w:hint="default" w:ascii="Times New Roman" w:hAnsi="Times New Roman" w:eastAsia="仿宋_GB2312" w:cs="Times New Roman"/>
                <w:sz w:val="28"/>
                <w:szCs w:val="28"/>
              </w:rPr>
            </w:pPr>
            <w:r>
              <w:rPr>
                <w:rFonts w:hint="eastAsia" w:eastAsia="仿宋_GB2312" w:cs="Times New Roman"/>
                <w:b/>
                <w:sz w:val="28"/>
                <w:szCs w:val="28"/>
                <w:lang w:eastAsia="zh-CN"/>
              </w:rPr>
              <w:t>成果转化应用数量</w:t>
            </w:r>
          </w:p>
        </w:tc>
        <w:tc>
          <w:tcPr>
            <w:tcW w:w="1656" w:type="pct"/>
            <w:noWrap w:val="0"/>
            <w:vAlign w:val="center"/>
          </w:tcPr>
          <w:p>
            <w:pPr>
              <w:adjustRightInd w:val="0"/>
              <w:snapToGrid w:val="0"/>
              <w:spacing w:before="240" w:line="276" w:lineRule="auto"/>
              <w:jc w:val="center"/>
              <w:rPr>
                <w:rFonts w:hint="default" w:ascii="Times New Roman" w:hAnsi="Times New Roman" w:eastAsia="仿宋_GB2312" w:cs="Times New Roman"/>
                <w:sz w:val="30"/>
                <w:szCs w:val="30"/>
                <w:lang w:val="en-US" w:eastAsia="zh-CN"/>
              </w:rPr>
            </w:pPr>
            <w:r>
              <w:rPr>
                <w:rFonts w:hint="eastAsia" w:eastAsia="仿宋_GB2312" w:cs="Times New Roman"/>
                <w:sz w:val="30"/>
                <w:szCs w:val="30"/>
                <w:lang w:val="en-US" w:eastAsia="zh-CN"/>
              </w:rPr>
              <w:t>0.08/个</w:t>
            </w:r>
          </w:p>
        </w:tc>
        <w:tc>
          <w:tcPr>
            <w:tcW w:w="1762" w:type="pct"/>
            <w:noWrap w:val="0"/>
            <w:vAlign w:val="center"/>
          </w:tcPr>
          <w:p>
            <w:pPr>
              <w:adjustRightInd w:val="0"/>
              <w:snapToGrid w:val="0"/>
              <w:spacing w:before="240" w:line="276" w:lineRule="auto"/>
              <w:jc w:val="center"/>
              <w:rPr>
                <w:rFonts w:hint="default" w:eastAsia="仿宋_GB2312" w:cs="Times New Roman"/>
                <w:sz w:val="30"/>
                <w:szCs w:val="30"/>
                <w:lang w:val="en-US" w:eastAsia="zh-CN"/>
              </w:rPr>
            </w:pPr>
            <w:r>
              <w:rPr>
                <w:rFonts w:hint="eastAsia" w:eastAsia="仿宋_GB2312" w:cs="Times New Roman"/>
                <w:sz w:val="30"/>
                <w:szCs w:val="30"/>
                <w:lang w:val="en-US" w:eastAsia="zh-CN"/>
              </w:rPr>
              <w:t>0.4</w:t>
            </w:r>
          </w:p>
        </w:tc>
      </w:tr>
      <w:tr>
        <w:trPr>
          <w:trHeight w:val="170" w:hRule="atLeast"/>
          <w:jc w:val="center"/>
        </w:trPr>
        <w:tc>
          <w:tcPr>
            <w:tcW w:w="5000" w:type="pct"/>
            <w:gridSpan w:val="3"/>
            <w:noWrap w:val="0"/>
            <w:vAlign w:val="center"/>
          </w:tcPr>
          <w:p>
            <w:pPr>
              <w:numPr>
                <w:ilvl w:val="0"/>
                <w:numId w:val="0"/>
              </w:numPr>
              <w:adjustRightInd w:val="0"/>
              <w:snapToGrid w:val="0"/>
              <w:spacing w:before="0" w:line="560" w:lineRule="exact"/>
              <w:ind w:firstLine="643" w:firstLineChars="200"/>
              <w:jc w:val="center"/>
              <w:rPr>
                <w:rFonts w:hint="eastAsia" w:eastAsia="仿宋_GB2312" w:cs="Times New Roman"/>
                <w:sz w:val="30"/>
                <w:szCs w:val="30"/>
                <w:lang w:val="en-US" w:eastAsia="zh-CN"/>
              </w:rPr>
            </w:pPr>
            <w:r>
              <w:rPr>
                <w:rStyle w:val="21"/>
                <w:rFonts w:hint="eastAsia" w:ascii="仿宋_GB2312" w:hAnsi="仿宋_GB2312" w:eastAsia="仿宋_GB2312" w:cs="仿宋_GB2312"/>
                <w:color w:val="000000"/>
                <w:szCs w:val="32"/>
                <w:highlight w:val="none"/>
                <w:lang w:val="en-US" w:eastAsia="zh-CN"/>
              </w:rPr>
              <w:t>奖励金额= 总分*20（万元）</w:t>
            </w:r>
          </w:p>
        </w:tc>
      </w:tr>
    </w:tbl>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Style w:val="21"/>
          <w:rFonts w:hint="eastAsia" w:ascii="黑体" w:hAnsi="黑体" w:eastAsia="黑体" w:cs="黑体"/>
          <w:b w:val="0"/>
          <w:bCs/>
          <w:color w:val="000000"/>
          <w:sz w:val="32"/>
          <w:szCs w:val="32"/>
          <w:highlight w:val="none"/>
        </w:rPr>
      </w:pPr>
      <w:r>
        <w:rPr>
          <w:rFonts w:hint="eastAsia" w:ascii="黑体" w:hAnsi="黑体" w:eastAsia="黑体" w:cs="黑体"/>
          <w:b w:val="0"/>
          <w:bCs/>
          <w:color w:val="000000"/>
          <w:sz w:val="32"/>
          <w:szCs w:val="32"/>
          <w:highlight w:val="none"/>
          <w:lang w:val="en-US" w:eastAsia="zh-CN"/>
        </w:rPr>
        <w:t>五、</w:t>
      </w:r>
      <w:r>
        <w:rPr>
          <w:rStyle w:val="21"/>
          <w:rFonts w:hint="eastAsia" w:ascii="黑体" w:hAnsi="黑体" w:eastAsia="黑体" w:cs="黑体"/>
          <w:b w:val="0"/>
          <w:bCs/>
          <w:color w:val="000000"/>
          <w:sz w:val="32"/>
          <w:szCs w:val="32"/>
          <w:highlight w:val="none"/>
        </w:rPr>
        <w:t>支持科幻主题场景建设</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rightChars="0" w:firstLine="641" w:firstLineChars="200"/>
        <w:contextualSpacing/>
        <w:textAlignment w:val="auto"/>
        <w:rPr>
          <w:rFonts w:hint="default" w:ascii="Times New Roman" w:hAnsi="Times New Roman" w:eastAsia="楷体_GB2312" w:cs="Times New Roman"/>
          <w:color w:val="000000"/>
          <w:sz w:val="32"/>
          <w:highlight w:val="none"/>
        </w:rPr>
      </w:pPr>
      <w:r>
        <w:rPr>
          <w:rFonts w:hint="default" w:ascii="Times New Roman" w:hAnsi="Times New Roman" w:eastAsia="楷体_GB2312" w:cs="Times New Roman"/>
          <w:color w:val="000000"/>
          <w:sz w:val="32"/>
          <w:highlight w:val="none"/>
        </w:rPr>
        <w:t>（一）申报条件</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Style w:val="21"/>
          <w:rFonts w:hint="eastAsia" w:ascii="仿宋_GB2312" w:hAnsi="仿宋_GB2312" w:eastAsia="仿宋_GB2312" w:cs="仿宋_GB2312"/>
          <w:b w:val="0"/>
          <w:bCs/>
          <w:color w:val="000000"/>
          <w:sz w:val="32"/>
          <w:szCs w:val="32"/>
          <w:highlight w:val="none"/>
        </w:rPr>
      </w:pPr>
      <w:r>
        <w:rPr>
          <w:rStyle w:val="21"/>
          <w:rFonts w:hint="eastAsia" w:ascii="仿宋_GB2312" w:hAnsi="仿宋_GB2312" w:eastAsia="仿宋_GB2312" w:cs="仿宋_GB2312"/>
          <w:b w:val="0"/>
          <w:bCs/>
          <w:color w:val="000000"/>
          <w:sz w:val="32"/>
          <w:szCs w:val="32"/>
          <w:highlight w:val="none"/>
          <w:lang w:val="en-US" w:eastAsia="zh-CN"/>
        </w:rPr>
        <w:t>1.</w:t>
      </w:r>
      <w:r>
        <w:rPr>
          <w:rStyle w:val="21"/>
          <w:rFonts w:hint="eastAsia" w:ascii="仿宋_GB2312" w:hAnsi="仿宋_GB2312" w:eastAsia="仿宋_GB2312" w:cs="仿宋_GB2312"/>
          <w:b w:val="0"/>
          <w:bCs/>
          <w:color w:val="000000"/>
          <w:sz w:val="32"/>
          <w:szCs w:val="32"/>
          <w:highlight w:val="none"/>
        </w:rPr>
        <w:t>申报场景须为科幻主题体验场景，具体形态包括但不限于：科幻首发场馆、科幻体验消费乐园、科幻主题街区、科幻博物馆、科幻主题公园、科幻剧场等。</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Style w:val="21"/>
          <w:rFonts w:hint="eastAsia" w:ascii="仿宋_GB2312" w:hAnsi="仿宋_GB2312" w:eastAsia="仿宋_GB2312" w:cs="仿宋_GB2312"/>
          <w:b w:val="0"/>
          <w:bCs/>
          <w:color w:val="000000"/>
          <w:sz w:val="32"/>
          <w:szCs w:val="32"/>
          <w:highlight w:val="none"/>
          <w:lang w:val="en-US" w:eastAsia="zh-CN"/>
        </w:rPr>
      </w:pPr>
      <w:r>
        <w:rPr>
          <w:rStyle w:val="21"/>
          <w:rFonts w:hint="eastAsia" w:ascii="仿宋_GB2312" w:hAnsi="仿宋_GB2312" w:eastAsia="仿宋_GB2312" w:cs="仿宋_GB2312"/>
          <w:b w:val="0"/>
          <w:bCs/>
          <w:color w:val="000000"/>
          <w:sz w:val="32"/>
          <w:szCs w:val="32"/>
          <w:highlight w:val="none"/>
          <w:lang w:val="en-US" w:eastAsia="zh-CN"/>
        </w:rPr>
        <w:t>2.新建或扩建项目需提供项目建设计划书，内容应包含项目定位、科幻主题体现形式、功能分区设计、核心技术应用、建设实施方案、详细投资预算及可行性分析。</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Style w:val="21"/>
          <w:rFonts w:hint="eastAsia" w:ascii="仿宋_GB2312" w:hAnsi="仿宋_GB2312" w:eastAsia="仿宋_GB2312" w:cs="仿宋_GB2312"/>
          <w:b w:val="0"/>
          <w:bCs/>
          <w:color w:val="000000"/>
          <w:sz w:val="32"/>
          <w:szCs w:val="32"/>
          <w:highlight w:val="none"/>
          <w:lang w:val="en-US" w:eastAsia="zh-CN"/>
        </w:rPr>
      </w:pPr>
      <w:r>
        <w:rPr>
          <w:rStyle w:val="21"/>
          <w:rFonts w:hint="eastAsia" w:ascii="仿宋_GB2312" w:hAnsi="仿宋_GB2312" w:eastAsia="仿宋_GB2312" w:cs="仿宋_GB2312"/>
          <w:b w:val="0"/>
          <w:bCs/>
          <w:color w:val="000000"/>
          <w:sz w:val="32"/>
          <w:szCs w:val="32"/>
          <w:highlight w:val="none"/>
          <w:lang w:val="en-US" w:eastAsia="zh-CN"/>
        </w:rPr>
        <w:t>3.申报“场景建设”支持的项目，其总投资额应不低于500万元（含），投资范围包括建筑工程、科幻专用设备采购与集成、交互技术系统建设、内外场景设计等与项目直接相关的费用。</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Style w:val="21"/>
          <w:rFonts w:hint="eastAsia" w:ascii="仿宋_GB2312" w:hAnsi="仿宋_GB2312" w:eastAsia="仿宋_GB2312" w:cs="仿宋_GB2312"/>
          <w:b w:val="0"/>
          <w:bCs/>
          <w:color w:val="000000"/>
          <w:sz w:val="32"/>
          <w:szCs w:val="32"/>
          <w:highlight w:val="none"/>
          <w:lang w:val="en-US" w:eastAsia="zh-CN"/>
        </w:rPr>
      </w:pPr>
      <w:r>
        <w:rPr>
          <w:rStyle w:val="21"/>
          <w:rFonts w:hint="eastAsia" w:ascii="仿宋_GB2312" w:hAnsi="仿宋_GB2312" w:eastAsia="仿宋_GB2312" w:cs="仿宋_GB2312"/>
          <w:b w:val="0"/>
          <w:bCs/>
          <w:color w:val="000000"/>
          <w:sz w:val="32"/>
          <w:szCs w:val="32"/>
          <w:highlight w:val="none"/>
          <w:lang w:val="en-US" w:eastAsia="zh-CN"/>
        </w:rPr>
        <w:t>4.项目需符合城乡规划、土地使用、环境保护、安全生产等法律法规要求，并取得必要的批准文件。</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rightChars="0" w:firstLine="641" w:firstLineChars="200"/>
        <w:textAlignment w:val="auto"/>
        <w:rPr>
          <w:rFonts w:hint="default" w:ascii="Times New Roman" w:hAnsi="Times New Roman" w:eastAsia="楷体_GB2312" w:cs="Times New Roman"/>
          <w:b/>
          <w:bCs/>
          <w:color w:val="000000"/>
          <w:sz w:val="32"/>
          <w:highlight w:val="none"/>
        </w:rPr>
      </w:pPr>
      <w:r>
        <w:rPr>
          <w:rFonts w:hint="default" w:ascii="Times New Roman" w:hAnsi="Times New Roman" w:eastAsia="楷体_GB2312" w:cs="Times New Roman"/>
          <w:b/>
          <w:bCs/>
          <w:color w:val="000000"/>
          <w:sz w:val="32"/>
          <w:highlight w:val="none"/>
        </w:rPr>
        <w:t>（二）支持标准</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Style w:val="21"/>
          <w:rFonts w:hint="eastAsia" w:ascii="仿宋_GB2312" w:hAnsi="仿宋_GB2312" w:eastAsia="仿宋_GB2312" w:cs="仿宋_GB2312"/>
          <w:b w:val="0"/>
          <w:bCs/>
          <w:color w:val="000000"/>
          <w:sz w:val="32"/>
          <w:szCs w:val="32"/>
          <w:highlight w:val="none"/>
        </w:rPr>
      </w:pPr>
      <w:r>
        <w:rPr>
          <w:rStyle w:val="21"/>
          <w:rFonts w:hint="eastAsia" w:ascii="仿宋_GB2312" w:hAnsi="仿宋_GB2312" w:eastAsia="仿宋_GB2312" w:cs="仿宋_GB2312"/>
          <w:b w:val="0"/>
          <w:bCs/>
          <w:color w:val="000000"/>
          <w:sz w:val="32"/>
          <w:szCs w:val="32"/>
          <w:highlight w:val="none"/>
        </w:rPr>
        <w:t>新建科幻主题体验场景支持：对鼓励政策清单内的新建项目（如首发场馆、科幻乐园、科幻街区、科幻博物馆、科幻公园、科幻剧场等），经</w:t>
      </w:r>
      <w:r>
        <w:rPr>
          <w:rStyle w:val="21"/>
          <w:rFonts w:hint="eastAsia" w:ascii="仿宋_GB2312" w:hAnsi="仿宋_GB2312" w:eastAsia="仿宋_GB2312" w:cs="仿宋_GB2312"/>
          <w:b w:val="0"/>
          <w:bCs/>
          <w:color w:val="000000"/>
          <w:sz w:val="32"/>
          <w:szCs w:val="32"/>
          <w:highlight w:val="none"/>
          <w:lang w:eastAsia="zh-CN"/>
        </w:rPr>
        <w:t>评审</w:t>
      </w:r>
      <w:r>
        <w:rPr>
          <w:rStyle w:val="21"/>
          <w:rFonts w:hint="eastAsia" w:ascii="仿宋_GB2312" w:hAnsi="仿宋_GB2312" w:eastAsia="仿宋_GB2312" w:cs="仿宋_GB2312"/>
          <w:b w:val="0"/>
          <w:bCs/>
          <w:color w:val="000000"/>
          <w:sz w:val="32"/>
          <w:szCs w:val="32"/>
          <w:highlight w:val="none"/>
        </w:rPr>
        <w:t>，按照其场景建设实际有效投资总额的30% 给予一次性资金支持。单个项目支持金额最高</w:t>
      </w:r>
      <w:r>
        <w:rPr>
          <w:rStyle w:val="21"/>
          <w:rFonts w:hint="eastAsia" w:ascii="仿宋_GB2312" w:hAnsi="仿宋_GB2312" w:eastAsia="仿宋_GB2312" w:cs="仿宋_GB2312"/>
          <w:b w:val="0"/>
          <w:bCs/>
          <w:color w:val="000000"/>
          <w:sz w:val="32"/>
          <w:szCs w:val="32"/>
          <w:highlight w:val="none"/>
          <w:lang w:val="en-US" w:eastAsia="zh-CN"/>
        </w:rPr>
        <w:t>2</w:t>
      </w:r>
      <w:r>
        <w:rPr>
          <w:rStyle w:val="21"/>
          <w:rFonts w:hint="eastAsia" w:ascii="仿宋_GB2312" w:hAnsi="仿宋_GB2312" w:eastAsia="仿宋_GB2312" w:cs="仿宋_GB2312"/>
          <w:b w:val="0"/>
          <w:bCs/>
          <w:color w:val="000000"/>
          <w:sz w:val="32"/>
          <w:szCs w:val="32"/>
          <w:highlight w:val="none"/>
        </w:rPr>
        <w:t>00万元人民币。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Style w:val="21"/>
          <w:rFonts w:hint="eastAsia" w:ascii="黑体" w:hAnsi="黑体" w:eastAsia="黑体" w:cs="黑体"/>
          <w:b w:val="0"/>
          <w:bCs/>
          <w:sz w:val="32"/>
          <w:szCs w:val="32"/>
          <w:highlight w:val="none"/>
        </w:rPr>
      </w:pPr>
      <w:r>
        <w:rPr>
          <w:rStyle w:val="21"/>
          <w:rFonts w:hint="eastAsia" w:ascii="黑体" w:hAnsi="黑体" w:eastAsia="黑体" w:cs="黑体"/>
          <w:b w:val="0"/>
          <w:bCs/>
          <w:sz w:val="32"/>
          <w:szCs w:val="32"/>
          <w:highlight w:val="none"/>
          <w:lang w:val="en-US" w:eastAsia="zh-CN"/>
        </w:rPr>
        <w:t>六、鼓励</w:t>
      </w:r>
      <w:r>
        <w:rPr>
          <w:rStyle w:val="21"/>
          <w:rFonts w:hint="eastAsia" w:ascii="黑体" w:hAnsi="黑体" w:eastAsia="黑体" w:cs="黑体"/>
          <w:b w:val="0"/>
          <w:bCs/>
          <w:sz w:val="32"/>
          <w:szCs w:val="32"/>
          <w:highlight w:val="none"/>
        </w:rPr>
        <w:t>塑造国际化科幻品牌</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rightChars="0" w:firstLine="641" w:firstLineChars="200"/>
        <w:contextualSpacing/>
        <w:textAlignment w:val="auto"/>
        <w:rPr>
          <w:rFonts w:hint="default" w:ascii="Times New Roman" w:hAnsi="Times New Roman" w:eastAsia="楷体_GB2312" w:cs="Times New Roman"/>
          <w:color w:val="000000"/>
          <w:sz w:val="32"/>
          <w:highlight w:val="none"/>
        </w:rPr>
      </w:pPr>
      <w:r>
        <w:rPr>
          <w:rFonts w:hint="default" w:ascii="Times New Roman" w:hAnsi="Times New Roman" w:eastAsia="楷体_GB2312" w:cs="Times New Roman"/>
          <w:color w:val="000000"/>
          <w:sz w:val="32"/>
          <w:highlight w:val="none"/>
        </w:rPr>
        <w:t>（一）申报条件</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Style w:val="21"/>
          <w:rFonts w:hint="default" w:ascii="Times New Roman" w:hAnsi="Times New Roman" w:eastAsia="仿宋_GB2312" w:cs="Times New Roman"/>
          <w:b w:val="0"/>
          <w:bCs/>
          <w:color w:val="000000"/>
          <w:sz w:val="32"/>
          <w:szCs w:val="32"/>
          <w:highlight w:val="none"/>
          <w:lang w:val="en-US" w:eastAsia="zh-CN"/>
        </w:rPr>
      </w:pPr>
      <w:r>
        <w:rPr>
          <w:rStyle w:val="21"/>
          <w:rFonts w:hint="eastAsia" w:ascii="仿宋_GB2312" w:hAnsi="仿宋_GB2312" w:eastAsia="仿宋_GB2312" w:cs="仿宋_GB2312"/>
          <w:b w:val="0"/>
          <w:bCs/>
          <w:color w:val="000000"/>
          <w:sz w:val="32"/>
          <w:szCs w:val="32"/>
          <w:highlight w:val="none"/>
          <w:lang w:val="en-US" w:eastAsia="zh-CN"/>
        </w:rPr>
        <w:t>1.</w:t>
      </w:r>
      <w:r>
        <w:rPr>
          <w:rStyle w:val="21"/>
          <w:rFonts w:hint="eastAsia" w:ascii="仿宋_GB2312" w:hAnsi="仿宋_GB2312" w:eastAsia="仿宋_GB2312" w:cs="仿宋_GB2312"/>
          <w:b w:val="0"/>
          <w:bCs/>
          <w:color w:val="000000"/>
          <w:sz w:val="32"/>
          <w:szCs w:val="32"/>
          <w:highlight w:val="none"/>
        </w:rPr>
        <w:t>申报举办</w:t>
      </w:r>
      <w:r>
        <w:rPr>
          <w:rStyle w:val="21"/>
          <w:rFonts w:hint="eastAsia" w:ascii="仿宋_GB2312" w:hAnsi="仿宋_GB2312" w:eastAsia="仿宋_GB2312" w:cs="仿宋_GB2312"/>
          <w:b w:val="0"/>
          <w:bCs/>
          <w:color w:val="000000"/>
          <w:sz w:val="32"/>
          <w:szCs w:val="32"/>
          <w:highlight w:val="none"/>
          <w:lang w:eastAsia="zh-CN"/>
        </w:rPr>
        <w:t>科幻</w:t>
      </w:r>
      <w:r>
        <w:rPr>
          <w:rStyle w:val="21"/>
          <w:rFonts w:hint="eastAsia" w:ascii="仿宋_GB2312" w:hAnsi="仿宋_GB2312" w:eastAsia="仿宋_GB2312" w:cs="仿宋_GB2312"/>
          <w:b w:val="0"/>
          <w:bCs/>
          <w:color w:val="000000"/>
          <w:sz w:val="32"/>
          <w:szCs w:val="32"/>
          <w:highlight w:val="none"/>
        </w:rPr>
        <w:t>活动的</w:t>
      </w:r>
      <w:r>
        <w:rPr>
          <w:rStyle w:val="21"/>
          <w:rFonts w:hint="eastAsia" w:ascii="仿宋_GB2312" w:hAnsi="仿宋_GB2312" w:eastAsia="仿宋_GB2312" w:cs="仿宋_GB2312"/>
          <w:b w:val="0"/>
          <w:bCs/>
          <w:color w:val="000000"/>
          <w:sz w:val="32"/>
          <w:szCs w:val="32"/>
          <w:highlight w:val="none"/>
          <w:lang w:eastAsia="zh-CN"/>
        </w:rPr>
        <w:t>企业或机构</w:t>
      </w:r>
      <w:r>
        <w:rPr>
          <w:rStyle w:val="21"/>
          <w:rFonts w:hint="eastAsia" w:ascii="仿宋_GB2312" w:hAnsi="仿宋_GB2312" w:eastAsia="仿宋_GB2312" w:cs="仿宋_GB2312"/>
          <w:b w:val="0"/>
          <w:bCs/>
          <w:color w:val="000000"/>
          <w:sz w:val="32"/>
          <w:szCs w:val="32"/>
          <w:highlight w:val="none"/>
        </w:rPr>
        <w:t>，</w:t>
      </w:r>
      <w:r>
        <w:rPr>
          <w:rStyle w:val="21"/>
          <w:rFonts w:hint="eastAsia" w:ascii="仿宋_GB2312" w:hAnsi="仿宋_GB2312" w:eastAsia="仿宋_GB2312" w:cs="仿宋_GB2312"/>
          <w:b w:val="0"/>
          <w:bCs/>
          <w:color w:val="000000"/>
          <w:sz w:val="32"/>
          <w:szCs w:val="32"/>
          <w:highlight w:val="none"/>
          <w:lang w:eastAsia="zh-CN"/>
        </w:rPr>
        <w:t>需</w:t>
      </w:r>
      <w:r>
        <w:rPr>
          <w:rStyle w:val="21"/>
          <w:rFonts w:hint="eastAsia" w:ascii="仿宋_GB2312" w:hAnsi="仿宋_GB2312" w:eastAsia="仿宋_GB2312" w:cs="仿宋_GB2312"/>
          <w:b w:val="0"/>
          <w:bCs/>
          <w:color w:val="000000"/>
          <w:sz w:val="32"/>
          <w:szCs w:val="32"/>
          <w:highlight w:val="none"/>
        </w:rPr>
        <w:t>提交活动</w:t>
      </w:r>
      <w:r>
        <w:rPr>
          <w:rStyle w:val="21"/>
          <w:rFonts w:hint="eastAsia" w:ascii="仿宋_GB2312" w:hAnsi="仿宋_GB2312" w:eastAsia="仿宋_GB2312" w:cs="仿宋_GB2312"/>
          <w:b w:val="0"/>
          <w:bCs/>
          <w:color w:val="000000"/>
          <w:sz w:val="32"/>
          <w:szCs w:val="32"/>
          <w:highlight w:val="none"/>
          <w:lang w:eastAsia="zh-CN"/>
        </w:rPr>
        <w:t>策划</w:t>
      </w:r>
      <w:r>
        <w:rPr>
          <w:rStyle w:val="21"/>
          <w:rFonts w:hint="eastAsia" w:ascii="仿宋_GB2312" w:hAnsi="仿宋_GB2312" w:eastAsia="仿宋_GB2312" w:cs="仿宋_GB2312"/>
          <w:b w:val="0"/>
          <w:bCs/>
          <w:color w:val="000000"/>
          <w:sz w:val="32"/>
          <w:szCs w:val="32"/>
          <w:highlight w:val="none"/>
        </w:rPr>
        <w:t>方案、宣传推广计划、</w:t>
      </w:r>
      <w:r>
        <w:rPr>
          <w:rStyle w:val="21"/>
          <w:rFonts w:hint="eastAsia" w:ascii="仿宋_GB2312" w:hAnsi="仿宋_GB2312" w:eastAsia="仿宋_GB2312" w:cs="仿宋_GB2312"/>
          <w:b w:val="0"/>
          <w:bCs/>
          <w:color w:val="000000"/>
          <w:sz w:val="32"/>
          <w:szCs w:val="32"/>
          <w:highlight w:val="none"/>
          <w:lang w:eastAsia="zh-CN"/>
        </w:rPr>
        <w:t>项目</w:t>
      </w:r>
      <w:r>
        <w:rPr>
          <w:rStyle w:val="21"/>
          <w:rFonts w:hint="eastAsia" w:ascii="仿宋_GB2312" w:hAnsi="仿宋_GB2312" w:eastAsia="仿宋_GB2312" w:cs="仿宋_GB2312"/>
          <w:b w:val="0"/>
          <w:bCs/>
          <w:color w:val="000000"/>
          <w:sz w:val="32"/>
          <w:szCs w:val="32"/>
          <w:highlight w:val="none"/>
        </w:rPr>
        <w:t>预算</w:t>
      </w:r>
      <w:r>
        <w:rPr>
          <w:rStyle w:val="21"/>
          <w:rFonts w:hint="default" w:ascii="Times New Roman" w:hAnsi="Times New Roman" w:eastAsia="仿宋_GB2312" w:cs="Times New Roman"/>
          <w:b w:val="0"/>
          <w:bCs/>
          <w:color w:val="000000"/>
          <w:sz w:val="32"/>
          <w:szCs w:val="32"/>
          <w:highlight w:val="none"/>
          <w:lang w:val="en-US" w:eastAsia="zh-CN"/>
        </w:rPr>
        <w:t>、预期效果分析报告、对区域</w:t>
      </w:r>
      <w:r>
        <w:rPr>
          <w:rStyle w:val="21"/>
          <w:rFonts w:hint="eastAsia" w:ascii="Times New Roman" w:hAnsi="Times New Roman" w:eastAsia="仿宋_GB2312" w:cs="Times New Roman"/>
          <w:b w:val="0"/>
          <w:bCs/>
          <w:color w:val="000000"/>
          <w:sz w:val="32"/>
          <w:szCs w:val="32"/>
          <w:highlight w:val="none"/>
          <w:lang w:val="en-US" w:eastAsia="zh-CN"/>
        </w:rPr>
        <w:t>科幻</w:t>
      </w:r>
      <w:r>
        <w:rPr>
          <w:rStyle w:val="21"/>
          <w:rFonts w:hint="default" w:ascii="Times New Roman" w:hAnsi="Times New Roman" w:eastAsia="仿宋_GB2312" w:cs="Times New Roman"/>
          <w:b w:val="0"/>
          <w:bCs/>
          <w:color w:val="000000"/>
          <w:sz w:val="32"/>
          <w:szCs w:val="32"/>
          <w:highlight w:val="none"/>
          <w:lang w:val="en-US" w:eastAsia="zh-CN"/>
        </w:rPr>
        <w:t>产业交流合作与创新发展的促进作用等，并提供相关费用的发票、合同或报价单等凭证；提供活动举办过程中的活动现场照片、参会人员签到表、媒体报道截图或链接等相关证明材料。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Style w:val="21"/>
          <w:rFonts w:hint="eastAsia" w:ascii="仿宋_GB2312" w:hAnsi="仿宋_GB2312" w:eastAsia="仿宋_GB2312" w:cs="仿宋_GB2312"/>
          <w:b w:val="0"/>
          <w:bCs/>
          <w:color w:val="000000"/>
          <w:sz w:val="32"/>
          <w:szCs w:val="32"/>
          <w:highlight w:val="none"/>
        </w:rPr>
      </w:pPr>
      <w:r>
        <w:rPr>
          <w:rStyle w:val="21"/>
          <w:rFonts w:hint="eastAsia" w:ascii="仿宋_GB2312" w:hAnsi="仿宋_GB2312" w:eastAsia="仿宋_GB2312" w:cs="仿宋_GB2312"/>
          <w:b w:val="0"/>
          <w:bCs/>
          <w:color w:val="000000"/>
          <w:sz w:val="32"/>
          <w:szCs w:val="32"/>
          <w:highlight w:val="none"/>
          <w:lang w:val="en-US" w:eastAsia="zh-CN"/>
        </w:rPr>
        <w:t>2.</w:t>
      </w:r>
      <w:r>
        <w:rPr>
          <w:rStyle w:val="21"/>
          <w:rFonts w:hint="default" w:ascii="Times New Roman" w:hAnsi="Times New Roman" w:eastAsia="仿宋_GB2312" w:cs="Times New Roman"/>
          <w:b w:val="0"/>
          <w:bCs/>
          <w:color w:val="000000"/>
          <w:sz w:val="32"/>
          <w:szCs w:val="32"/>
          <w:highlight w:val="none"/>
          <w:lang w:val="en-US" w:eastAsia="zh-CN"/>
        </w:rPr>
        <w:t>国际级活动：参与国家不少于5个，人员规模不少于500人，宣传媒体不少于50家；国家级活动：参与省市不少于10个，规模不少于300人，宣传媒体不少于30家；</w:t>
      </w:r>
      <w:r>
        <w:rPr>
          <w:rStyle w:val="21"/>
          <w:rFonts w:hint="eastAsia" w:eastAsia="仿宋_GB2312" w:cs="Times New Roman"/>
          <w:b w:val="0"/>
          <w:bCs/>
          <w:color w:val="000000"/>
          <w:sz w:val="32"/>
          <w:szCs w:val="32"/>
          <w:highlight w:val="none"/>
          <w:lang w:val="en-US" w:eastAsia="zh-CN"/>
        </w:rPr>
        <w:t>市级</w:t>
      </w:r>
      <w:r>
        <w:rPr>
          <w:rStyle w:val="21"/>
          <w:rFonts w:hint="default" w:ascii="Times New Roman" w:hAnsi="Times New Roman" w:eastAsia="仿宋_GB2312" w:cs="Times New Roman"/>
          <w:b w:val="0"/>
          <w:bCs/>
          <w:color w:val="000000"/>
          <w:sz w:val="32"/>
          <w:szCs w:val="32"/>
          <w:highlight w:val="none"/>
          <w:lang w:val="en-US" w:eastAsia="zh-CN"/>
        </w:rPr>
        <w:t>活动：参与省市不少于5个，规模不少于200人。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Style w:val="21"/>
          <w:rFonts w:hint="eastAsia" w:ascii="仿宋_GB2312" w:hAnsi="仿宋_GB2312" w:eastAsia="仿宋_GB2312" w:cs="仿宋_GB2312"/>
          <w:b w:val="0"/>
          <w:bCs/>
          <w:color w:val="000000"/>
          <w:sz w:val="32"/>
          <w:szCs w:val="32"/>
          <w:highlight w:val="none"/>
        </w:rPr>
      </w:pPr>
      <w:r>
        <w:rPr>
          <w:rStyle w:val="21"/>
          <w:rFonts w:hint="eastAsia" w:ascii="仿宋_GB2312" w:hAnsi="仿宋_GB2312" w:eastAsia="仿宋_GB2312" w:cs="仿宋_GB2312"/>
          <w:b w:val="0"/>
          <w:bCs/>
          <w:color w:val="000000"/>
          <w:sz w:val="32"/>
          <w:szCs w:val="32"/>
          <w:highlight w:val="none"/>
          <w:lang w:val="en-US" w:eastAsia="zh-CN"/>
        </w:rPr>
        <w:t>3.</w:t>
      </w:r>
      <w:r>
        <w:rPr>
          <w:rStyle w:val="21"/>
          <w:rFonts w:hint="default" w:ascii="Times New Roman" w:hAnsi="Times New Roman" w:eastAsia="仿宋_GB2312" w:cs="Times New Roman"/>
          <w:b w:val="0"/>
          <w:bCs/>
          <w:color w:val="000000"/>
          <w:sz w:val="32"/>
          <w:szCs w:val="32"/>
          <w:highlight w:val="none"/>
          <w:lang w:val="en-US" w:eastAsia="zh-CN"/>
        </w:rPr>
        <w:t>实际发生活动费用包括：场地租赁、设备购置与租赁、嘉宾邀请、宣传物料制作、</w:t>
      </w:r>
      <w:r>
        <w:rPr>
          <w:rStyle w:val="21"/>
          <w:rFonts w:hint="default" w:ascii="Times New Roman" w:hAnsi="Times New Roman" w:eastAsia="仿宋_GB2312" w:cs="Times New Roman"/>
          <w:b w:val="0"/>
          <w:bCs w:val="0"/>
          <w:color w:val="000000"/>
          <w:sz w:val="32"/>
          <w:szCs w:val="32"/>
          <w:highlight w:val="none"/>
        </w:rPr>
        <w:t>场地搭建</w:t>
      </w:r>
      <w:r>
        <w:rPr>
          <w:rStyle w:val="21"/>
          <w:rFonts w:hint="default" w:ascii="Times New Roman" w:hAnsi="Times New Roman" w:eastAsia="仿宋_GB2312" w:cs="Times New Roman"/>
          <w:b w:val="0"/>
          <w:bCs w:val="0"/>
          <w:color w:val="000000"/>
          <w:sz w:val="32"/>
          <w:szCs w:val="32"/>
          <w:highlight w:val="none"/>
          <w:lang w:eastAsia="zh-CN"/>
        </w:rPr>
        <w:t>、</w:t>
      </w:r>
      <w:r>
        <w:rPr>
          <w:rStyle w:val="21"/>
          <w:rFonts w:hint="default" w:ascii="Times New Roman" w:hAnsi="Times New Roman" w:eastAsia="仿宋_GB2312" w:cs="Times New Roman"/>
          <w:b w:val="0"/>
          <w:bCs/>
          <w:color w:val="000000"/>
          <w:sz w:val="32"/>
          <w:szCs w:val="32"/>
          <w:highlight w:val="none"/>
          <w:lang w:val="en-US" w:eastAsia="zh-CN"/>
        </w:rPr>
        <w:t>宣传推广等活动相关费用。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Style w:val="21"/>
          <w:rFonts w:hint="eastAsia" w:ascii="仿宋_GB2312" w:hAnsi="仿宋_GB2312" w:eastAsia="仿宋_GB2312" w:cs="仿宋_GB2312"/>
          <w:b w:val="0"/>
          <w:bCs/>
          <w:strike/>
          <w:color w:val="000000"/>
          <w:sz w:val="32"/>
          <w:szCs w:val="32"/>
          <w:highlight w:val="none"/>
        </w:rPr>
      </w:pPr>
      <w:r>
        <w:rPr>
          <w:rStyle w:val="21"/>
          <w:rFonts w:hint="eastAsia" w:ascii="仿宋_GB2312" w:hAnsi="仿宋_GB2312" w:eastAsia="仿宋_GB2312" w:cs="仿宋_GB2312"/>
          <w:b w:val="0"/>
          <w:bCs/>
          <w:color w:val="000000"/>
          <w:sz w:val="32"/>
          <w:szCs w:val="32"/>
          <w:highlight w:val="none"/>
          <w:lang w:val="en-US" w:eastAsia="zh-CN"/>
        </w:rPr>
        <w:t>4.</w:t>
      </w:r>
      <w:r>
        <w:rPr>
          <w:rStyle w:val="21"/>
          <w:rFonts w:hint="default" w:ascii="Times New Roman" w:hAnsi="Times New Roman" w:eastAsia="仿宋_GB2312" w:cs="Times New Roman"/>
          <w:b w:val="0"/>
          <w:bCs/>
          <w:color w:val="000000"/>
          <w:sz w:val="32"/>
          <w:szCs w:val="32"/>
          <w:highlight w:val="none"/>
          <w:lang w:val="en-US" w:eastAsia="zh-CN"/>
        </w:rPr>
        <w:t>承办</w:t>
      </w:r>
      <w:r>
        <w:rPr>
          <w:rStyle w:val="21"/>
          <w:rFonts w:hint="eastAsia" w:eastAsia="仿宋_GB2312" w:cs="Times New Roman"/>
          <w:b w:val="0"/>
          <w:bCs/>
          <w:color w:val="000000"/>
          <w:sz w:val="32"/>
          <w:szCs w:val="32"/>
          <w:highlight w:val="none"/>
          <w:lang w:val="en-US" w:eastAsia="zh-CN"/>
        </w:rPr>
        <w:t>科幻</w:t>
      </w:r>
      <w:r>
        <w:rPr>
          <w:rStyle w:val="21"/>
          <w:rFonts w:hint="default" w:ascii="Times New Roman" w:hAnsi="Times New Roman" w:eastAsia="仿宋_GB2312" w:cs="Times New Roman"/>
          <w:b w:val="0"/>
          <w:bCs/>
          <w:color w:val="000000"/>
          <w:sz w:val="32"/>
          <w:szCs w:val="32"/>
          <w:highlight w:val="none"/>
          <w:lang w:val="en-US" w:eastAsia="zh-CN"/>
        </w:rPr>
        <w:t>赛事的</w:t>
      </w:r>
      <w:r>
        <w:rPr>
          <w:rStyle w:val="21"/>
          <w:rFonts w:hint="eastAsia" w:eastAsia="仿宋_GB2312" w:cs="Times New Roman"/>
          <w:b w:val="0"/>
          <w:bCs/>
          <w:color w:val="000000"/>
          <w:sz w:val="32"/>
          <w:szCs w:val="32"/>
          <w:highlight w:val="none"/>
          <w:lang w:val="en-US" w:eastAsia="zh-CN"/>
        </w:rPr>
        <w:t>企业或机构</w:t>
      </w:r>
      <w:r>
        <w:rPr>
          <w:rStyle w:val="21"/>
          <w:rFonts w:hint="default" w:ascii="Times New Roman" w:hAnsi="Times New Roman" w:eastAsia="仿宋_GB2312" w:cs="Times New Roman"/>
          <w:b w:val="0"/>
          <w:bCs/>
          <w:color w:val="000000"/>
          <w:sz w:val="32"/>
          <w:szCs w:val="32"/>
          <w:highlight w:val="none"/>
          <w:lang w:val="en-US" w:eastAsia="zh-CN"/>
        </w:rPr>
        <w:t>，除上述材料外，还需提供赛事组织保障方案、规则制定与执行机制、宣传推广方案等内容，确保赛事承办的规范性、专业性与安全性。</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Style w:val="21"/>
          <w:rFonts w:hint="eastAsia" w:ascii="仿宋_GB2312" w:hAnsi="仿宋_GB2312" w:eastAsia="仿宋_GB2312" w:cs="仿宋_GB2312"/>
          <w:b w:val="0"/>
          <w:bCs/>
          <w:color w:val="000000"/>
          <w:sz w:val="32"/>
          <w:szCs w:val="32"/>
          <w:highlight w:val="none"/>
        </w:rPr>
      </w:pPr>
      <w:r>
        <w:rPr>
          <w:rStyle w:val="21"/>
          <w:rFonts w:hint="eastAsia" w:ascii="仿宋_GB2312" w:hAnsi="仿宋_GB2312" w:eastAsia="仿宋_GB2312" w:cs="仿宋_GB2312"/>
          <w:b w:val="0"/>
          <w:bCs/>
          <w:color w:val="000000"/>
          <w:sz w:val="32"/>
          <w:szCs w:val="32"/>
          <w:highlight w:val="none"/>
          <w:lang w:val="en-US" w:eastAsia="zh-CN"/>
        </w:rPr>
        <w:t>5.</w:t>
      </w:r>
      <w:r>
        <w:rPr>
          <w:rStyle w:val="21"/>
          <w:rFonts w:hint="eastAsia" w:ascii="仿宋_GB2312" w:hAnsi="仿宋_GB2312" w:eastAsia="仿宋_GB2312" w:cs="仿宋_GB2312"/>
          <w:b w:val="0"/>
          <w:bCs w:val="0"/>
          <w:color w:val="000000"/>
          <w:sz w:val="32"/>
          <w:szCs w:val="32"/>
          <w:highlight w:val="none"/>
        </w:rPr>
        <w:t>获奖证明中的获奖主体名称须与申报企业名称一致，或有明确的股权、知识产权关联关系</w:t>
      </w:r>
      <w:r>
        <w:rPr>
          <w:rStyle w:val="21"/>
          <w:rFonts w:hint="eastAsia" w:ascii="仿宋_GB2312" w:hAnsi="仿宋_GB2312" w:eastAsia="仿宋_GB2312" w:cs="仿宋_GB2312"/>
          <w:b w:val="0"/>
          <w:bCs w:val="0"/>
          <w:color w:val="000000"/>
          <w:sz w:val="32"/>
          <w:szCs w:val="32"/>
          <w:highlight w:val="none"/>
          <w:lang w:eastAsia="zh-CN"/>
        </w:rPr>
        <w:t>；</w:t>
      </w:r>
      <w:r>
        <w:rPr>
          <w:rStyle w:val="21"/>
          <w:rFonts w:hint="eastAsia" w:ascii="仿宋_GB2312" w:hAnsi="仿宋_GB2312" w:eastAsia="仿宋_GB2312" w:cs="仿宋_GB2312"/>
          <w:b w:val="0"/>
          <w:bCs/>
          <w:color w:val="000000"/>
          <w:sz w:val="32"/>
          <w:szCs w:val="32"/>
          <w:highlight w:val="none"/>
          <w:lang w:val="en-US" w:eastAsia="zh-CN"/>
        </w:rPr>
        <w:t>需</w:t>
      </w:r>
      <w:r>
        <w:rPr>
          <w:rStyle w:val="21"/>
          <w:rFonts w:hint="eastAsia" w:ascii="仿宋_GB2312" w:hAnsi="仿宋_GB2312" w:eastAsia="仿宋_GB2312" w:cs="仿宋_GB2312"/>
          <w:b w:val="0"/>
          <w:bCs/>
          <w:color w:val="000000"/>
          <w:sz w:val="32"/>
          <w:szCs w:val="32"/>
          <w:highlight w:val="none"/>
        </w:rPr>
        <w:t>提供官方颁发的获奖证书、奖杯照片或官方公告文件等有效证明材料，以证实获奖情况。</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rightChars="0" w:firstLine="641" w:firstLineChars="200"/>
        <w:textAlignment w:val="auto"/>
        <w:rPr>
          <w:rFonts w:hint="default" w:ascii="Times New Roman" w:hAnsi="Times New Roman" w:eastAsia="楷体_GB2312" w:cs="Times New Roman"/>
          <w:b/>
          <w:bCs/>
          <w:color w:val="000000"/>
          <w:sz w:val="32"/>
          <w:highlight w:val="none"/>
        </w:rPr>
      </w:pPr>
      <w:r>
        <w:rPr>
          <w:rFonts w:hint="default" w:ascii="Times New Roman" w:hAnsi="Times New Roman" w:eastAsia="楷体_GB2312" w:cs="Times New Roman"/>
          <w:b/>
          <w:bCs/>
          <w:color w:val="000000"/>
          <w:sz w:val="32"/>
          <w:highlight w:val="none"/>
        </w:rPr>
        <w:t>（二）支持标准</w:t>
      </w:r>
    </w:p>
    <w:p>
      <w:pPr>
        <w:pStyle w:val="11"/>
        <w:ind w:firstLine="640" w:firstLineChars="200"/>
        <w:rPr>
          <w:rFonts w:hint="default"/>
          <w:lang w:val="en-US" w:eastAsia="zh-CN"/>
        </w:rPr>
      </w:pPr>
      <w:r>
        <w:rPr>
          <w:rStyle w:val="21"/>
          <w:rFonts w:hint="eastAsia" w:ascii="仿宋_GB2312" w:hAnsi="仿宋_GB2312" w:eastAsia="仿宋_GB2312" w:cs="仿宋_GB2312"/>
          <w:b w:val="0"/>
          <w:bCs/>
          <w:color w:val="000000"/>
          <w:sz w:val="32"/>
          <w:szCs w:val="32"/>
          <w:highlight w:val="none"/>
          <w:lang w:val="en-US" w:eastAsia="zh-CN"/>
        </w:rPr>
        <w:t>1.</w:t>
      </w:r>
      <w:r>
        <w:rPr>
          <w:rStyle w:val="21"/>
          <w:rFonts w:hint="default" w:ascii="Times New Roman" w:hAnsi="Times New Roman" w:eastAsia="仿宋_GB2312" w:cs="Times New Roman"/>
          <w:b w:val="0"/>
          <w:bCs/>
          <w:color w:val="000000"/>
          <w:sz w:val="32"/>
          <w:szCs w:val="32"/>
          <w:highlight w:val="none"/>
          <w:lang w:val="en-US" w:eastAsia="zh-CN"/>
        </w:rPr>
        <w:t>支持举办国际级、国家级等</w:t>
      </w:r>
      <w:r>
        <w:rPr>
          <w:rStyle w:val="21"/>
          <w:rFonts w:hint="eastAsia" w:ascii="Times New Roman" w:hAnsi="Times New Roman" w:eastAsia="仿宋_GB2312" w:cs="Times New Roman"/>
          <w:b w:val="0"/>
          <w:bCs/>
          <w:color w:val="000000"/>
          <w:sz w:val="32"/>
          <w:szCs w:val="32"/>
          <w:highlight w:val="none"/>
          <w:lang w:val="en-US" w:eastAsia="zh-CN"/>
        </w:rPr>
        <w:t>科幻产业</w:t>
      </w:r>
      <w:r>
        <w:rPr>
          <w:rStyle w:val="21"/>
          <w:rFonts w:hint="default" w:ascii="Times New Roman" w:hAnsi="Times New Roman" w:eastAsia="仿宋_GB2312" w:cs="Times New Roman"/>
          <w:b w:val="0"/>
          <w:bCs/>
          <w:color w:val="000000"/>
          <w:sz w:val="32"/>
          <w:szCs w:val="32"/>
          <w:highlight w:val="none"/>
          <w:lang w:val="en-US" w:eastAsia="zh-CN"/>
        </w:rPr>
        <w:t>活动，根据活动级别、规模、影响力等因素予以补贴，经评定，单一活动国际级</w:t>
      </w:r>
      <w:r>
        <w:rPr>
          <w:rStyle w:val="21"/>
          <w:rFonts w:hint="eastAsia" w:ascii="Times New Roman" w:hAnsi="Times New Roman" w:eastAsia="仿宋_GB2312" w:cs="Times New Roman"/>
          <w:b w:val="0"/>
          <w:bCs/>
          <w:color w:val="000000"/>
          <w:sz w:val="32"/>
          <w:szCs w:val="32"/>
          <w:highlight w:val="none"/>
          <w:lang w:val="en-US" w:eastAsia="zh-CN"/>
        </w:rPr>
        <w:t>和</w:t>
      </w:r>
      <w:r>
        <w:rPr>
          <w:rStyle w:val="21"/>
          <w:rFonts w:hint="default" w:ascii="Times New Roman" w:hAnsi="Times New Roman" w:eastAsia="仿宋_GB2312" w:cs="Times New Roman"/>
          <w:b w:val="0"/>
          <w:bCs/>
          <w:color w:val="000000"/>
          <w:sz w:val="32"/>
          <w:szCs w:val="32"/>
          <w:highlight w:val="none"/>
          <w:lang w:val="en-US" w:eastAsia="zh-CN"/>
        </w:rPr>
        <w:t>国家级最高</w:t>
      </w:r>
      <w:r>
        <w:rPr>
          <w:rStyle w:val="21"/>
          <w:rFonts w:hint="eastAsia" w:ascii="Times New Roman" w:hAnsi="Times New Roman" w:eastAsia="仿宋_GB2312" w:cs="Times New Roman"/>
          <w:b w:val="0"/>
          <w:bCs/>
          <w:color w:val="000000"/>
          <w:sz w:val="32"/>
          <w:szCs w:val="32"/>
          <w:highlight w:val="none"/>
          <w:lang w:val="en-US" w:eastAsia="zh-CN"/>
        </w:rPr>
        <w:t>8</w:t>
      </w:r>
      <w:r>
        <w:rPr>
          <w:rStyle w:val="21"/>
          <w:rFonts w:hint="default" w:ascii="Times New Roman" w:hAnsi="Times New Roman" w:eastAsia="仿宋_GB2312" w:cs="Times New Roman"/>
          <w:b w:val="0"/>
          <w:bCs/>
          <w:color w:val="000000"/>
          <w:sz w:val="32"/>
          <w:szCs w:val="32"/>
          <w:highlight w:val="none"/>
          <w:lang w:val="en-US" w:eastAsia="zh-CN"/>
        </w:rPr>
        <w:t>00万元，</w:t>
      </w:r>
      <w:r>
        <w:rPr>
          <w:rStyle w:val="21"/>
          <w:rFonts w:hint="eastAsia" w:ascii="Times New Roman" w:hAnsi="Times New Roman" w:eastAsia="仿宋_GB2312" w:cs="Times New Roman"/>
          <w:b w:val="0"/>
          <w:bCs/>
          <w:color w:val="000000"/>
          <w:sz w:val="32"/>
          <w:szCs w:val="32"/>
          <w:highlight w:val="none"/>
          <w:lang w:val="en-US" w:eastAsia="zh-CN"/>
        </w:rPr>
        <w:t>市级</w:t>
      </w:r>
      <w:r>
        <w:rPr>
          <w:rStyle w:val="21"/>
          <w:rFonts w:hint="default" w:ascii="Times New Roman" w:hAnsi="Times New Roman" w:eastAsia="仿宋_GB2312" w:cs="Times New Roman"/>
          <w:b w:val="0"/>
          <w:bCs/>
          <w:color w:val="000000"/>
          <w:sz w:val="32"/>
          <w:szCs w:val="32"/>
          <w:highlight w:val="none"/>
          <w:lang w:val="en-US" w:eastAsia="zh-CN"/>
        </w:rPr>
        <w:t>最高200万元。</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Style w:val="21"/>
          <w:rFonts w:hint="eastAsia" w:ascii="仿宋_GB2312" w:hAnsi="仿宋_GB2312" w:eastAsia="仿宋_GB2312" w:cs="仿宋_GB2312"/>
          <w:b w:val="0"/>
          <w:bCs/>
          <w:color w:val="000000"/>
          <w:sz w:val="32"/>
          <w:szCs w:val="32"/>
          <w:highlight w:val="none"/>
          <w:lang w:val="en-US" w:eastAsia="zh-CN"/>
        </w:rPr>
      </w:pPr>
      <w:r>
        <w:rPr>
          <w:rStyle w:val="21"/>
          <w:rFonts w:hint="eastAsia" w:ascii="仿宋_GB2312" w:hAnsi="仿宋_GB2312" w:eastAsia="仿宋_GB2312" w:cs="仿宋_GB2312"/>
          <w:b w:val="0"/>
          <w:bCs/>
          <w:color w:val="000000"/>
          <w:sz w:val="32"/>
          <w:szCs w:val="32"/>
          <w:highlight w:val="none"/>
          <w:lang w:val="en-US" w:eastAsia="zh-CN"/>
        </w:rPr>
        <w:t>2.给与获得赛事第一、第二、第三名的企业30万元资金奖励；给与获得其他奖项的企业20万元资金奖励。</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Style w:val="21"/>
          <w:rFonts w:hint="eastAsia" w:ascii="Times New Roman" w:hAnsi="Times New Roman" w:cs="Times New Roman"/>
          <w:b w:val="0"/>
          <w:bCs/>
          <w:color w:val="000000"/>
          <w:sz w:val="32"/>
          <w:szCs w:val="32"/>
          <w:highlight w:val="none"/>
        </w:rPr>
      </w:pPr>
      <w:r>
        <w:rPr>
          <w:rStyle w:val="21"/>
          <w:rFonts w:hint="eastAsia" w:ascii="仿宋_GB2312" w:hAnsi="仿宋_GB2312" w:eastAsia="仿宋_GB2312" w:cs="仿宋_GB2312"/>
          <w:b w:val="0"/>
          <w:bCs/>
          <w:color w:val="000000"/>
          <w:sz w:val="32"/>
          <w:szCs w:val="32"/>
          <w:highlight w:val="none"/>
          <w:lang w:val="en-US" w:eastAsia="zh-CN"/>
        </w:rPr>
        <w:t>3.同一企业在不同赛事中获奖，按所获得项目最高奖项给予一次性支持。已获奖励企业原则上</w:t>
      </w:r>
      <w:r>
        <w:rPr>
          <w:rStyle w:val="21"/>
          <w:rFonts w:hint="eastAsia" w:ascii="仿宋_GB2312" w:hAnsi="仿宋_GB2312" w:eastAsia="仿宋_GB2312" w:cs="仿宋_GB2312"/>
          <w:b w:val="0"/>
          <w:bCs/>
          <w:sz w:val="32"/>
          <w:szCs w:val="32"/>
          <w:highlight w:val="none"/>
        </w:rPr>
        <w:t>不重复享受</w:t>
      </w:r>
      <w:r>
        <w:rPr>
          <w:rStyle w:val="21"/>
          <w:rFonts w:hint="eastAsia" w:ascii="仿宋_GB2312" w:hAnsi="仿宋_GB2312" w:eastAsia="仿宋_GB2312" w:cs="仿宋_GB2312"/>
          <w:b w:val="0"/>
          <w:bCs/>
          <w:sz w:val="32"/>
          <w:szCs w:val="32"/>
          <w:highlight w:val="none"/>
          <w:lang w:val="en-US" w:eastAsia="zh-CN"/>
        </w:rPr>
        <w:t>本条政策</w:t>
      </w:r>
      <w:r>
        <w:rPr>
          <w:rStyle w:val="21"/>
          <w:rFonts w:hint="eastAsia" w:ascii="仿宋_GB2312" w:hAnsi="仿宋_GB2312" w:eastAsia="仿宋_GB2312" w:cs="仿宋_GB2312"/>
          <w:b w:val="0"/>
          <w:bCs/>
          <w:color w:val="00000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Style w:val="21"/>
          <w:rFonts w:hint="eastAsia" w:ascii="黑体" w:hAnsi="黑体" w:eastAsia="黑体" w:cs="黑体"/>
          <w:b w:val="0"/>
          <w:bCs/>
          <w:sz w:val="32"/>
          <w:szCs w:val="32"/>
          <w:highlight w:val="none"/>
        </w:rPr>
      </w:pPr>
      <w:r>
        <w:rPr>
          <w:rStyle w:val="21"/>
          <w:rFonts w:hint="eastAsia" w:ascii="黑体" w:hAnsi="黑体" w:eastAsia="黑体" w:cs="黑体"/>
          <w:b w:val="0"/>
          <w:bCs/>
          <w:sz w:val="32"/>
          <w:szCs w:val="32"/>
          <w:highlight w:val="none"/>
          <w:lang w:val="en-US" w:eastAsia="zh-CN"/>
        </w:rPr>
        <w:t>七、</w:t>
      </w:r>
      <w:r>
        <w:rPr>
          <w:rStyle w:val="21"/>
          <w:rFonts w:hint="eastAsia" w:ascii="黑体" w:hAnsi="黑体" w:eastAsia="黑体" w:cs="黑体"/>
          <w:b w:val="0"/>
          <w:bCs/>
          <w:sz w:val="32"/>
          <w:szCs w:val="32"/>
          <w:highlight w:val="none"/>
        </w:rPr>
        <w:t>强化资本支撑</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rightChars="0" w:firstLine="641" w:firstLineChars="200"/>
        <w:contextualSpacing/>
        <w:textAlignment w:val="auto"/>
        <w:rPr>
          <w:rFonts w:hint="default" w:ascii="Times New Roman" w:hAnsi="Times New Roman" w:eastAsia="楷体_GB2312" w:cs="Times New Roman"/>
          <w:color w:val="000000"/>
          <w:sz w:val="32"/>
          <w:highlight w:val="none"/>
        </w:rPr>
      </w:pPr>
      <w:r>
        <w:rPr>
          <w:rFonts w:hint="default" w:ascii="Times New Roman" w:hAnsi="Times New Roman" w:eastAsia="楷体_GB2312" w:cs="Times New Roman"/>
          <w:color w:val="000000"/>
          <w:sz w:val="32"/>
          <w:highlight w:val="none"/>
        </w:rPr>
        <w:t>（一）申报条件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Style w:val="21"/>
          <w:rFonts w:hint="eastAsia" w:ascii="仿宋_GB2312" w:hAnsi="仿宋_GB2312" w:eastAsia="仿宋_GB2312" w:cs="仿宋_GB2312"/>
          <w:b w:val="0"/>
          <w:bCs/>
          <w:sz w:val="32"/>
          <w:szCs w:val="32"/>
          <w:highlight w:val="none"/>
        </w:rPr>
      </w:pPr>
      <w:r>
        <w:rPr>
          <w:rStyle w:val="21"/>
          <w:rFonts w:hint="eastAsia" w:ascii="仿宋_GB2312" w:hAnsi="仿宋_GB2312" w:eastAsia="仿宋_GB2312" w:cs="仿宋_GB2312"/>
          <w:b w:val="0"/>
          <w:bCs/>
          <w:sz w:val="32"/>
          <w:szCs w:val="32"/>
          <w:highlight w:val="none"/>
          <w:lang w:val="en-US" w:eastAsia="zh-CN"/>
        </w:rPr>
        <w:t>1.</w:t>
      </w:r>
      <w:r>
        <w:rPr>
          <w:rStyle w:val="21"/>
          <w:rFonts w:hint="eastAsia" w:ascii="仿宋_GB2312" w:hAnsi="仿宋_GB2312" w:eastAsia="仿宋_GB2312" w:cs="仿宋_GB2312"/>
          <w:b w:val="0"/>
          <w:bCs/>
          <w:sz w:val="32"/>
          <w:szCs w:val="32"/>
          <w:highlight w:val="none"/>
        </w:rPr>
        <w:t>申报企业</w:t>
      </w:r>
      <w:r>
        <w:rPr>
          <w:rStyle w:val="21"/>
          <w:rFonts w:hint="eastAsia" w:ascii="仿宋_GB2312" w:hAnsi="仿宋_GB2312" w:eastAsia="仿宋_GB2312" w:cs="仿宋_GB2312"/>
          <w:b w:val="0"/>
          <w:bCs/>
          <w:sz w:val="32"/>
          <w:szCs w:val="32"/>
          <w:highlight w:val="none"/>
          <w:lang w:eastAsia="zh-CN"/>
        </w:rPr>
        <w:t>须为</w:t>
      </w:r>
      <w:r>
        <w:rPr>
          <w:rStyle w:val="21"/>
          <w:rFonts w:hint="eastAsia" w:ascii="仿宋_GB2312" w:hAnsi="仿宋_GB2312" w:eastAsia="仿宋_GB2312" w:cs="仿宋_GB2312"/>
          <w:b w:val="0"/>
          <w:bCs/>
          <w:sz w:val="32"/>
          <w:szCs w:val="32"/>
          <w:highlight w:val="none"/>
        </w:rPr>
        <w:t>科幻领域相关企业，</w:t>
      </w:r>
      <w:r>
        <w:rPr>
          <w:rFonts w:hint="eastAsia" w:ascii="仿宋_GB2312" w:hAnsi="仿宋_GB2312" w:eastAsia="仿宋_GB2312" w:cs="仿宋_GB2312"/>
          <w:color w:val="000000"/>
          <w:sz w:val="32"/>
          <w:szCs w:val="32"/>
          <w:highlight w:val="none"/>
          <w:lang w:val="en-US" w:eastAsia="zh-CN"/>
        </w:rPr>
        <w:t>具有健全完善的</w:t>
      </w:r>
      <w:r>
        <w:rPr>
          <w:rStyle w:val="21"/>
          <w:rFonts w:hint="eastAsia" w:ascii="仿宋_GB2312" w:hAnsi="仿宋_GB2312" w:eastAsia="仿宋_GB2312" w:cs="仿宋_GB2312"/>
          <w:b w:val="0"/>
          <w:bCs/>
          <w:sz w:val="32"/>
          <w:szCs w:val="32"/>
          <w:highlight w:val="none"/>
        </w:rPr>
        <w:t>财务管理制度，无严重违法违规记录和不良信用记录。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Style w:val="21"/>
          <w:rFonts w:hint="eastAsia" w:ascii="仿宋_GB2312" w:hAnsi="仿宋_GB2312" w:eastAsia="仿宋_GB2312" w:cs="仿宋_GB2312"/>
          <w:b w:val="0"/>
          <w:bCs/>
          <w:sz w:val="32"/>
          <w:szCs w:val="32"/>
          <w:highlight w:val="none"/>
          <w:lang w:eastAsia="zh-CN"/>
        </w:rPr>
      </w:pPr>
      <w:r>
        <w:rPr>
          <w:rStyle w:val="21"/>
          <w:rFonts w:hint="eastAsia" w:ascii="仿宋_GB2312" w:hAnsi="仿宋_GB2312" w:eastAsia="仿宋_GB2312" w:cs="仿宋_GB2312"/>
          <w:b w:val="0"/>
          <w:bCs/>
          <w:sz w:val="32"/>
          <w:szCs w:val="32"/>
          <w:highlight w:val="none"/>
          <w:lang w:val="en-US" w:eastAsia="zh-CN"/>
        </w:rPr>
        <w:t>2.</w:t>
      </w:r>
      <w:r>
        <w:rPr>
          <w:rStyle w:val="21"/>
          <w:rFonts w:hint="eastAsia" w:ascii="仿宋_GB2312" w:hAnsi="仿宋_GB2312" w:eastAsia="仿宋_GB2312" w:cs="仿宋_GB2312"/>
          <w:b w:val="0"/>
          <w:bCs/>
          <w:sz w:val="32"/>
          <w:szCs w:val="32"/>
          <w:highlight w:val="none"/>
        </w:rPr>
        <w:t>所获股权投资的投资机构，须为基金</w:t>
      </w:r>
      <w:r>
        <w:rPr>
          <w:rStyle w:val="21"/>
          <w:rFonts w:hint="eastAsia" w:ascii="仿宋_GB2312" w:hAnsi="仿宋_GB2312" w:eastAsia="仿宋_GB2312" w:cs="仿宋_GB2312"/>
          <w:b w:val="0"/>
          <w:bCs/>
          <w:sz w:val="32"/>
          <w:szCs w:val="32"/>
          <w:highlight w:val="none"/>
          <w:lang w:eastAsia="zh-CN"/>
        </w:rPr>
        <w:t>、</w:t>
      </w:r>
      <w:r>
        <w:rPr>
          <w:rStyle w:val="21"/>
          <w:rFonts w:hint="eastAsia" w:ascii="仿宋_GB2312" w:hAnsi="仿宋_GB2312" w:eastAsia="仿宋_GB2312" w:cs="仿宋_GB2312"/>
          <w:b w:val="0"/>
          <w:bCs/>
          <w:sz w:val="32"/>
          <w:szCs w:val="32"/>
          <w:highlight w:val="none"/>
        </w:rPr>
        <w:t>第三方机构</w:t>
      </w:r>
      <w:r>
        <w:rPr>
          <w:rStyle w:val="21"/>
          <w:rFonts w:hint="eastAsia" w:ascii="仿宋_GB2312" w:hAnsi="仿宋_GB2312" w:eastAsia="仿宋_GB2312" w:cs="仿宋_GB2312"/>
          <w:b w:val="0"/>
          <w:bCs/>
          <w:sz w:val="32"/>
          <w:szCs w:val="32"/>
          <w:highlight w:val="none"/>
          <w:lang w:val="en-US" w:eastAsia="zh-CN"/>
        </w:rPr>
        <w:t>或</w:t>
      </w:r>
      <w:r>
        <w:rPr>
          <w:rStyle w:val="21"/>
          <w:rFonts w:hint="eastAsia" w:ascii="仿宋_GB2312" w:hAnsi="仿宋_GB2312" w:eastAsia="仿宋_GB2312" w:cs="仿宋_GB2312"/>
          <w:b w:val="0"/>
          <w:bCs/>
          <w:sz w:val="32"/>
          <w:szCs w:val="32"/>
          <w:highlight w:val="none"/>
        </w:rPr>
        <w:t>公司</w:t>
      </w:r>
      <w:r>
        <w:rPr>
          <w:rStyle w:val="21"/>
          <w:rFonts w:hint="eastAsia" w:ascii="仿宋_GB2312" w:hAnsi="仿宋_GB2312" w:eastAsia="仿宋_GB2312" w:cs="仿宋_GB2312"/>
          <w:b w:val="0"/>
          <w:bCs/>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Style w:val="21"/>
          <w:rFonts w:hint="eastAsia" w:ascii="仿宋_GB2312" w:hAnsi="仿宋_GB2312" w:eastAsia="仿宋_GB2312" w:cs="仿宋_GB2312"/>
          <w:b w:val="0"/>
          <w:bCs/>
          <w:sz w:val="32"/>
          <w:szCs w:val="32"/>
          <w:highlight w:val="none"/>
        </w:rPr>
      </w:pPr>
      <w:r>
        <w:rPr>
          <w:rStyle w:val="21"/>
          <w:rFonts w:hint="eastAsia" w:ascii="仿宋_GB2312" w:hAnsi="仿宋_GB2312" w:eastAsia="仿宋_GB2312" w:cs="仿宋_GB2312"/>
          <w:b w:val="0"/>
          <w:bCs/>
          <w:sz w:val="32"/>
          <w:szCs w:val="32"/>
          <w:highlight w:val="none"/>
          <w:lang w:val="en-US" w:eastAsia="zh-CN"/>
        </w:rPr>
        <w:t>3.</w:t>
      </w:r>
      <w:r>
        <w:rPr>
          <w:rStyle w:val="21"/>
          <w:rFonts w:hint="eastAsia" w:ascii="仿宋_GB2312" w:hAnsi="仿宋_GB2312" w:eastAsia="仿宋_GB2312" w:cs="仿宋_GB2312"/>
          <w:b w:val="0"/>
          <w:bCs/>
          <w:sz w:val="32"/>
          <w:szCs w:val="32"/>
          <w:highlight w:val="none"/>
        </w:rPr>
        <w:t>企业获得的该轮股权投资须为以货币形式出资的机构直接投资，且投资资金已实际到位。</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rightChars="0" w:firstLine="641" w:firstLineChars="200"/>
        <w:textAlignment w:val="auto"/>
        <w:rPr>
          <w:rFonts w:hint="default" w:ascii="Times New Roman" w:hAnsi="Times New Roman" w:eastAsia="楷体_GB2312" w:cs="Times New Roman"/>
          <w:b/>
          <w:bCs/>
          <w:color w:val="000000"/>
          <w:sz w:val="32"/>
          <w:highlight w:val="none"/>
        </w:rPr>
      </w:pPr>
      <w:r>
        <w:rPr>
          <w:rFonts w:hint="default" w:ascii="Times New Roman" w:hAnsi="Times New Roman" w:eastAsia="楷体_GB2312" w:cs="Times New Roman"/>
          <w:b/>
          <w:bCs/>
          <w:color w:val="000000"/>
          <w:sz w:val="32"/>
          <w:highlight w:val="none"/>
        </w:rPr>
        <w:t>（二）支持标准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Style w:val="21"/>
          <w:rFonts w:hint="eastAsia" w:ascii="仿宋_GB2312" w:hAnsi="仿宋_GB2312" w:eastAsia="仿宋_GB2312" w:cs="仿宋_GB2312"/>
          <w:b w:val="0"/>
          <w:bCs/>
          <w:sz w:val="32"/>
          <w:szCs w:val="32"/>
          <w:highlight w:val="none"/>
        </w:rPr>
      </w:pPr>
      <w:r>
        <w:rPr>
          <w:rStyle w:val="21"/>
          <w:rFonts w:hint="eastAsia" w:ascii="仿宋_GB2312" w:hAnsi="仿宋_GB2312" w:eastAsia="仿宋_GB2312" w:cs="仿宋_GB2312"/>
          <w:b w:val="0"/>
          <w:bCs/>
          <w:sz w:val="32"/>
          <w:szCs w:val="32"/>
          <w:highlight w:val="none"/>
          <w:lang w:val="en-US" w:eastAsia="zh-CN"/>
        </w:rPr>
        <w:t>1.</w:t>
      </w:r>
      <w:r>
        <w:rPr>
          <w:rStyle w:val="21"/>
          <w:rFonts w:hint="eastAsia" w:ascii="仿宋_GB2312" w:hAnsi="仿宋_GB2312" w:eastAsia="仿宋_GB2312" w:cs="仿宋_GB2312"/>
          <w:b w:val="0"/>
          <w:bCs/>
          <w:sz w:val="32"/>
          <w:szCs w:val="32"/>
          <w:highlight w:val="none"/>
        </w:rPr>
        <w:t>对符合申报条件的科幻企业，在获得符合条件的市场化投资后，经</w:t>
      </w:r>
      <w:r>
        <w:rPr>
          <w:rStyle w:val="21"/>
          <w:rFonts w:hint="eastAsia" w:ascii="仿宋_GB2312" w:hAnsi="仿宋_GB2312" w:eastAsia="仿宋_GB2312" w:cs="仿宋_GB2312"/>
          <w:b w:val="0"/>
          <w:bCs/>
          <w:sz w:val="32"/>
          <w:szCs w:val="32"/>
          <w:highlight w:val="none"/>
          <w:lang w:eastAsia="zh-CN"/>
        </w:rPr>
        <w:t>评审</w:t>
      </w:r>
      <w:r>
        <w:rPr>
          <w:rStyle w:val="21"/>
          <w:rFonts w:hint="eastAsia" w:ascii="仿宋_GB2312" w:hAnsi="仿宋_GB2312" w:eastAsia="仿宋_GB2312" w:cs="仿宋_GB2312"/>
          <w:b w:val="0"/>
          <w:bCs/>
          <w:sz w:val="32"/>
          <w:szCs w:val="32"/>
          <w:highlight w:val="none"/>
        </w:rPr>
        <w:t>，给予一次性20万元人民币的资金支持。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Style w:val="21"/>
          <w:rFonts w:hint="eastAsia" w:ascii="仿宋_GB2312" w:hAnsi="仿宋_GB2312" w:eastAsia="仿宋_GB2312" w:cs="仿宋_GB2312"/>
          <w:b w:val="0"/>
          <w:bCs/>
          <w:color w:val="000000"/>
          <w:sz w:val="32"/>
          <w:szCs w:val="32"/>
          <w:highlight w:val="none"/>
        </w:rPr>
      </w:pPr>
      <w:r>
        <w:rPr>
          <w:rStyle w:val="21"/>
          <w:rFonts w:hint="eastAsia" w:ascii="仿宋_GB2312" w:hAnsi="仿宋_GB2312" w:eastAsia="仿宋_GB2312" w:cs="仿宋_GB2312"/>
          <w:b w:val="0"/>
          <w:bCs/>
          <w:sz w:val="32"/>
          <w:szCs w:val="32"/>
          <w:highlight w:val="none"/>
          <w:lang w:val="en-US" w:eastAsia="zh-CN"/>
        </w:rPr>
        <w:t>2.</w:t>
      </w:r>
      <w:r>
        <w:rPr>
          <w:rStyle w:val="21"/>
          <w:rFonts w:hint="eastAsia" w:ascii="仿宋_GB2312" w:hAnsi="仿宋_GB2312" w:eastAsia="仿宋_GB2312" w:cs="仿宋_GB2312"/>
          <w:b w:val="0"/>
          <w:bCs/>
          <w:sz w:val="32"/>
          <w:szCs w:val="32"/>
          <w:highlight w:val="none"/>
        </w:rPr>
        <w:t>该支持为普惠性政策，原则上不得重复享受</w:t>
      </w:r>
      <w:r>
        <w:rPr>
          <w:rStyle w:val="21"/>
          <w:rFonts w:hint="eastAsia" w:ascii="仿宋_GB2312" w:hAnsi="仿宋_GB2312" w:eastAsia="仿宋_GB2312" w:cs="仿宋_GB2312"/>
          <w:b w:val="0"/>
          <w:bCs/>
          <w:sz w:val="32"/>
          <w:szCs w:val="32"/>
          <w:highlight w:val="none"/>
          <w:lang w:val="en-US" w:eastAsia="zh-CN"/>
        </w:rPr>
        <w:t>本条政策</w:t>
      </w:r>
      <w:r>
        <w:rPr>
          <w:rStyle w:val="21"/>
          <w:rFonts w:hint="eastAsia" w:ascii="仿宋_GB2312" w:hAnsi="仿宋_GB2312" w:eastAsia="仿宋_GB2312" w:cs="仿宋_GB2312"/>
          <w:b w:val="0"/>
          <w:bCs/>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Style w:val="21"/>
          <w:rFonts w:hint="eastAsia" w:ascii="黑体" w:hAnsi="黑体" w:eastAsia="黑体" w:cs="黑体"/>
          <w:b w:val="0"/>
          <w:bCs/>
          <w:sz w:val="32"/>
          <w:szCs w:val="32"/>
          <w:highlight w:val="none"/>
        </w:rPr>
      </w:pPr>
      <w:r>
        <w:rPr>
          <w:rStyle w:val="21"/>
          <w:rFonts w:hint="eastAsia" w:ascii="黑体" w:hAnsi="黑体" w:eastAsia="黑体" w:cs="黑体"/>
          <w:b w:val="0"/>
          <w:bCs/>
          <w:sz w:val="32"/>
          <w:szCs w:val="32"/>
          <w:highlight w:val="none"/>
          <w:lang w:val="en-US" w:eastAsia="zh-CN"/>
        </w:rPr>
        <w:t>八、</w:t>
      </w:r>
      <w:r>
        <w:rPr>
          <w:rStyle w:val="21"/>
          <w:rFonts w:hint="eastAsia" w:ascii="黑体" w:hAnsi="黑体" w:eastAsia="黑体" w:cs="黑体"/>
          <w:b w:val="0"/>
          <w:bCs/>
          <w:sz w:val="32"/>
          <w:szCs w:val="32"/>
          <w:highlight w:val="none"/>
        </w:rPr>
        <w:t>支持科幻产业相关人才和团队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Style w:val="21"/>
          <w:rFonts w:hint="eastAsia" w:ascii="Times New Roman" w:hAnsi="Times New Roman" w:eastAsia="仿宋_GB2312" w:cs="Times New Roman"/>
          <w:b w:val="0"/>
          <w:bCs/>
          <w:color w:val="000000"/>
          <w:sz w:val="32"/>
          <w:szCs w:val="32"/>
          <w:highlight w:val="none"/>
        </w:rPr>
      </w:pPr>
      <w:r>
        <w:rPr>
          <w:rStyle w:val="21"/>
          <w:rFonts w:hint="eastAsia" w:ascii="Times New Roman" w:hAnsi="Times New Roman" w:eastAsia="仿宋_GB2312" w:cs="Times New Roman"/>
          <w:b w:val="0"/>
          <w:bCs/>
          <w:color w:val="000000"/>
          <w:sz w:val="32"/>
          <w:szCs w:val="32"/>
          <w:highlight w:val="none"/>
        </w:rPr>
        <w:t>积极构建科幻人才引育通道</w:t>
      </w:r>
      <w:r>
        <w:rPr>
          <w:rStyle w:val="21"/>
          <w:rFonts w:hint="eastAsia" w:ascii="Times New Roman" w:hAnsi="Times New Roman" w:eastAsia="仿宋_GB2312" w:cs="Times New Roman"/>
          <w:b w:val="0"/>
          <w:bCs/>
          <w:color w:val="000000"/>
          <w:sz w:val="32"/>
          <w:szCs w:val="32"/>
          <w:highlight w:val="none"/>
          <w:lang w:eastAsia="zh-CN"/>
        </w:rPr>
        <w:t>，</w:t>
      </w:r>
      <w:r>
        <w:rPr>
          <w:rStyle w:val="21"/>
          <w:rFonts w:hint="eastAsia" w:ascii="Times New Roman" w:hAnsi="Times New Roman" w:eastAsia="仿宋_GB2312" w:cs="Times New Roman"/>
          <w:b w:val="0"/>
          <w:bCs/>
          <w:color w:val="000000"/>
          <w:sz w:val="32"/>
          <w:szCs w:val="32"/>
          <w:highlight w:val="none"/>
        </w:rPr>
        <w:t>对在科幻创意与内容创作、关键底层技术研发与应用等领域涌现出的，具有突出代表性和行业影响力的知名创意家与技术领军人才（团队），将经由产业主管部门优先推荐，纳入“景贤人才”认定评价体系。</w:t>
      </w:r>
    </w:p>
    <w:p>
      <w:pPr>
        <w:rPr>
          <w:rStyle w:val="21"/>
          <w:rFonts w:hint="eastAsia" w:ascii="Times New Roman" w:hAnsi="Times New Roman" w:eastAsia="仿宋_GB2312" w:cs="Times New Roman"/>
          <w:b w:val="0"/>
          <w:bCs/>
          <w:color w:val="000000"/>
          <w:sz w:val="32"/>
          <w:szCs w:val="32"/>
          <w:highlight w:val="none"/>
        </w:rPr>
      </w:pPr>
      <w:r>
        <w:rPr>
          <w:rStyle w:val="21"/>
          <w:rFonts w:hint="default" w:ascii="Times New Roman" w:hAnsi="Times New Roman" w:eastAsia="仿宋_GB2312" w:cs="Times New Roman"/>
          <w:b w:val="0"/>
          <w:bCs/>
          <w:color w:val="000000"/>
          <w:sz w:val="32"/>
          <w:szCs w:val="32"/>
          <w:highlight w:val="none"/>
        </w:rPr>
        <w:t>深入实施高层次人才引进与服务保障，</w:t>
      </w:r>
      <w:r>
        <w:rPr>
          <w:rStyle w:val="21"/>
          <w:rFonts w:hint="eastAsia" w:ascii="Times New Roman" w:hAnsi="Times New Roman" w:eastAsia="仿宋_GB2312" w:cs="Times New Roman"/>
          <w:b w:val="0"/>
          <w:bCs/>
          <w:color w:val="000000"/>
          <w:sz w:val="32"/>
          <w:szCs w:val="32"/>
          <w:highlight w:val="none"/>
        </w:rPr>
        <w:t>在人才落户、</w:t>
      </w:r>
      <w:r>
        <w:rPr>
          <w:rStyle w:val="21"/>
          <w:rFonts w:hint="eastAsia" w:ascii="Times New Roman" w:hAnsi="Times New Roman" w:eastAsia="仿宋_GB2312" w:cs="Times New Roman"/>
          <w:b w:val="0"/>
          <w:bCs/>
          <w:color w:val="000000"/>
          <w:sz w:val="32"/>
          <w:szCs w:val="32"/>
          <w:highlight w:val="none"/>
          <w:lang w:val="en-US" w:eastAsia="zh-CN"/>
        </w:rPr>
        <w:t>工作居住证</w:t>
      </w:r>
      <w:r>
        <w:rPr>
          <w:rStyle w:val="21"/>
          <w:rFonts w:hint="eastAsia" w:ascii="Times New Roman" w:hAnsi="Times New Roman" w:eastAsia="仿宋_GB2312" w:cs="Times New Roman"/>
          <w:b w:val="0"/>
          <w:bCs/>
          <w:color w:val="000000"/>
          <w:sz w:val="32"/>
          <w:szCs w:val="32"/>
          <w:highlight w:val="none"/>
        </w:rPr>
        <w:t>等方面获得对应层级的综合支持，强化对科幻产业核心创新力量的全方位激励。</w:t>
      </w:r>
    </w:p>
    <w:p>
      <w:pPr>
        <w:rPr>
          <w:rFonts w:hint="default"/>
          <w:b/>
          <w:bCs/>
          <w:lang w:val="en-US" w:eastAsia="zh-CN"/>
        </w:rPr>
      </w:pPr>
    </w:p>
    <w:sectPr>
      <w:footerReference r:id="rId4"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楷体_GB2312">
    <w:altName w:val="汉仪楷体简"/>
    <w:panose1 w:val="02010609030101010101"/>
    <w:charset w:val="86"/>
    <w:family w:val="modern"/>
    <w:pitch w:val="default"/>
    <w:sig w:usb0="00000000" w:usb1="00000000" w:usb2="00000000" w:usb3="00000000" w:csb0="00040000" w:csb1="00000000"/>
  </w:font>
  <w:font w:name="长城小标宋体">
    <w:altName w:val="方正小标宋简体"/>
    <w:panose1 w:val="02010609010101010101"/>
    <w:charset w:val="00"/>
    <w:family w:val="modern"/>
    <w:pitch w:val="default"/>
    <w:sig w:usb0="00000000" w:usb1="00000000" w:usb2="00000000" w:usb3="00000000" w:csb0="00040001" w:csb1="00000000"/>
  </w:font>
  <w:font w:name="等线">
    <w:altName w:val="汉仪中等线KW"/>
    <w:panose1 w:val="02010600030101010101"/>
    <w:charset w:val="86"/>
    <w:family w:val="auto"/>
    <w:pitch w:val="default"/>
    <w:sig w:usb0="00000000" w:usb1="00000000" w:usb2="00000016" w:usb3="00000000" w:csb0="0004000F" w:csb1="00000000"/>
  </w:font>
  <w:font w:name="方正小标宋简体">
    <w:panose1 w:val="02000000000000000000"/>
    <w:charset w:val="86"/>
    <w:family w:val="script"/>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楷体简">
    <w:panose1 w:val="02010600000101010101"/>
    <w:charset w:val="86"/>
    <w:family w:val="auto"/>
    <w:pitch w:val="default"/>
    <w:sig w:usb0="00000001" w:usb1="080E0800" w:usb2="00000002" w:usb3="00000000" w:csb0="00040000"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汉仪中等线KW">
    <w:panose1 w:val="01010104010101010101"/>
    <w:charset w:val="86"/>
    <w:family w:val="auto"/>
    <w:pitch w:val="default"/>
    <w:sig w:usb0="800002BF" w:usb1="004F7CFA"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1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14"/>
        <w:snapToGrid w:val="0"/>
        <w:rPr>
          <w:rFonts w:hint="eastAsia" w:eastAsia="宋体"/>
          <w:lang w:val="en-US" w:eastAsia="zh-CN"/>
        </w:rPr>
      </w:pPr>
      <w:r>
        <w:rPr>
          <w:rFonts w:hint="eastAsia"/>
          <w:lang w:val="en-US" w:eastAsia="zh-CN"/>
        </w:rPr>
        <w:t>1.人工成本：工资薪金、社保及公积金、福利及培训费用。</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footnotePr>
    <w:footnote w:id="2"/>
    <w:footnote w:id="3"/>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EFB9858"/>
    <w:rsid w:val="0323488D"/>
    <w:rsid w:val="033B496A"/>
    <w:rsid w:val="08B82E34"/>
    <w:rsid w:val="19CB40AE"/>
    <w:rsid w:val="1EF71075"/>
    <w:rsid w:val="21C872EB"/>
    <w:rsid w:val="2447431D"/>
    <w:rsid w:val="25F73CC9"/>
    <w:rsid w:val="32FF02B6"/>
    <w:rsid w:val="37571D9C"/>
    <w:rsid w:val="38BD0513"/>
    <w:rsid w:val="3F4759FD"/>
    <w:rsid w:val="3F714B47"/>
    <w:rsid w:val="4C315CB4"/>
    <w:rsid w:val="4C6836E0"/>
    <w:rsid w:val="54EF7CE5"/>
    <w:rsid w:val="57BFF81F"/>
    <w:rsid w:val="59357017"/>
    <w:rsid w:val="5C5A5AA0"/>
    <w:rsid w:val="5CFE5FDA"/>
    <w:rsid w:val="5FF785C0"/>
    <w:rsid w:val="5FFF6778"/>
    <w:rsid w:val="5FFF6BEA"/>
    <w:rsid w:val="603B40F7"/>
    <w:rsid w:val="61E736F5"/>
    <w:rsid w:val="63827D24"/>
    <w:rsid w:val="65B16369"/>
    <w:rsid w:val="662532CB"/>
    <w:rsid w:val="6850354E"/>
    <w:rsid w:val="70BB0398"/>
    <w:rsid w:val="72DE4391"/>
    <w:rsid w:val="735A14BD"/>
    <w:rsid w:val="75DA4EFD"/>
    <w:rsid w:val="7D1965C1"/>
    <w:rsid w:val="7E502A6F"/>
    <w:rsid w:val="7FFF266B"/>
    <w:rsid w:val="BDEFE45E"/>
    <w:rsid w:val="BEF7797F"/>
    <w:rsid w:val="BEFB9858"/>
    <w:rsid w:val="BFCDFAA9"/>
    <w:rsid w:val="CDB11CD5"/>
    <w:rsid w:val="D1BF759F"/>
    <w:rsid w:val="DAAE6467"/>
    <w:rsid w:val="DEBFEB13"/>
    <w:rsid w:val="E8D7433C"/>
    <w:rsid w:val="EDBFFFA6"/>
    <w:rsid w:val="F39E98D7"/>
    <w:rsid w:val="F4FF3043"/>
    <w:rsid w:val="F5EEB236"/>
    <w:rsid w:val="F7FEF773"/>
    <w:rsid w:val="FBBF19A5"/>
    <w:rsid w:val="FBF3C322"/>
    <w:rsid w:val="FBFF4410"/>
    <w:rsid w:val="FDFE77D0"/>
    <w:rsid w:val="FDFEE340"/>
    <w:rsid w:val="FEFE6CC0"/>
    <w:rsid w:val="FF7FF6C1"/>
    <w:rsid w:val="FFF79B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楷体_GB2312" w:cs="Times New Roman"/>
      <w:kern w:val="2"/>
      <w:sz w:val="32"/>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4">
    <w:name w:val="heading 3"/>
    <w:basedOn w:val="1"/>
    <w:next w:val="1"/>
    <w:unhideWhenUsed/>
    <w:qFormat/>
    <w:uiPriority w:val="0"/>
    <w:pPr>
      <w:ind w:left="200" w:hanging="200" w:hangingChars="200"/>
      <w:outlineLvl w:val="2"/>
    </w:pPr>
    <w:rPr>
      <w:rFonts w:ascii="Times New Roman" w:hAnsi="Times New Roman"/>
      <w:b/>
      <w:bCs/>
      <w:szCs w:val="32"/>
    </w:rPr>
  </w:style>
  <w:style w:type="paragraph" w:styleId="5">
    <w:name w:val="heading 4"/>
    <w:basedOn w:val="6"/>
    <w:next w:val="1"/>
    <w:qFormat/>
    <w:uiPriority w:val="0"/>
    <w:pPr>
      <w:keepNext w:val="0"/>
      <w:keepLines w:val="0"/>
      <w:spacing w:beforeLines="0" w:beforeAutospacing="0" w:afterLines="0" w:afterAutospacing="0" w:line="300" w:lineRule="auto"/>
      <w:ind w:firstLine="0" w:firstLineChars="0"/>
      <w:jc w:val="center"/>
      <w:outlineLvl w:val="3"/>
    </w:pPr>
    <w:rPr>
      <w:rFonts w:eastAsia="长城小标宋体" w:cs="Times New Roman"/>
      <w:b/>
      <w:bCs/>
      <w:spacing w:val="6"/>
      <w:sz w:val="44"/>
      <w:szCs w:val="44"/>
    </w:rPr>
  </w:style>
  <w:style w:type="paragraph" w:styleId="6">
    <w:name w:val="heading 5"/>
    <w:basedOn w:val="1"/>
    <w:next w:val="1"/>
    <w:qFormat/>
    <w:uiPriority w:val="0"/>
    <w:pPr>
      <w:ind w:left="1400" w:hanging="400"/>
      <w:outlineLvl w:val="4"/>
    </w:pPr>
    <w:rPr>
      <w:rFonts w:ascii="Calibri" w:hAnsi="Calibri" w:eastAsia="宋体"/>
      <w:szCs w:val="21"/>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jc w:val="center"/>
    </w:pPr>
    <w:rPr>
      <w:rFonts w:ascii="黑体" w:eastAsia="黑体"/>
      <w:sz w:val="44"/>
    </w:rPr>
  </w:style>
  <w:style w:type="paragraph" w:styleId="7">
    <w:name w:val="annotation text"/>
    <w:basedOn w:val="1"/>
    <w:qFormat/>
    <w:uiPriority w:val="0"/>
    <w:pPr>
      <w:jc w:val="left"/>
    </w:pPr>
  </w:style>
  <w:style w:type="paragraph" w:styleId="8">
    <w:name w:val="Body Text Indent"/>
    <w:basedOn w:val="1"/>
    <w:next w:val="9"/>
    <w:qFormat/>
    <w:uiPriority w:val="0"/>
    <w:pPr>
      <w:spacing w:after="120"/>
      <w:ind w:left="420" w:leftChars="200"/>
    </w:pPr>
  </w:style>
  <w:style w:type="paragraph" w:styleId="9">
    <w:name w:val="envelope return"/>
    <w:basedOn w:val="1"/>
    <w:qFormat/>
    <w:uiPriority w:val="0"/>
    <w:pPr>
      <w:snapToGrid w:val="0"/>
    </w:pPr>
    <w:rPr>
      <w:rFonts w:ascii="Arial" w:hAnsi="Arial"/>
    </w:rPr>
  </w:style>
  <w:style w:type="paragraph" w:styleId="10">
    <w:name w:val="toc 3"/>
    <w:basedOn w:val="1"/>
    <w:next w:val="1"/>
    <w:qFormat/>
    <w:uiPriority w:val="0"/>
    <w:pPr>
      <w:spacing w:beforeLines="0" w:afterLines="0"/>
      <w:ind w:left="420"/>
    </w:pPr>
    <w:rPr>
      <w:rFonts w:hint="eastAsia" w:ascii="等线" w:hAnsi="等线" w:eastAsia="等线"/>
      <w:b/>
      <w:sz w:val="30"/>
    </w:rPr>
  </w:style>
  <w:style w:type="paragraph" w:styleId="11">
    <w:name w:val="Plain Text"/>
    <w:basedOn w:val="1"/>
    <w:next w:val="1"/>
    <w:qFormat/>
    <w:uiPriority w:val="0"/>
    <w:rPr>
      <w:rFonts w:ascii="宋体" w:hAnsi="Courier New"/>
      <w:szCs w:val="21"/>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4">
    <w:name w:val="footnote text"/>
    <w:basedOn w:val="1"/>
    <w:qFormat/>
    <w:uiPriority w:val="0"/>
    <w:pPr>
      <w:snapToGrid w:val="0"/>
      <w:jc w:val="left"/>
    </w:pPr>
    <w:rPr>
      <w:sz w:val="18"/>
    </w:rPr>
  </w:style>
  <w:style w:type="paragraph" w:styleId="15">
    <w:name w:val="index 1"/>
    <w:basedOn w:val="1"/>
    <w:next w:val="1"/>
    <w:qFormat/>
    <w:uiPriority w:val="0"/>
  </w:style>
  <w:style w:type="paragraph" w:styleId="16">
    <w:name w:val="Body Text First Indent"/>
    <w:basedOn w:val="2"/>
    <w:next w:val="1"/>
    <w:qFormat/>
    <w:uiPriority w:val="0"/>
    <w:pPr>
      <w:ind w:left="220" w:firstLine="420" w:firstLineChars="100"/>
    </w:pPr>
    <w:rPr>
      <w:rFonts w:ascii="Times New Roman" w:eastAsia="Times New Roman"/>
      <w:szCs w:val="28"/>
    </w:rPr>
  </w:style>
  <w:style w:type="paragraph" w:styleId="17">
    <w:name w:val="Body Text First Indent 2"/>
    <w:basedOn w:val="8"/>
    <w:qFormat/>
    <w:uiPriority w:val="0"/>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footnote reference"/>
    <w:basedOn w:val="20"/>
    <w:qFormat/>
    <w:uiPriority w:val="0"/>
    <w:rPr>
      <w:vertAlign w:val="superscript"/>
    </w:rPr>
  </w:style>
  <w:style w:type="paragraph" w:customStyle="1" w:styleId="23">
    <w:name w:val="目录 11"/>
    <w:basedOn w:val="1"/>
    <w:next w:val="1"/>
    <w:qFormat/>
    <w:uiPriority w:val="0"/>
    <w:pPr>
      <w:widowControl/>
      <w:wordWrap w:val="0"/>
    </w:pPr>
    <w:rPr>
      <w:rFonts w:ascii="Calibri" w:hAnsi="Calibri" w:eastAsia="宋体" w:cs="Calibri"/>
      <w:kern w:val="0"/>
      <w:szCs w:val="21"/>
    </w:rPr>
  </w:style>
  <w:style w:type="paragraph" w:customStyle="1" w:styleId="24">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customStyle="1" w:styleId="25">
    <w:name w:val="PlainText"/>
    <w:basedOn w:val="1"/>
    <w:next w:val="1"/>
    <w:qFormat/>
    <w:uiPriority w:val="0"/>
    <w:pPr>
      <w:spacing w:line="240" w:lineRule="auto"/>
      <w:jc w:val="both"/>
    </w:pPr>
    <w:rPr>
      <w:rFonts w:ascii="宋体" w:hAnsi="宋体" w:eastAsia="宋体"/>
      <w:color w:val="000000"/>
      <w:kern w:val="2"/>
      <w:sz w:val="21"/>
      <w:szCs w:val="21"/>
      <w:lang w:val="en-US" w:eastAsia="zh-CN" w:bidi="ar-SA"/>
    </w:rPr>
  </w:style>
  <w:style w:type="paragraph" w:customStyle="1" w:styleId="26">
    <w:name w:val="列表段落1"/>
    <w:basedOn w:val="1"/>
    <w:qFormat/>
    <w:uiPriority w:val="34"/>
    <w:pPr>
      <w:ind w:firstLine="420" w:firstLineChars="200"/>
    </w:pPr>
  </w:style>
  <w:style w:type="paragraph" w:customStyle="1" w:styleId="27">
    <w:name w:val="Body text|1"/>
    <w:basedOn w:val="1"/>
    <w:qFormat/>
    <w:uiPriority w:val="0"/>
    <w:pPr>
      <w:spacing w:line="437" w:lineRule="auto"/>
      <w:ind w:firstLine="400"/>
    </w:pPr>
    <w:rPr>
      <w:rFonts w:ascii="宋体" w:hAnsi="宋体" w:eastAsia="宋体" w:cs="宋体"/>
      <w:color w:val="auto"/>
      <w:kern w:val="2"/>
      <w:sz w:val="26"/>
      <w:szCs w:val="26"/>
      <w:lang w:val="zh-TW" w:eastAsia="zh-TW" w:bidi="zh-TW"/>
    </w:rPr>
  </w:style>
  <w:style w:type="paragraph" w:customStyle="1" w:styleId="28">
    <w:name w:val="Default"/>
    <w:qFormat/>
    <w:uiPriority w:val="0"/>
    <w:pPr>
      <w:widowControl w:val="0"/>
      <w:autoSpaceDE w:val="0"/>
      <w:autoSpaceDN w:val="0"/>
      <w:spacing w:after="160" w:line="259" w:lineRule="auto"/>
    </w:pPr>
    <w:rPr>
      <w:rFonts w:ascii="宋体" w:hAnsi="Calibri" w:eastAsia="宋体" w:cs="宋体"/>
      <w:color w:val="000000"/>
      <w:sz w:val="24"/>
      <w:szCs w:val="24"/>
      <w:lang w:val="en-US" w:eastAsia="zh-CN" w:bidi="ar-SA"/>
    </w:rPr>
  </w:style>
  <w:style w:type="paragraph" w:customStyle="1" w:styleId="29">
    <w:name w:val="题注1"/>
    <w:basedOn w:val="1"/>
    <w:qFormat/>
    <w:uiPriority w:val="0"/>
    <w:pPr>
      <w:spacing w:before="156" w:beforeLines="50" w:after="156" w:afterLines="50" w:line="240" w:lineRule="auto"/>
      <w:ind w:firstLine="0" w:firstLineChars="0"/>
      <w:jc w:val="center"/>
    </w:pPr>
    <w:rPr>
      <w:rFonts w:ascii="黑体" w:hAnsi="黑体" w:eastAsia="黑体"/>
      <w:sz w:val="28"/>
      <w:szCs w:val="28"/>
    </w:rPr>
  </w:style>
  <w:style w:type="paragraph" w:customStyle="1" w:styleId="30">
    <w:name w:val="picture"/>
    <w:basedOn w:val="1"/>
    <w:qFormat/>
    <w:uiPriority w:val="0"/>
    <w:pPr>
      <w:spacing w:before="156" w:beforeLines="50" w:after="156" w:afterLines="50" w:line="240" w:lineRule="auto"/>
      <w:ind w:firstLine="0" w:firstLineChars="0"/>
      <w:jc w:val="center"/>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4856</Words>
  <Characters>4916</Characters>
  <Lines>0</Lines>
  <Paragraphs>0</Paragraphs>
  <TotalTime>21</TotalTime>
  <ScaleCrop>false</ScaleCrop>
  <LinksUpToDate>false</LinksUpToDate>
  <CharactersWithSpaces>5111</CharactersWithSpaces>
  <Application>WPS Office_6.7.1.8828_F1E327BC-269C-435d-A152-05C5408002CA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2024-11-06T20:51:00Z</dcterms:created>
  <dc:creator>楚然</dc:creator>
  <cp:lastModifiedBy>Jing</cp:lastModifiedBy>
  <cp:lastPrinted>2026-03-11T13:45:00Z</cp:lastPrinted>
  <dcterms:modified xsi:type="dcterms:W3CDTF">2026-04-09T14:57:06Z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KSOTemplateDocerSaveRecord">
    <vt:lpwstr>eyJoZGlkIjoiNTg4Njg4ODViZGI1MTdmNjZhNWRjYzMzYWE5MTA1YzAifQ==</vt:lpwstr>
  </property>
  <property fmtid="{D5CDD505-2E9C-101B-9397-08002B2CF9AE}" pid="4" name="ICV">
    <vt:lpwstr>32686C25EECC6FC6C24DD769660BF553_43</vt:lpwstr>
  </property>
</Properties>
</file>