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eastAsia"/>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石景山区加快科幻产业发展支持办法</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征求意见</w:t>
      </w:r>
      <w:r>
        <w:rPr>
          <w:rFonts w:hint="eastAsia" w:ascii="Times New Roman" w:hAnsi="Times New Roman" w:eastAsia="楷体_GB2312" w:cs="Times New Roman"/>
          <w:color w:val="000000"/>
          <w:sz w:val="32"/>
          <w:szCs w:val="32"/>
        </w:rPr>
        <w:t>稿）</w:t>
      </w:r>
    </w:p>
    <w:bookmarkEnd w:id="0"/>
    <w:p>
      <w:pPr>
        <w:pStyle w:val="10"/>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宋体" w:cs="Times New Roman"/>
          <w:sz w:val="21"/>
          <w:szCs w:val="24"/>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lang w:eastAsia="zh-CN"/>
        </w:rPr>
        <w:t>第一条</w:t>
      </w:r>
      <w:r>
        <w:rPr>
          <w:rFonts w:hint="eastAsia" w:ascii="仿宋_GB2312" w:hAnsi="仿宋_GB2312" w:eastAsia="仿宋_GB2312" w:cs="仿宋_GB2312"/>
          <w:b/>
          <w:color w:val="000000"/>
          <w:sz w:val="32"/>
          <w:szCs w:val="32"/>
          <w:lang w:val="en-US" w:eastAsia="zh-CN"/>
        </w:rPr>
        <w:t xml:space="preserve">  </w:t>
      </w:r>
      <w:r>
        <w:rPr>
          <w:rStyle w:val="21"/>
          <w:rFonts w:hint="eastAsia" w:ascii="仿宋_GB2312" w:hAnsi="仿宋_GB2312" w:eastAsia="仿宋_GB2312" w:cs="仿宋_GB2312"/>
          <w:b w:val="0"/>
          <w:bCs/>
          <w:color w:val="000000"/>
          <w:sz w:val="32"/>
          <w:szCs w:val="32"/>
        </w:rPr>
        <w:t>为促进科幻产业高质量发展，进一步激发创新创造活力，加快创新要素集聚，建设具有影响力的科幻产业创新高地，结合区域实际，制定本办法。</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rPr>
        <w:t>第</w:t>
      </w:r>
      <w:r>
        <w:rPr>
          <w:rFonts w:hint="default" w:ascii="仿宋_GB2312" w:hAnsi="仿宋_GB2312" w:eastAsia="仿宋_GB2312" w:cs="仿宋_GB2312"/>
          <w:b/>
          <w:color w:val="000000"/>
          <w:sz w:val="32"/>
          <w:szCs w:val="32"/>
          <w:lang w:val="en-US" w:eastAsia="zh-CN"/>
        </w:rPr>
        <w:t>二</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b/>
          <w:color w:val="000000"/>
          <w:sz w:val="32"/>
          <w:szCs w:val="32"/>
          <w:lang w:val="en-US" w:eastAsia="zh-CN"/>
        </w:rPr>
        <w:t xml:space="preserve">  </w:t>
      </w:r>
      <w:r>
        <w:rPr>
          <w:rStyle w:val="21"/>
          <w:rFonts w:hint="eastAsia" w:ascii="仿宋_GB2312" w:hAnsi="仿宋_GB2312" w:eastAsia="仿宋_GB2312" w:cs="仿宋_GB2312"/>
          <w:b w:val="0"/>
          <w:bCs/>
          <w:color w:val="000000"/>
          <w:sz w:val="32"/>
          <w:szCs w:val="32"/>
        </w:rPr>
        <w:t>本办法支持在石景山区依法合规开展经营活动的科幻相关企业或机构，包括科幻内容创作、影视、动漫、游戏</w:t>
      </w:r>
      <w:r>
        <w:rPr>
          <w:rStyle w:val="21"/>
          <w:rFonts w:hint="eastAsia" w:ascii="仿宋_GB2312" w:hAnsi="仿宋_GB2312" w:eastAsia="仿宋_GB2312" w:cs="仿宋_GB2312"/>
          <w:b w:val="0"/>
          <w:bCs/>
          <w:color w:val="000000"/>
          <w:sz w:val="32"/>
          <w:szCs w:val="32"/>
          <w:lang w:eastAsia="zh-CN"/>
        </w:rPr>
        <w:t>、衍生品</w:t>
      </w:r>
      <w:r>
        <w:rPr>
          <w:rStyle w:val="21"/>
          <w:rFonts w:hint="eastAsia" w:ascii="仿宋_GB2312" w:hAnsi="仿宋_GB2312" w:eastAsia="仿宋_GB2312" w:cs="仿宋_GB2312"/>
          <w:b w:val="0"/>
          <w:bCs/>
          <w:color w:val="000000"/>
          <w:sz w:val="32"/>
          <w:szCs w:val="32"/>
        </w:rPr>
        <w:t>等科幻</w:t>
      </w:r>
      <w:r>
        <w:rPr>
          <w:rStyle w:val="21"/>
          <w:rFonts w:hint="eastAsia" w:ascii="仿宋_GB2312" w:hAnsi="仿宋_GB2312" w:eastAsia="仿宋_GB2312" w:cs="仿宋_GB2312"/>
          <w:b w:val="0"/>
          <w:bCs/>
          <w:color w:val="000000"/>
          <w:sz w:val="32"/>
          <w:szCs w:val="32"/>
          <w:lang w:eastAsia="zh-CN"/>
        </w:rPr>
        <w:t>产品</w:t>
      </w:r>
      <w:r>
        <w:rPr>
          <w:rStyle w:val="21"/>
          <w:rFonts w:hint="eastAsia" w:ascii="仿宋_GB2312" w:hAnsi="仿宋_GB2312" w:eastAsia="仿宋_GB2312" w:cs="仿宋_GB2312"/>
          <w:b w:val="0"/>
          <w:bCs/>
          <w:color w:val="000000"/>
          <w:sz w:val="32"/>
          <w:szCs w:val="32"/>
        </w:rPr>
        <w:t>，为科幻创制提供服务的出版发行服务、交易服务、孵化服务、检测认证、标准化服务等科幻运营服务，为科幻产品提供技术支撑的虚拟现实、人工智能等科幻关键技术和数字体验装备研发，以及与科幻领域相互融合的科技、文化、教育、体育、旅游、娱乐等科幻场景应用等。</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三</w:t>
      </w:r>
      <w:r>
        <w:rPr>
          <w:rFonts w:hint="eastAsia" w:ascii="仿宋_GB2312" w:hAnsi="仿宋_GB2312" w:eastAsia="仿宋_GB2312" w:cs="仿宋_GB2312"/>
          <w:b/>
          <w:color w:val="000000"/>
          <w:sz w:val="32"/>
          <w:szCs w:val="32"/>
        </w:rPr>
        <w:t xml:space="preserve">条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lang w:eastAsia="zh-CN"/>
        </w:rPr>
        <w:t>鼓励</w:t>
      </w:r>
      <w:r>
        <w:rPr>
          <w:rFonts w:hint="eastAsia" w:ascii="仿宋_GB2312" w:hAnsi="仿宋_GB2312" w:eastAsia="仿宋_GB2312" w:cs="仿宋_GB2312"/>
          <w:b/>
          <w:color w:val="000000"/>
          <w:sz w:val="32"/>
          <w:szCs w:val="32"/>
        </w:rPr>
        <w:t>科幻技术研发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Cs/>
          <w:color w:val="000000"/>
          <w:sz w:val="32"/>
          <w:szCs w:val="32"/>
        </w:rPr>
        <w:t>围绕科幻创作与场景体验，支</w:t>
      </w:r>
      <w:r>
        <w:rPr>
          <w:rFonts w:hint="eastAsia" w:ascii="仿宋_GB2312" w:hAnsi="仿宋_GB2312" w:eastAsia="仿宋_GB2312" w:cs="仿宋_GB2312"/>
          <w:bCs/>
          <w:color w:val="000000"/>
          <w:sz w:val="32"/>
          <w:szCs w:val="32"/>
          <w:highlight w:val="none"/>
        </w:rPr>
        <w:t>持渲染引擎、空间计算、AIGC、XR、动作捕捉、数字人等科幻底层技术研发创新</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经评审，</w:t>
      </w:r>
      <w:r>
        <w:rPr>
          <w:rFonts w:hint="eastAsia" w:ascii="仿宋_GB2312" w:hAnsi="仿宋_GB2312" w:eastAsia="仿宋_GB2312" w:cs="仿宋_GB2312"/>
          <w:bCs/>
          <w:color w:val="000000"/>
          <w:sz w:val="32"/>
          <w:szCs w:val="32"/>
          <w:highlight w:val="none"/>
        </w:rPr>
        <w:t>根据项目研发投入费用的30%给予项目资金支持，单个项目支持金额最高</w:t>
      </w: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00万元。对获得国家或北京市支持的科幻领域重点项目，按照国家或市级支持资金30%比例予以配套，最高1500万元。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Style w:val="21"/>
          <w:rFonts w:hint="default"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color w:val="000000"/>
          <w:sz w:val="32"/>
          <w:szCs w:val="32"/>
          <w:highlight w:val="none"/>
        </w:rPr>
        <w:t>第</w:t>
      </w:r>
      <w:r>
        <w:rPr>
          <w:rFonts w:hint="eastAsia" w:ascii="仿宋_GB2312" w:hAnsi="仿宋_GB2312" w:eastAsia="仿宋_GB2312" w:cs="仿宋_GB2312"/>
          <w:b/>
          <w:color w:val="000000"/>
          <w:sz w:val="32"/>
          <w:szCs w:val="32"/>
          <w:highlight w:val="none"/>
          <w:lang w:val="en-US" w:eastAsia="zh-CN"/>
        </w:rPr>
        <w:t>四</w:t>
      </w:r>
      <w:r>
        <w:rPr>
          <w:rFonts w:hint="eastAsia" w:ascii="仿宋_GB2312" w:hAnsi="仿宋_GB2312" w:eastAsia="仿宋_GB2312" w:cs="仿宋_GB2312"/>
          <w:b/>
          <w:color w:val="000000"/>
          <w:sz w:val="32"/>
          <w:szCs w:val="32"/>
          <w:highlight w:val="none"/>
        </w:rPr>
        <w:t>条</w:t>
      </w:r>
      <w:r>
        <w:rPr>
          <w:rFonts w:hint="eastAsia" w:ascii="仿宋_GB2312" w:hAnsi="仿宋_GB2312" w:eastAsia="仿宋_GB2312" w:cs="仿宋_GB2312"/>
          <w:b/>
          <w:color w:val="000000"/>
          <w:sz w:val="32"/>
          <w:szCs w:val="32"/>
          <w:highlight w:val="none"/>
          <w:lang w:val="en-US" w:eastAsia="zh-CN"/>
        </w:rPr>
        <w:t xml:space="preserve">  </w:t>
      </w:r>
      <w:r>
        <w:rPr>
          <w:rStyle w:val="21"/>
          <w:rFonts w:hint="eastAsia" w:ascii="仿宋_GB2312" w:hAnsi="仿宋_GB2312" w:eastAsia="仿宋_GB2312" w:cs="仿宋_GB2312"/>
          <w:color w:val="000000"/>
          <w:sz w:val="32"/>
          <w:szCs w:val="32"/>
          <w:highlight w:val="none"/>
        </w:rPr>
        <w:t>支持科幻</w:t>
      </w:r>
      <w:r>
        <w:rPr>
          <w:rStyle w:val="21"/>
          <w:rFonts w:hint="eastAsia" w:ascii="仿宋_GB2312" w:hAnsi="仿宋_GB2312" w:eastAsia="仿宋_GB2312" w:cs="仿宋_GB2312"/>
          <w:color w:val="000000"/>
          <w:sz w:val="32"/>
          <w:szCs w:val="32"/>
          <w:highlight w:val="none"/>
          <w:lang w:val="en-US" w:eastAsia="zh-CN"/>
        </w:rPr>
        <w:t>内容</w:t>
      </w:r>
      <w:r>
        <w:rPr>
          <w:rStyle w:val="21"/>
          <w:rFonts w:hint="eastAsia" w:ascii="仿宋_GB2312" w:hAnsi="仿宋_GB2312" w:eastAsia="仿宋_GB2312" w:cs="仿宋_GB2312"/>
          <w:color w:val="000000"/>
          <w:sz w:val="32"/>
          <w:szCs w:val="32"/>
          <w:highlight w:val="none"/>
        </w:rPr>
        <w:t>创作</w:t>
      </w:r>
      <w:r>
        <w:rPr>
          <w:rStyle w:val="21"/>
          <w:rFonts w:hint="eastAsia" w:ascii="仿宋_GB2312" w:hAnsi="仿宋_GB2312" w:eastAsia="仿宋_GB2312" w:cs="仿宋_GB2312"/>
          <w:color w:val="000000"/>
          <w:sz w:val="32"/>
          <w:szCs w:val="32"/>
          <w:highlight w:val="none"/>
          <w:lang w:eastAsia="zh-CN"/>
        </w:rPr>
        <w:t>及</w:t>
      </w:r>
      <w:r>
        <w:rPr>
          <w:rStyle w:val="21"/>
          <w:rFonts w:hint="eastAsia" w:ascii="仿宋_GB2312" w:hAnsi="仿宋_GB2312" w:eastAsia="仿宋_GB2312" w:cs="仿宋_GB2312"/>
          <w:color w:val="000000"/>
          <w:sz w:val="32"/>
          <w:szCs w:val="32"/>
          <w:highlight w:val="none"/>
          <w:lang w:val="en-US" w:eastAsia="zh-CN"/>
        </w:rPr>
        <w:t>IP转化</w:t>
      </w:r>
    </w:p>
    <w:p>
      <w:pPr>
        <w:ind w:firstLine="640" w:firstLineChars="200"/>
        <w:rPr>
          <w:rStyle w:val="21"/>
          <w:rFonts w:hint="default"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strike w:val="0"/>
          <w:sz w:val="32"/>
          <w:szCs w:val="32"/>
          <w:highlight w:val="none"/>
          <w:lang w:eastAsia="zh-CN"/>
        </w:rPr>
        <w:t>支持科幻原创作品创作，对获得版权并出版发行的科幻作品，给予</w:t>
      </w:r>
      <w:r>
        <w:rPr>
          <w:rStyle w:val="21"/>
          <w:rFonts w:hint="eastAsia" w:ascii="仿宋_GB2312" w:hAnsi="仿宋_GB2312" w:eastAsia="仿宋_GB2312" w:cs="仿宋_GB2312"/>
          <w:b w:val="0"/>
          <w:bCs/>
          <w:strike w:val="0"/>
          <w:sz w:val="32"/>
          <w:szCs w:val="32"/>
          <w:highlight w:val="none"/>
          <w:lang w:val="en-US" w:eastAsia="zh-CN"/>
        </w:rPr>
        <w:t>5万元资金支持；</w:t>
      </w:r>
      <w:r>
        <w:rPr>
          <w:rStyle w:val="21"/>
          <w:rFonts w:hint="eastAsia" w:ascii="仿宋_GB2312" w:hAnsi="仿宋_GB2312" w:eastAsia="仿宋_GB2312" w:cs="仿宋_GB2312"/>
          <w:b w:val="0"/>
          <w:bCs/>
          <w:strike w:val="0"/>
          <w:color w:val="000000"/>
          <w:sz w:val="32"/>
          <w:szCs w:val="32"/>
          <w:highlight w:val="none"/>
          <w:lang w:val="en-US" w:eastAsia="zh-CN"/>
        </w:rPr>
        <w:t>支持优质科幻IP版权引育孵化，经评审，按照交易额10%给予一次性最高100万元资金支持，同一企业当年最高享受200万元支持。</w:t>
      </w:r>
      <w:r>
        <w:rPr>
          <w:rStyle w:val="21"/>
          <w:rFonts w:hint="eastAsia" w:ascii="仿宋_GB2312" w:hAnsi="仿宋_GB2312" w:eastAsia="仿宋_GB2312" w:cs="仿宋_GB2312"/>
          <w:b w:val="0"/>
          <w:bCs/>
          <w:strike w:val="0"/>
          <w:sz w:val="32"/>
          <w:szCs w:val="32"/>
          <w:highlight w:val="none"/>
        </w:rPr>
        <w:t>对</w:t>
      </w:r>
      <w:r>
        <w:rPr>
          <w:rStyle w:val="21"/>
          <w:rFonts w:hint="eastAsia" w:ascii="仿宋_GB2312" w:hAnsi="仿宋_GB2312" w:eastAsia="仿宋_GB2312" w:cs="仿宋_GB2312"/>
          <w:b w:val="0"/>
          <w:bCs/>
          <w:strike w:val="0"/>
          <w:color w:val="000000"/>
          <w:sz w:val="32"/>
          <w:szCs w:val="32"/>
          <w:highlight w:val="none"/>
          <w:lang w:val="en-US" w:eastAsia="zh-CN"/>
        </w:rPr>
        <w:t>科幻IP转化</w:t>
      </w:r>
      <w:r>
        <w:rPr>
          <w:rStyle w:val="21"/>
          <w:rFonts w:hint="eastAsia" w:ascii="仿宋_GB2312" w:hAnsi="仿宋_GB2312" w:eastAsia="仿宋_GB2312" w:cs="仿宋_GB2312"/>
          <w:b w:val="0"/>
          <w:bCs/>
          <w:strike w:val="0"/>
          <w:sz w:val="32"/>
          <w:szCs w:val="32"/>
          <w:highlight w:val="none"/>
        </w:rPr>
        <w:t>发行的科幻影视、科幻游戏等作品</w:t>
      </w:r>
      <w:r>
        <w:rPr>
          <w:rStyle w:val="21"/>
          <w:rFonts w:hint="eastAsia" w:ascii="仿宋_GB2312" w:hAnsi="仿宋_GB2312" w:eastAsia="仿宋_GB2312" w:cs="仿宋_GB2312"/>
          <w:b w:val="0"/>
          <w:bCs/>
          <w:strike w:val="0"/>
          <w:sz w:val="32"/>
          <w:szCs w:val="32"/>
          <w:highlight w:val="none"/>
          <w:lang w:eastAsia="zh-CN"/>
        </w:rPr>
        <w:t>及</w:t>
      </w:r>
      <w:r>
        <w:rPr>
          <w:rStyle w:val="21"/>
          <w:rFonts w:hint="eastAsia" w:ascii="仿宋_GB2312" w:hAnsi="仿宋_GB2312" w:eastAsia="仿宋_GB2312" w:cs="仿宋_GB2312"/>
          <w:b w:val="0"/>
          <w:bCs/>
          <w:strike w:val="0"/>
          <w:sz w:val="32"/>
          <w:szCs w:val="32"/>
          <w:highlight w:val="none"/>
          <w:lang w:val="en-US" w:eastAsia="zh-CN"/>
        </w:rPr>
        <w:t>相关科幻产品</w:t>
      </w:r>
      <w:r>
        <w:rPr>
          <w:rStyle w:val="21"/>
          <w:rFonts w:hint="eastAsia" w:ascii="仿宋_GB2312" w:hAnsi="仿宋_GB2312" w:eastAsia="仿宋_GB2312" w:cs="仿宋_GB2312"/>
          <w:b w:val="0"/>
          <w:bCs/>
          <w:strike w:val="0"/>
          <w:sz w:val="32"/>
          <w:szCs w:val="32"/>
          <w:highlight w:val="none"/>
        </w:rPr>
        <w:t>，经</w:t>
      </w:r>
      <w:r>
        <w:rPr>
          <w:rStyle w:val="21"/>
          <w:rFonts w:hint="eastAsia" w:ascii="仿宋_GB2312" w:hAnsi="仿宋_GB2312" w:eastAsia="仿宋_GB2312" w:cs="仿宋_GB2312"/>
          <w:b w:val="0"/>
          <w:bCs/>
          <w:strike w:val="0"/>
          <w:sz w:val="32"/>
          <w:szCs w:val="32"/>
          <w:highlight w:val="none"/>
          <w:lang w:eastAsia="zh-CN"/>
        </w:rPr>
        <w:t>评审</w:t>
      </w:r>
      <w:r>
        <w:rPr>
          <w:rStyle w:val="21"/>
          <w:rFonts w:hint="eastAsia" w:ascii="仿宋_GB2312" w:hAnsi="仿宋_GB2312" w:eastAsia="仿宋_GB2312" w:cs="仿宋_GB2312"/>
          <w:b w:val="0"/>
          <w:bCs/>
          <w:strike w:val="0"/>
          <w:sz w:val="32"/>
          <w:szCs w:val="32"/>
          <w:highlight w:val="none"/>
        </w:rPr>
        <w:t>，根据投入费用的30%给予一次性资金支持，单个项目支持金额最高</w:t>
      </w:r>
      <w:r>
        <w:rPr>
          <w:rStyle w:val="21"/>
          <w:rFonts w:hint="eastAsia" w:ascii="仿宋_GB2312" w:hAnsi="仿宋_GB2312" w:eastAsia="仿宋_GB2312" w:cs="仿宋_GB2312"/>
          <w:b w:val="0"/>
          <w:bCs/>
          <w:strike w:val="0"/>
          <w:sz w:val="32"/>
          <w:szCs w:val="32"/>
          <w:highlight w:val="none"/>
          <w:lang w:val="en-US" w:eastAsia="zh-CN"/>
        </w:rPr>
        <w:t>3</w:t>
      </w:r>
      <w:r>
        <w:rPr>
          <w:rStyle w:val="21"/>
          <w:rFonts w:hint="eastAsia" w:ascii="仿宋_GB2312" w:hAnsi="仿宋_GB2312" w:eastAsia="仿宋_GB2312" w:cs="仿宋_GB2312"/>
          <w:b w:val="0"/>
          <w:bCs/>
          <w:strike w:val="0"/>
          <w:sz w:val="32"/>
          <w:szCs w:val="32"/>
          <w:highlight w:val="none"/>
        </w:rPr>
        <w:t>00万元。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bCs/>
          <w:color w:val="000000"/>
          <w:sz w:val="32"/>
          <w:szCs w:val="32"/>
          <w:highlight w:val="none"/>
          <w:lang w:eastAsia="zh-CN"/>
        </w:rPr>
      </w:pPr>
      <w:r>
        <w:rPr>
          <w:rStyle w:val="21"/>
          <w:rFonts w:hint="eastAsia" w:ascii="仿宋_GB2312" w:hAnsi="仿宋_GB2312" w:eastAsia="仿宋_GB2312" w:cs="仿宋_GB2312"/>
          <w:bCs/>
          <w:color w:val="000000"/>
          <w:sz w:val="32"/>
          <w:szCs w:val="32"/>
          <w:highlight w:val="none"/>
        </w:rPr>
        <w:t>第</w:t>
      </w:r>
      <w:r>
        <w:rPr>
          <w:rStyle w:val="21"/>
          <w:rFonts w:hint="eastAsia" w:ascii="仿宋_GB2312" w:hAnsi="仿宋_GB2312" w:eastAsia="仿宋_GB2312" w:cs="仿宋_GB2312"/>
          <w:bCs/>
          <w:color w:val="000000"/>
          <w:sz w:val="32"/>
          <w:szCs w:val="32"/>
          <w:highlight w:val="none"/>
          <w:lang w:val="en-US" w:eastAsia="zh-CN"/>
        </w:rPr>
        <w:t>五</w:t>
      </w:r>
      <w:r>
        <w:rPr>
          <w:rStyle w:val="21"/>
          <w:rFonts w:hint="eastAsia" w:ascii="仿宋_GB2312" w:hAnsi="仿宋_GB2312" w:eastAsia="仿宋_GB2312" w:cs="仿宋_GB2312"/>
          <w:bCs/>
          <w:color w:val="000000"/>
          <w:sz w:val="32"/>
          <w:szCs w:val="32"/>
          <w:highlight w:val="none"/>
        </w:rPr>
        <w:t xml:space="preserve">条 </w:t>
      </w:r>
      <w:r>
        <w:rPr>
          <w:rStyle w:val="21"/>
          <w:rFonts w:hint="eastAsia" w:ascii="仿宋_GB2312" w:hAnsi="仿宋_GB2312" w:eastAsia="仿宋_GB2312" w:cs="仿宋_GB2312"/>
          <w:bCs/>
          <w:color w:val="000000"/>
          <w:sz w:val="32"/>
          <w:szCs w:val="32"/>
          <w:highlight w:val="none"/>
          <w:lang w:val="en-US" w:eastAsia="zh-CN"/>
        </w:rPr>
        <w:t xml:space="preserve"> 加强</w:t>
      </w:r>
      <w:r>
        <w:rPr>
          <w:rStyle w:val="21"/>
          <w:rFonts w:hint="eastAsia" w:ascii="仿宋_GB2312" w:hAnsi="仿宋_GB2312" w:eastAsia="仿宋_GB2312" w:cs="仿宋_GB2312"/>
          <w:bCs/>
          <w:color w:val="000000"/>
          <w:sz w:val="32"/>
          <w:szCs w:val="32"/>
          <w:highlight w:val="none"/>
        </w:rPr>
        <w:t>创新策源力量</w:t>
      </w:r>
      <w:r>
        <w:rPr>
          <w:rStyle w:val="21"/>
          <w:rFonts w:hint="eastAsia" w:ascii="仿宋_GB2312" w:hAnsi="仿宋_GB2312" w:eastAsia="仿宋_GB2312" w:cs="仿宋_GB2312"/>
          <w:bCs/>
          <w:color w:val="000000"/>
          <w:sz w:val="32"/>
          <w:szCs w:val="32"/>
          <w:highlight w:val="none"/>
          <w:lang w:eastAsia="zh-CN"/>
        </w:rPr>
        <w:t>引入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color w:val="000000"/>
          <w:sz w:val="32"/>
          <w:szCs w:val="32"/>
          <w:highlight w:val="none"/>
        </w:rPr>
        <w:t>支持围绕科幻关键核心领域建设国家级或市级重点实验室等科技创新平台，经</w:t>
      </w:r>
      <w:r>
        <w:rPr>
          <w:rStyle w:val="21"/>
          <w:rFonts w:hint="eastAsia" w:ascii="仿宋_GB2312" w:hAnsi="仿宋_GB2312" w:eastAsia="仿宋_GB2312" w:cs="仿宋_GB2312"/>
          <w:b w:val="0"/>
          <w:color w:val="000000"/>
          <w:sz w:val="32"/>
          <w:szCs w:val="32"/>
          <w:highlight w:val="none"/>
          <w:lang w:eastAsia="zh-CN"/>
        </w:rPr>
        <w:t>评审</w:t>
      </w:r>
      <w:r>
        <w:rPr>
          <w:rStyle w:val="21"/>
          <w:rFonts w:hint="eastAsia" w:ascii="仿宋_GB2312" w:hAnsi="仿宋_GB2312" w:eastAsia="仿宋_GB2312" w:cs="仿宋_GB2312"/>
          <w:b w:val="0"/>
          <w:color w:val="000000"/>
          <w:sz w:val="32"/>
          <w:szCs w:val="32"/>
          <w:highlight w:val="none"/>
        </w:rPr>
        <w:t>，按其研发及办公场地实际应用面积分别予以100%或80%补贴支持，最高4000平方米，并予以每年</w:t>
      </w:r>
      <w:r>
        <w:rPr>
          <w:rStyle w:val="21"/>
          <w:rFonts w:hint="eastAsia" w:ascii="仿宋_GB2312" w:hAnsi="仿宋_GB2312" w:eastAsia="仿宋_GB2312" w:cs="仿宋_GB2312"/>
          <w:b w:val="0"/>
          <w:color w:val="000000"/>
          <w:sz w:val="32"/>
          <w:szCs w:val="32"/>
          <w:highlight w:val="none"/>
          <w:lang w:eastAsia="zh-CN"/>
        </w:rPr>
        <w:t>最高</w:t>
      </w:r>
      <w:r>
        <w:rPr>
          <w:rStyle w:val="21"/>
          <w:rFonts w:hint="eastAsia" w:ascii="仿宋_GB2312" w:hAnsi="仿宋_GB2312" w:eastAsia="仿宋_GB2312" w:cs="仿宋_GB2312"/>
          <w:b w:val="0"/>
          <w:color w:val="000000"/>
          <w:sz w:val="32"/>
          <w:szCs w:val="32"/>
          <w:highlight w:val="none"/>
        </w:rPr>
        <w:t>500万元运营经费支持，连续支持不超过三年。</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b w:val="0"/>
          <w:color w:val="000000"/>
          <w:sz w:val="32"/>
          <w:szCs w:val="32"/>
          <w:highlight w:val="none"/>
        </w:rPr>
      </w:pPr>
      <w:r>
        <w:rPr>
          <w:rStyle w:val="21"/>
          <w:rFonts w:hint="eastAsia" w:ascii="仿宋_GB2312" w:hAnsi="仿宋_GB2312" w:eastAsia="仿宋_GB2312" w:cs="仿宋_GB2312"/>
          <w:sz w:val="32"/>
          <w:szCs w:val="32"/>
          <w:highlight w:val="none"/>
        </w:rPr>
        <w:t>第</w:t>
      </w:r>
      <w:r>
        <w:rPr>
          <w:rStyle w:val="21"/>
          <w:rFonts w:hint="eastAsia" w:ascii="仿宋_GB2312" w:hAnsi="仿宋_GB2312" w:eastAsia="仿宋_GB2312" w:cs="仿宋_GB2312"/>
          <w:sz w:val="32"/>
          <w:szCs w:val="32"/>
          <w:highlight w:val="none"/>
          <w:lang w:val="en-US" w:eastAsia="zh-CN"/>
        </w:rPr>
        <w:t>六</w:t>
      </w:r>
      <w:r>
        <w:rPr>
          <w:rStyle w:val="21"/>
          <w:rFonts w:hint="eastAsia" w:ascii="仿宋_GB2312" w:hAnsi="仿宋_GB2312" w:eastAsia="仿宋_GB2312" w:cs="仿宋_GB2312"/>
          <w:sz w:val="32"/>
          <w:szCs w:val="32"/>
          <w:highlight w:val="none"/>
        </w:rPr>
        <w:t xml:space="preserve">条  </w:t>
      </w:r>
      <w:r>
        <w:rPr>
          <w:rStyle w:val="21"/>
          <w:rFonts w:hint="eastAsia" w:ascii="仿宋_GB2312" w:hAnsi="仿宋_GB2312" w:eastAsia="仿宋_GB2312" w:cs="仿宋_GB2312"/>
          <w:sz w:val="32"/>
          <w:szCs w:val="32"/>
          <w:highlight w:val="none"/>
          <w:lang w:eastAsia="zh-CN"/>
        </w:rPr>
        <w:t>加强</w:t>
      </w:r>
      <w:r>
        <w:rPr>
          <w:rStyle w:val="21"/>
          <w:rFonts w:hint="eastAsia" w:ascii="仿宋_GB2312" w:hAnsi="仿宋_GB2312" w:eastAsia="仿宋_GB2312" w:cs="仿宋_GB2312"/>
          <w:bCs/>
          <w:color w:val="000000"/>
          <w:sz w:val="32"/>
          <w:szCs w:val="32"/>
          <w:highlight w:val="none"/>
        </w:rPr>
        <w:t>产业公共服务平台建设</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color w:val="000000"/>
          <w:sz w:val="32"/>
          <w:szCs w:val="32"/>
          <w:highlight w:val="none"/>
        </w:rPr>
      </w:pPr>
      <w:r>
        <w:rPr>
          <w:rStyle w:val="21"/>
          <w:rFonts w:hint="eastAsia" w:ascii="仿宋_GB2312" w:hAnsi="仿宋_GB2312" w:eastAsia="仿宋_GB2312" w:cs="仿宋_GB2312"/>
          <w:b w:val="0"/>
          <w:color w:val="000000"/>
          <w:sz w:val="32"/>
          <w:szCs w:val="32"/>
          <w:highlight w:val="none"/>
          <w:lang w:eastAsia="zh-CN"/>
        </w:rPr>
        <w:t>支</w:t>
      </w:r>
      <w:r>
        <w:rPr>
          <w:rStyle w:val="21"/>
          <w:rFonts w:hint="eastAsia" w:ascii="仿宋_GB2312" w:hAnsi="仿宋_GB2312" w:eastAsia="仿宋_GB2312" w:cs="仿宋_GB2312"/>
          <w:b w:val="0"/>
          <w:color w:val="000000"/>
          <w:sz w:val="32"/>
          <w:szCs w:val="32"/>
          <w:highlight w:val="none"/>
        </w:rPr>
        <w:t>持各类创新主体建设硬件测试、内容创制、软件服务等共性技术</w:t>
      </w:r>
      <w:r>
        <w:rPr>
          <w:rStyle w:val="21"/>
          <w:rFonts w:hint="eastAsia" w:ascii="仿宋_GB2312" w:hAnsi="仿宋_GB2312" w:eastAsia="仿宋_GB2312" w:cs="仿宋_GB2312"/>
          <w:b w:val="0"/>
          <w:color w:val="000000"/>
          <w:sz w:val="32"/>
          <w:szCs w:val="32"/>
          <w:highlight w:val="none"/>
          <w:lang w:val="en-US" w:eastAsia="zh-CN"/>
        </w:rPr>
        <w:t>和</w:t>
      </w:r>
      <w:r>
        <w:rPr>
          <w:rStyle w:val="21"/>
          <w:rFonts w:hint="eastAsia" w:ascii="仿宋_GB2312" w:hAnsi="仿宋_GB2312" w:eastAsia="仿宋_GB2312" w:cs="仿宋_GB2312"/>
          <w:b w:val="0"/>
          <w:color w:val="000000"/>
          <w:sz w:val="32"/>
          <w:szCs w:val="32"/>
          <w:highlight w:val="none"/>
        </w:rPr>
        <w:t>公共服务平台，经评审，按照平台总投资30%予以项目资金支持，最高</w:t>
      </w:r>
      <w:r>
        <w:rPr>
          <w:rStyle w:val="21"/>
          <w:rFonts w:hint="eastAsia" w:ascii="仿宋_GB2312" w:hAnsi="仿宋_GB2312" w:eastAsia="仿宋_GB2312" w:cs="仿宋_GB2312"/>
          <w:b w:val="0"/>
          <w:color w:val="000000"/>
          <w:sz w:val="32"/>
          <w:szCs w:val="32"/>
          <w:highlight w:val="none"/>
          <w:lang w:val="en-US" w:eastAsia="zh-CN"/>
        </w:rPr>
        <w:t>2</w:t>
      </w:r>
      <w:r>
        <w:rPr>
          <w:rStyle w:val="21"/>
          <w:rFonts w:hint="eastAsia" w:ascii="仿宋_GB2312" w:hAnsi="仿宋_GB2312" w:eastAsia="仿宋_GB2312" w:cs="仿宋_GB2312"/>
          <w:b w:val="0"/>
          <w:color w:val="000000"/>
          <w:sz w:val="32"/>
          <w:szCs w:val="32"/>
          <w:highlight w:val="none"/>
        </w:rPr>
        <w:t>00万元。对获得国家或北京市支持的科幻领域</w:t>
      </w:r>
      <w:r>
        <w:rPr>
          <w:rStyle w:val="21"/>
          <w:rFonts w:hint="eastAsia" w:ascii="仿宋_GB2312" w:hAnsi="仿宋_GB2312" w:eastAsia="仿宋_GB2312" w:cs="仿宋_GB2312"/>
          <w:b w:val="0"/>
          <w:color w:val="000000"/>
          <w:sz w:val="32"/>
          <w:szCs w:val="32"/>
          <w:highlight w:val="none"/>
          <w:lang w:eastAsia="zh-CN"/>
        </w:rPr>
        <w:t>产业平台</w:t>
      </w:r>
      <w:r>
        <w:rPr>
          <w:rStyle w:val="21"/>
          <w:rFonts w:hint="eastAsia" w:ascii="仿宋_GB2312" w:hAnsi="仿宋_GB2312" w:eastAsia="仿宋_GB2312" w:cs="仿宋_GB2312"/>
          <w:b w:val="0"/>
          <w:color w:val="000000"/>
          <w:sz w:val="32"/>
          <w:szCs w:val="32"/>
          <w:highlight w:val="none"/>
        </w:rPr>
        <w:t>，按照国家或市级支持资金30%比例予以配套，最高1500万元。鼓励科幻</w:t>
      </w:r>
      <w:r>
        <w:rPr>
          <w:rStyle w:val="21"/>
          <w:rFonts w:hint="eastAsia" w:ascii="仿宋_GB2312" w:hAnsi="仿宋_GB2312" w:eastAsia="仿宋_GB2312" w:cs="仿宋_GB2312"/>
          <w:b w:val="0"/>
          <w:color w:val="000000"/>
          <w:sz w:val="32"/>
          <w:szCs w:val="32"/>
          <w:highlight w:val="none"/>
          <w:lang w:eastAsia="zh-CN"/>
        </w:rPr>
        <w:t>产业</w:t>
      </w:r>
      <w:r>
        <w:rPr>
          <w:rStyle w:val="21"/>
          <w:rFonts w:hint="eastAsia" w:ascii="仿宋_GB2312" w:hAnsi="仿宋_GB2312" w:eastAsia="仿宋_GB2312" w:cs="仿宋_GB2312"/>
          <w:b w:val="0"/>
          <w:color w:val="000000"/>
          <w:sz w:val="32"/>
          <w:szCs w:val="32"/>
          <w:highlight w:val="none"/>
        </w:rPr>
        <w:t>联盟、</w:t>
      </w:r>
      <w:r>
        <w:rPr>
          <w:rStyle w:val="21"/>
          <w:rFonts w:hint="eastAsia" w:ascii="仿宋_GB2312" w:hAnsi="仿宋_GB2312" w:eastAsia="仿宋_GB2312" w:cs="仿宋_GB2312"/>
          <w:b w:val="0"/>
          <w:color w:val="000000"/>
          <w:sz w:val="32"/>
          <w:szCs w:val="32"/>
          <w:highlight w:val="none"/>
          <w:lang w:eastAsia="zh-CN"/>
        </w:rPr>
        <w:t>行业</w:t>
      </w:r>
      <w:r>
        <w:rPr>
          <w:rStyle w:val="21"/>
          <w:rFonts w:hint="eastAsia" w:ascii="仿宋_GB2312" w:hAnsi="仿宋_GB2312" w:eastAsia="仿宋_GB2312" w:cs="仿宋_GB2312"/>
          <w:b w:val="0"/>
          <w:color w:val="000000"/>
          <w:sz w:val="32"/>
          <w:szCs w:val="32"/>
          <w:highlight w:val="none"/>
        </w:rPr>
        <w:t>协会</w:t>
      </w:r>
      <w:r>
        <w:rPr>
          <w:rStyle w:val="21"/>
          <w:rFonts w:hint="eastAsia" w:ascii="仿宋_GB2312" w:hAnsi="仿宋_GB2312" w:eastAsia="仿宋_GB2312" w:cs="仿宋_GB2312"/>
          <w:b w:val="0"/>
          <w:color w:val="000000"/>
          <w:sz w:val="32"/>
          <w:szCs w:val="32"/>
          <w:highlight w:val="none"/>
          <w:lang w:eastAsia="zh-CN"/>
        </w:rPr>
        <w:t>、民办非企业单位</w:t>
      </w:r>
      <w:r>
        <w:rPr>
          <w:rStyle w:val="21"/>
          <w:rFonts w:hint="eastAsia" w:ascii="仿宋_GB2312" w:hAnsi="仿宋_GB2312" w:eastAsia="仿宋_GB2312" w:cs="仿宋_GB2312"/>
          <w:b w:val="0"/>
          <w:color w:val="000000"/>
          <w:sz w:val="32"/>
          <w:szCs w:val="32"/>
          <w:highlight w:val="none"/>
        </w:rPr>
        <w:t>等</w:t>
      </w:r>
      <w:r>
        <w:rPr>
          <w:rStyle w:val="21"/>
          <w:rFonts w:hint="eastAsia" w:ascii="仿宋_GB2312" w:hAnsi="仿宋_GB2312" w:eastAsia="仿宋_GB2312" w:cs="仿宋_GB2312"/>
          <w:b w:val="0"/>
          <w:color w:val="000000"/>
          <w:sz w:val="32"/>
          <w:szCs w:val="32"/>
          <w:highlight w:val="none"/>
          <w:lang w:eastAsia="zh-CN"/>
        </w:rPr>
        <w:t>非营利性社会组织</w:t>
      </w:r>
      <w:r>
        <w:rPr>
          <w:rStyle w:val="21"/>
          <w:rFonts w:hint="eastAsia" w:ascii="仿宋_GB2312" w:hAnsi="仿宋_GB2312" w:eastAsia="仿宋_GB2312" w:cs="仿宋_GB2312"/>
          <w:b w:val="0"/>
          <w:color w:val="000000"/>
          <w:sz w:val="32"/>
          <w:szCs w:val="32"/>
          <w:highlight w:val="none"/>
        </w:rPr>
        <w:t>发挥</w:t>
      </w:r>
      <w:r>
        <w:rPr>
          <w:rStyle w:val="21"/>
          <w:rFonts w:hint="eastAsia" w:ascii="仿宋_GB2312" w:hAnsi="仿宋_GB2312" w:eastAsia="仿宋_GB2312" w:cs="仿宋_GB2312"/>
          <w:b w:val="0"/>
          <w:color w:val="000000"/>
          <w:sz w:val="32"/>
          <w:szCs w:val="32"/>
          <w:highlight w:val="none"/>
          <w:lang w:eastAsia="zh-CN"/>
        </w:rPr>
        <w:t>组织</w:t>
      </w:r>
      <w:r>
        <w:rPr>
          <w:rStyle w:val="21"/>
          <w:rFonts w:hint="eastAsia" w:ascii="仿宋_GB2312" w:hAnsi="仿宋_GB2312" w:eastAsia="仿宋_GB2312" w:cs="仿宋_GB2312"/>
          <w:b w:val="0"/>
          <w:color w:val="000000"/>
          <w:sz w:val="32"/>
          <w:szCs w:val="32"/>
          <w:highlight w:val="none"/>
        </w:rPr>
        <w:t>作用，</w:t>
      </w:r>
      <w:r>
        <w:rPr>
          <w:rStyle w:val="21"/>
          <w:rFonts w:hint="eastAsia" w:ascii="仿宋_GB2312" w:hAnsi="仿宋_GB2312" w:eastAsia="仿宋_GB2312" w:cs="仿宋_GB2312"/>
          <w:b w:val="0"/>
          <w:color w:val="000000"/>
          <w:sz w:val="32"/>
          <w:szCs w:val="32"/>
          <w:highlight w:val="none"/>
          <w:lang w:eastAsia="zh-CN"/>
        </w:rPr>
        <w:t>经评审，</w:t>
      </w:r>
      <w:r>
        <w:rPr>
          <w:rStyle w:val="21"/>
          <w:rFonts w:hint="eastAsia" w:ascii="仿宋_GB2312" w:hAnsi="仿宋_GB2312" w:eastAsia="仿宋_GB2312" w:cs="仿宋_GB2312"/>
          <w:b w:val="0"/>
          <w:color w:val="000000"/>
          <w:sz w:val="32"/>
          <w:szCs w:val="32"/>
          <w:highlight w:val="none"/>
        </w:rPr>
        <w:t>按照</w:t>
      </w:r>
      <w:r>
        <w:rPr>
          <w:rStyle w:val="21"/>
          <w:rFonts w:hint="eastAsia" w:ascii="仿宋_GB2312" w:hAnsi="仿宋_GB2312" w:eastAsia="仿宋_GB2312" w:cs="仿宋_GB2312"/>
          <w:b w:val="0"/>
          <w:color w:val="000000"/>
          <w:sz w:val="32"/>
          <w:szCs w:val="32"/>
          <w:highlight w:val="none"/>
          <w:lang w:eastAsia="zh-CN"/>
        </w:rPr>
        <w:t>其服务企业的数量、提供服务等情况进行</w:t>
      </w:r>
      <w:r>
        <w:rPr>
          <w:rStyle w:val="21"/>
          <w:rFonts w:hint="eastAsia" w:ascii="仿宋_GB2312" w:hAnsi="仿宋_GB2312" w:eastAsia="仿宋_GB2312" w:cs="仿宋_GB2312"/>
          <w:b w:val="0"/>
          <w:color w:val="000000"/>
          <w:sz w:val="32"/>
          <w:szCs w:val="32"/>
          <w:highlight w:val="none"/>
        </w:rPr>
        <w:t>综合评</w:t>
      </w:r>
      <w:r>
        <w:rPr>
          <w:rStyle w:val="21"/>
          <w:rFonts w:hint="eastAsia" w:ascii="仿宋_GB2312" w:hAnsi="仿宋_GB2312" w:eastAsia="仿宋_GB2312" w:cs="仿宋_GB2312"/>
          <w:b w:val="0"/>
          <w:color w:val="000000"/>
          <w:sz w:val="32"/>
          <w:szCs w:val="32"/>
          <w:highlight w:val="none"/>
          <w:lang w:eastAsia="zh-CN"/>
        </w:rPr>
        <w:t>价</w:t>
      </w:r>
      <w:r>
        <w:rPr>
          <w:rStyle w:val="21"/>
          <w:rFonts w:hint="eastAsia" w:ascii="仿宋_GB2312" w:hAnsi="仿宋_GB2312" w:eastAsia="仿宋_GB2312" w:cs="仿宋_GB2312"/>
          <w:b w:val="0"/>
          <w:color w:val="000000"/>
          <w:sz w:val="32"/>
          <w:szCs w:val="32"/>
          <w:highlight w:val="none"/>
        </w:rPr>
        <w:t>，给予最高20万元资金支持。</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第</w:t>
      </w:r>
      <w:r>
        <w:rPr>
          <w:rFonts w:hint="eastAsia" w:ascii="仿宋_GB2312" w:hAnsi="仿宋_GB2312" w:eastAsia="仿宋_GB2312" w:cs="仿宋_GB2312"/>
          <w:b/>
          <w:color w:val="000000"/>
          <w:sz w:val="32"/>
          <w:szCs w:val="32"/>
          <w:highlight w:val="none"/>
          <w:lang w:val="en-US" w:eastAsia="zh-CN"/>
        </w:rPr>
        <w:t>七</w:t>
      </w:r>
      <w:r>
        <w:rPr>
          <w:rFonts w:hint="eastAsia" w:ascii="仿宋_GB2312" w:hAnsi="仿宋_GB2312" w:eastAsia="仿宋_GB2312" w:cs="仿宋_GB2312"/>
          <w:b/>
          <w:color w:val="000000"/>
          <w:sz w:val="32"/>
          <w:szCs w:val="32"/>
          <w:highlight w:val="none"/>
        </w:rPr>
        <w:t xml:space="preserve">条 </w:t>
      </w:r>
      <w:r>
        <w:rPr>
          <w:rFonts w:hint="eastAsia" w:ascii="仿宋_GB2312" w:hAnsi="仿宋_GB2312" w:eastAsia="仿宋_GB2312" w:cs="仿宋_GB2312"/>
          <w:b/>
          <w:color w:val="000000"/>
          <w:sz w:val="32"/>
          <w:szCs w:val="32"/>
          <w:highlight w:val="none"/>
          <w:lang w:val="en-US" w:eastAsia="zh-CN"/>
        </w:rPr>
        <w:t xml:space="preserve"> </w:t>
      </w:r>
      <w:r>
        <w:rPr>
          <w:rStyle w:val="21"/>
          <w:rFonts w:hint="eastAsia" w:ascii="仿宋_GB2312" w:hAnsi="仿宋_GB2312" w:eastAsia="仿宋_GB2312" w:cs="仿宋_GB2312"/>
          <w:color w:val="000000"/>
          <w:sz w:val="32"/>
          <w:szCs w:val="32"/>
          <w:highlight w:val="none"/>
        </w:rPr>
        <w:t>支持科幻主题场景建设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rPr>
        <w:t>鼓励打造首发场馆、科幻体验消费乐园、科幻街区、科幻博物馆、科幻公园、科幻剧场等多元化的科幻主题体验场景，根据场景建设投资总额的30%给予一次性资金支持，单个项目支持金额最高</w:t>
      </w:r>
      <w:r>
        <w:rPr>
          <w:rStyle w:val="21"/>
          <w:rFonts w:hint="eastAsia" w:ascii="仿宋_GB2312" w:hAnsi="仿宋_GB2312" w:eastAsia="仿宋_GB2312" w:cs="仿宋_GB2312"/>
          <w:b w:val="0"/>
          <w:bCs/>
          <w:color w:val="000000"/>
          <w:sz w:val="32"/>
          <w:szCs w:val="32"/>
          <w:highlight w:val="none"/>
          <w:lang w:val="en-US" w:eastAsia="zh-CN"/>
        </w:rPr>
        <w:t>2</w:t>
      </w:r>
      <w:r>
        <w:rPr>
          <w:rStyle w:val="21"/>
          <w:rFonts w:hint="eastAsia" w:ascii="仿宋_GB2312" w:hAnsi="仿宋_GB2312" w:eastAsia="仿宋_GB2312" w:cs="仿宋_GB2312"/>
          <w:b w:val="0"/>
          <w:bCs/>
          <w:color w:val="000000"/>
          <w:sz w:val="32"/>
          <w:szCs w:val="32"/>
          <w:highlight w:val="none"/>
        </w:rPr>
        <w:t>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sz w:val="32"/>
          <w:szCs w:val="32"/>
          <w:highlight w:val="none"/>
        </w:rPr>
      </w:pPr>
      <w:r>
        <w:rPr>
          <w:rStyle w:val="21"/>
          <w:rFonts w:hint="eastAsia" w:ascii="仿宋_GB2312" w:hAnsi="仿宋_GB2312" w:eastAsia="仿宋_GB2312" w:cs="仿宋_GB2312"/>
          <w:sz w:val="32"/>
          <w:szCs w:val="32"/>
          <w:highlight w:val="none"/>
        </w:rPr>
        <w:t>第</w:t>
      </w:r>
      <w:r>
        <w:rPr>
          <w:rStyle w:val="21"/>
          <w:rFonts w:hint="eastAsia" w:ascii="仿宋_GB2312" w:hAnsi="仿宋_GB2312" w:eastAsia="仿宋_GB2312" w:cs="仿宋_GB2312"/>
          <w:sz w:val="32"/>
          <w:szCs w:val="32"/>
          <w:highlight w:val="none"/>
          <w:lang w:val="en-US" w:eastAsia="zh-CN"/>
        </w:rPr>
        <w:t>八</w:t>
      </w:r>
      <w:r>
        <w:rPr>
          <w:rStyle w:val="21"/>
          <w:rFonts w:hint="eastAsia" w:ascii="仿宋_GB2312" w:hAnsi="仿宋_GB2312" w:eastAsia="仿宋_GB2312" w:cs="仿宋_GB2312"/>
          <w:sz w:val="32"/>
          <w:szCs w:val="32"/>
          <w:highlight w:val="none"/>
        </w:rPr>
        <w:t xml:space="preserve">条 </w:t>
      </w:r>
      <w:r>
        <w:rPr>
          <w:rStyle w:val="21"/>
          <w:rFonts w:hint="eastAsia" w:ascii="仿宋_GB2312" w:hAnsi="仿宋_GB2312" w:eastAsia="仿宋_GB2312" w:cs="仿宋_GB2312"/>
          <w:sz w:val="32"/>
          <w:szCs w:val="32"/>
          <w:highlight w:val="none"/>
          <w:lang w:val="en-US" w:eastAsia="zh-CN"/>
        </w:rPr>
        <w:t xml:space="preserve"> 鼓励</w:t>
      </w:r>
      <w:r>
        <w:rPr>
          <w:rStyle w:val="21"/>
          <w:rFonts w:hint="eastAsia" w:ascii="仿宋_GB2312" w:hAnsi="仿宋_GB2312" w:eastAsia="仿宋_GB2312" w:cs="仿宋_GB2312"/>
          <w:sz w:val="32"/>
          <w:szCs w:val="32"/>
          <w:highlight w:val="none"/>
        </w:rPr>
        <w:t>塑造国际化科幻品牌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val="0"/>
          <w:color w:val="000000"/>
          <w:sz w:val="32"/>
          <w:szCs w:val="32"/>
          <w:highlight w:val="none"/>
          <w:lang w:eastAsia="zh-CN"/>
        </w:rPr>
      </w:pPr>
      <w:r>
        <w:rPr>
          <w:rStyle w:val="21"/>
          <w:rFonts w:hint="eastAsia" w:ascii="仿宋_GB2312" w:hAnsi="仿宋_GB2312" w:eastAsia="仿宋_GB2312" w:cs="仿宋_GB2312"/>
          <w:b w:val="0"/>
          <w:bCs/>
          <w:color w:val="000000"/>
          <w:sz w:val="32"/>
          <w:szCs w:val="32"/>
          <w:highlight w:val="none"/>
        </w:rPr>
        <w:t>鼓励举办（承办）具有较高知名度、较强影响力的赛事、会节、展览、论坛等重大活动，赋能特色产业高质量发展。根据活动级别、规模和实际影响力，经认定，给予市级最高200万元、国家级和国际级最高800万元支持。</w:t>
      </w:r>
      <w:r>
        <w:rPr>
          <w:rStyle w:val="21"/>
          <w:rFonts w:hint="eastAsia" w:ascii="仿宋_GB2312" w:hAnsi="仿宋_GB2312" w:eastAsia="仿宋_GB2312" w:cs="仿宋_GB2312"/>
          <w:b w:val="0"/>
          <w:bCs w:val="0"/>
          <w:color w:val="000000"/>
          <w:sz w:val="32"/>
          <w:szCs w:val="32"/>
          <w:highlight w:val="none"/>
          <w:lang w:eastAsia="zh-CN"/>
        </w:rPr>
        <w:t>鼓励科幻企业参加中国创新创业大赛、中国创新挑战赛、中关村创新创业大赛、HICOOL全球创业大赛等赛事，对获奖优胜企业，给予最高30万元资金奖励。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b w:val="0"/>
          <w:bCs/>
          <w:sz w:val="32"/>
          <w:szCs w:val="32"/>
          <w:highlight w:val="none"/>
        </w:rPr>
      </w:pPr>
      <w:r>
        <w:rPr>
          <w:rStyle w:val="21"/>
          <w:rFonts w:hint="eastAsia" w:ascii="仿宋_GB2312" w:hAnsi="仿宋_GB2312" w:eastAsia="仿宋_GB2312" w:cs="仿宋_GB2312"/>
          <w:sz w:val="32"/>
          <w:szCs w:val="32"/>
          <w:highlight w:val="none"/>
        </w:rPr>
        <w:t>第</w:t>
      </w:r>
      <w:r>
        <w:rPr>
          <w:rStyle w:val="21"/>
          <w:rFonts w:hint="eastAsia" w:ascii="仿宋_GB2312" w:hAnsi="仿宋_GB2312" w:eastAsia="仿宋_GB2312" w:cs="仿宋_GB2312"/>
          <w:sz w:val="32"/>
          <w:szCs w:val="32"/>
          <w:highlight w:val="none"/>
          <w:lang w:val="en-US" w:eastAsia="zh-CN"/>
        </w:rPr>
        <w:t>九</w:t>
      </w:r>
      <w:r>
        <w:rPr>
          <w:rStyle w:val="21"/>
          <w:rFonts w:hint="eastAsia" w:ascii="仿宋_GB2312" w:hAnsi="仿宋_GB2312" w:eastAsia="仿宋_GB2312" w:cs="仿宋_GB2312"/>
          <w:sz w:val="32"/>
          <w:szCs w:val="32"/>
          <w:highlight w:val="none"/>
        </w:rPr>
        <w:t xml:space="preserve">条 </w:t>
      </w:r>
      <w:r>
        <w:rPr>
          <w:rStyle w:val="21"/>
          <w:rFonts w:hint="eastAsia" w:ascii="仿宋_GB2312" w:hAnsi="仿宋_GB2312" w:eastAsia="仿宋_GB2312" w:cs="仿宋_GB2312"/>
          <w:sz w:val="32"/>
          <w:szCs w:val="32"/>
          <w:highlight w:val="none"/>
          <w:lang w:val="en-US" w:eastAsia="zh-CN"/>
        </w:rPr>
        <w:t xml:space="preserve"> </w:t>
      </w:r>
      <w:r>
        <w:rPr>
          <w:rStyle w:val="21"/>
          <w:rFonts w:hint="eastAsia" w:ascii="仿宋_GB2312" w:hAnsi="仿宋_GB2312" w:eastAsia="仿宋_GB2312" w:cs="仿宋_GB2312"/>
          <w:sz w:val="32"/>
          <w:szCs w:val="32"/>
          <w:highlight w:val="none"/>
        </w:rPr>
        <w:t>强化资本支撑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sz w:val="32"/>
          <w:szCs w:val="32"/>
          <w:highlight w:val="none"/>
        </w:rPr>
        <w:t>发挥</w:t>
      </w:r>
      <w:r>
        <w:rPr>
          <w:rStyle w:val="21"/>
          <w:rFonts w:hint="eastAsia" w:ascii="仿宋_GB2312" w:hAnsi="仿宋_GB2312" w:eastAsia="仿宋_GB2312" w:cs="仿宋_GB2312"/>
          <w:b w:val="0"/>
          <w:bCs/>
          <w:sz w:val="32"/>
          <w:szCs w:val="32"/>
          <w:highlight w:val="none"/>
          <w:lang w:eastAsia="zh-CN"/>
        </w:rPr>
        <w:t>科幻</w:t>
      </w:r>
      <w:r>
        <w:rPr>
          <w:rStyle w:val="21"/>
          <w:rFonts w:hint="eastAsia" w:ascii="仿宋_GB2312" w:hAnsi="仿宋_GB2312" w:eastAsia="仿宋_GB2312" w:cs="仿宋_GB2312"/>
          <w:b w:val="0"/>
          <w:bCs/>
          <w:sz w:val="32"/>
          <w:szCs w:val="32"/>
          <w:highlight w:val="none"/>
        </w:rPr>
        <w:t>产业</w:t>
      </w:r>
      <w:r>
        <w:rPr>
          <w:rStyle w:val="21"/>
          <w:rFonts w:hint="eastAsia" w:ascii="仿宋_GB2312" w:hAnsi="仿宋_GB2312" w:eastAsia="仿宋_GB2312" w:cs="仿宋_GB2312"/>
          <w:b w:val="0"/>
          <w:bCs/>
          <w:sz w:val="32"/>
          <w:szCs w:val="32"/>
          <w:highlight w:val="none"/>
          <w:lang w:val="en-US" w:eastAsia="zh-CN"/>
        </w:rPr>
        <w:t>资金、文化科技基金、数字经济产业基金、投早投小投硬科技基金</w:t>
      </w:r>
      <w:r>
        <w:rPr>
          <w:rStyle w:val="21"/>
          <w:rFonts w:hint="eastAsia" w:ascii="仿宋_GB2312" w:hAnsi="仿宋_GB2312" w:eastAsia="仿宋_GB2312" w:cs="仿宋_GB2312"/>
          <w:b w:val="0"/>
          <w:bCs/>
          <w:sz w:val="32"/>
          <w:szCs w:val="32"/>
          <w:highlight w:val="none"/>
        </w:rPr>
        <w:t>作用，</w:t>
      </w:r>
      <w:r>
        <w:rPr>
          <w:rStyle w:val="21"/>
          <w:rFonts w:hint="eastAsia" w:ascii="仿宋_GB2312" w:hAnsi="仿宋_GB2312" w:eastAsia="仿宋_GB2312" w:cs="仿宋_GB2312"/>
          <w:b w:val="0"/>
          <w:bCs/>
          <w:color w:val="000000"/>
          <w:sz w:val="32"/>
          <w:szCs w:val="32"/>
          <w:highlight w:val="none"/>
        </w:rPr>
        <w:t>引导资本要素支持科幻产业创新发展</w:t>
      </w:r>
      <w:r>
        <w:rPr>
          <w:rStyle w:val="21"/>
          <w:rFonts w:hint="eastAsia" w:ascii="仿宋_GB2312" w:hAnsi="仿宋_GB2312" w:eastAsia="仿宋_GB2312" w:cs="仿宋_GB2312"/>
          <w:b w:val="0"/>
          <w:bCs/>
          <w:color w:val="000000"/>
          <w:sz w:val="32"/>
          <w:szCs w:val="32"/>
          <w:highlight w:val="none"/>
          <w:lang w:eastAsia="zh-CN"/>
        </w:rPr>
        <w:t>。</w:t>
      </w:r>
      <w:r>
        <w:rPr>
          <w:rStyle w:val="21"/>
          <w:rFonts w:hint="eastAsia" w:ascii="仿宋_GB2312" w:hAnsi="仿宋_GB2312" w:eastAsia="仿宋_GB2312" w:cs="仿宋_GB2312"/>
          <w:b w:val="0"/>
          <w:bCs/>
          <w:color w:val="000000"/>
          <w:sz w:val="32"/>
          <w:szCs w:val="32"/>
          <w:highlight w:val="none"/>
        </w:rPr>
        <w:t>对获得股权投资的科幻企业，给予一次性20万元资金支持。</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color w:val="000000"/>
          <w:sz w:val="32"/>
          <w:szCs w:val="32"/>
          <w:highlight w:val="none"/>
        </w:rPr>
      </w:pPr>
      <w:r>
        <w:rPr>
          <w:rStyle w:val="21"/>
          <w:rFonts w:hint="eastAsia" w:ascii="仿宋_GB2312" w:hAnsi="仿宋_GB2312" w:eastAsia="仿宋_GB2312" w:cs="仿宋_GB2312"/>
          <w:color w:val="000000"/>
          <w:sz w:val="32"/>
          <w:szCs w:val="32"/>
          <w:highlight w:val="none"/>
        </w:rPr>
        <w:t>第</w:t>
      </w:r>
      <w:r>
        <w:rPr>
          <w:rStyle w:val="21"/>
          <w:rFonts w:hint="eastAsia" w:ascii="仿宋_GB2312" w:hAnsi="仿宋_GB2312" w:eastAsia="仿宋_GB2312" w:cs="仿宋_GB2312"/>
          <w:color w:val="000000"/>
          <w:sz w:val="32"/>
          <w:szCs w:val="32"/>
          <w:highlight w:val="none"/>
          <w:lang w:val="en-US" w:eastAsia="zh-CN"/>
        </w:rPr>
        <w:t>十</w:t>
      </w:r>
      <w:r>
        <w:rPr>
          <w:rStyle w:val="21"/>
          <w:rFonts w:hint="eastAsia" w:ascii="仿宋_GB2312" w:hAnsi="仿宋_GB2312" w:eastAsia="仿宋_GB2312" w:cs="仿宋_GB2312"/>
          <w:color w:val="000000"/>
          <w:sz w:val="32"/>
          <w:szCs w:val="32"/>
          <w:highlight w:val="none"/>
        </w:rPr>
        <w:t xml:space="preserve">条 </w:t>
      </w:r>
      <w:r>
        <w:rPr>
          <w:rStyle w:val="21"/>
          <w:rFonts w:hint="eastAsia" w:ascii="仿宋_GB2312" w:hAnsi="仿宋_GB2312" w:eastAsia="仿宋_GB2312" w:cs="仿宋_GB2312"/>
          <w:color w:val="000000"/>
          <w:sz w:val="32"/>
          <w:szCs w:val="32"/>
          <w:highlight w:val="none"/>
          <w:lang w:val="en-US" w:eastAsia="zh-CN"/>
        </w:rPr>
        <w:t xml:space="preserve"> </w:t>
      </w:r>
      <w:r>
        <w:rPr>
          <w:rStyle w:val="21"/>
          <w:rFonts w:hint="eastAsia" w:ascii="仿宋_GB2312" w:hAnsi="仿宋_GB2312" w:eastAsia="仿宋_GB2312" w:cs="仿宋_GB2312"/>
          <w:color w:val="000000"/>
          <w:sz w:val="32"/>
          <w:szCs w:val="32"/>
          <w:highlight w:val="none"/>
        </w:rPr>
        <w:t>支持科幻产业相关人才和团队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rPr>
        <w:t>推荐知名科幻创意、高水平科幻技术创新人才和团队参与高层次人才认定，按相关人才政策予以支持。</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Style w:val="21"/>
          <w:rFonts w:hint="eastAsia" w:ascii="仿宋_GB2312" w:hAnsi="仿宋_GB2312" w:eastAsia="仿宋_GB2312" w:cs="仿宋_GB2312"/>
          <w:color w:val="000000"/>
          <w:sz w:val="32"/>
          <w:szCs w:val="32"/>
          <w:highlight w:val="none"/>
          <w:lang w:val="en-US" w:eastAsia="zh-CN"/>
        </w:rPr>
      </w:pPr>
      <w:r>
        <w:rPr>
          <w:rStyle w:val="21"/>
          <w:rFonts w:hint="eastAsia" w:ascii="仿宋_GB2312" w:hAnsi="仿宋_GB2312" w:eastAsia="仿宋_GB2312" w:cs="仿宋_GB2312"/>
          <w:color w:val="000000"/>
          <w:sz w:val="32"/>
          <w:szCs w:val="32"/>
          <w:highlight w:val="none"/>
        </w:rPr>
        <w:t>第</w:t>
      </w:r>
      <w:r>
        <w:rPr>
          <w:rStyle w:val="21"/>
          <w:rFonts w:hint="eastAsia" w:ascii="仿宋_GB2312" w:hAnsi="仿宋_GB2312" w:eastAsia="仿宋_GB2312" w:cs="仿宋_GB2312"/>
          <w:color w:val="000000"/>
          <w:sz w:val="32"/>
          <w:szCs w:val="32"/>
          <w:highlight w:val="none"/>
          <w:lang w:val="en-US" w:eastAsia="zh-CN"/>
        </w:rPr>
        <w:t>十一</w:t>
      </w:r>
      <w:r>
        <w:rPr>
          <w:rStyle w:val="21"/>
          <w:rFonts w:hint="eastAsia" w:ascii="仿宋_GB2312" w:hAnsi="仿宋_GB2312" w:eastAsia="仿宋_GB2312" w:cs="仿宋_GB2312"/>
          <w:color w:val="000000"/>
          <w:sz w:val="32"/>
          <w:szCs w:val="32"/>
          <w:highlight w:val="none"/>
        </w:rPr>
        <w:t xml:space="preserve">条 </w:t>
      </w:r>
      <w:r>
        <w:rPr>
          <w:rStyle w:val="21"/>
          <w:rFonts w:hint="eastAsia" w:ascii="仿宋_GB2312" w:hAnsi="仿宋_GB2312" w:eastAsia="仿宋_GB2312" w:cs="仿宋_GB2312"/>
          <w:color w:val="000000"/>
          <w:sz w:val="32"/>
          <w:szCs w:val="32"/>
          <w:highlight w:val="none"/>
          <w:lang w:val="en-US" w:eastAsia="zh-CN"/>
        </w:rPr>
        <w:t xml:space="preserve"> 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eastAsia="zh-CN"/>
        </w:rPr>
        <w:t>（一）</w:t>
      </w:r>
      <w:r>
        <w:rPr>
          <w:rStyle w:val="21"/>
          <w:rFonts w:hint="eastAsia" w:ascii="仿宋_GB2312" w:hAnsi="仿宋_GB2312" w:eastAsia="仿宋_GB2312" w:cs="仿宋_GB2312"/>
          <w:b w:val="0"/>
          <w:bCs/>
          <w:color w:val="000000"/>
          <w:sz w:val="32"/>
          <w:szCs w:val="32"/>
          <w:highlight w:val="none"/>
        </w:rPr>
        <w:t>本措施自公布之日30日后施行，有效期为三年，施行期间如遇国家或北京市相关政策调整，按照国家及北京市相关规定执行。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eastAsia="zh-CN"/>
        </w:rPr>
        <w:t>（二）</w:t>
      </w:r>
      <w:r>
        <w:rPr>
          <w:rStyle w:val="21"/>
          <w:rFonts w:hint="eastAsia" w:ascii="仿宋_GB2312" w:hAnsi="仿宋_GB2312" w:eastAsia="仿宋_GB2312" w:cs="仿宋_GB2312"/>
          <w:b w:val="0"/>
          <w:bCs/>
          <w:color w:val="000000"/>
          <w:sz w:val="32"/>
          <w:szCs w:val="32"/>
          <w:highlight w:val="none"/>
        </w:rPr>
        <w:t>享受本措施支持的申报单位，原则上不再同时享受本区其他同一类型的政策奖励。同一项目符合本办法多个条款规定的，按照“从优不重复”的原则予以支持。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eastAsia="zh-CN"/>
        </w:rPr>
        <w:t>（三）</w:t>
      </w:r>
      <w:r>
        <w:rPr>
          <w:rStyle w:val="21"/>
          <w:rFonts w:hint="eastAsia" w:ascii="仿宋_GB2312" w:hAnsi="仿宋_GB2312" w:eastAsia="仿宋_GB2312" w:cs="仿宋_GB2312"/>
          <w:b w:val="0"/>
          <w:bCs/>
          <w:color w:val="000000"/>
          <w:sz w:val="32"/>
          <w:szCs w:val="32"/>
          <w:highlight w:val="none"/>
        </w:rPr>
        <w:t>本措施中所称支持、补贴、奖励等资金支持，由石景山园管委会区科委发布申报通知，申报单位按照申报通知提交申报书及相关证明材料。石景山园管委会区科委组织专家评审后，按程序报审。获得支持的申报单位应接受区财政局、石景山园管委会区科委的监督检查，并接受审计部门的审计检查。如出现弄虚作假骗取资金支持的，应在石景山园管委会区科委要求的期限内原路径退回支持资金，且三年内不予受理申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eastAsia="zh-CN"/>
        </w:rPr>
        <w:t>（四）</w:t>
      </w:r>
      <w:r>
        <w:rPr>
          <w:rStyle w:val="21"/>
          <w:rFonts w:hint="eastAsia" w:ascii="仿宋_GB2312" w:hAnsi="仿宋_GB2312" w:eastAsia="仿宋_GB2312" w:cs="仿宋_GB2312"/>
          <w:b w:val="0"/>
          <w:bCs/>
          <w:color w:val="000000"/>
          <w:sz w:val="32"/>
          <w:szCs w:val="32"/>
          <w:highlight w:val="none"/>
        </w:rPr>
        <w:t>本措施由中关村科技园区石景山园管理委员会北京市石景山区科学技术委员会负责解释</w:t>
      </w:r>
      <w:r>
        <w:rPr>
          <w:rStyle w:val="21"/>
          <w:rFonts w:hint="eastAsia" w:ascii="仿宋_GB2312" w:hAnsi="仿宋_GB2312" w:eastAsia="仿宋_GB2312" w:cs="仿宋_GB2312"/>
          <w:b w:val="0"/>
          <w:bCs/>
          <w:color w:val="000000"/>
          <w:sz w:val="32"/>
          <w:szCs w:val="32"/>
          <w:highlight w:val="none"/>
          <w:lang w:eastAsia="zh-CN"/>
        </w:rPr>
        <w:t>和组织实施</w:t>
      </w:r>
      <w:r>
        <w:rPr>
          <w:rStyle w:val="21"/>
          <w:rFonts w:hint="eastAsia" w:ascii="仿宋_GB2312" w:hAnsi="仿宋_GB2312" w:eastAsia="仿宋_GB2312" w:cs="仿宋_GB2312"/>
          <w:b w:val="0"/>
          <w:bCs/>
          <w:color w:val="000000"/>
          <w:sz w:val="32"/>
          <w:szCs w:val="32"/>
          <w:highlight w:val="none"/>
        </w:rPr>
        <w:t>。</w:t>
      </w:r>
    </w:p>
    <w:p>
      <w:pPr>
        <w:rPr>
          <w:rFonts w:hint="eastAsia"/>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rPr>
          <w:rFonts w:hint="default"/>
          <w:b/>
          <w:bCs/>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B9858"/>
    <w:rsid w:val="0323488D"/>
    <w:rsid w:val="033B496A"/>
    <w:rsid w:val="08B82E34"/>
    <w:rsid w:val="19CB40AE"/>
    <w:rsid w:val="1EF71075"/>
    <w:rsid w:val="21C872EB"/>
    <w:rsid w:val="2447431D"/>
    <w:rsid w:val="25F73CC9"/>
    <w:rsid w:val="37571D9C"/>
    <w:rsid w:val="38BD0513"/>
    <w:rsid w:val="3F4759FD"/>
    <w:rsid w:val="3F714B47"/>
    <w:rsid w:val="4C315CB4"/>
    <w:rsid w:val="4C6836E0"/>
    <w:rsid w:val="54EF7CE5"/>
    <w:rsid w:val="57BFF81F"/>
    <w:rsid w:val="59357017"/>
    <w:rsid w:val="5C5A5AA0"/>
    <w:rsid w:val="5CFE5FDA"/>
    <w:rsid w:val="5FF785C0"/>
    <w:rsid w:val="5FFF6778"/>
    <w:rsid w:val="5FFF6BEA"/>
    <w:rsid w:val="603B40F7"/>
    <w:rsid w:val="63827D24"/>
    <w:rsid w:val="65B16369"/>
    <w:rsid w:val="662532CB"/>
    <w:rsid w:val="6850354E"/>
    <w:rsid w:val="70BB0398"/>
    <w:rsid w:val="72DE4391"/>
    <w:rsid w:val="735A14BD"/>
    <w:rsid w:val="75DA4EFD"/>
    <w:rsid w:val="7D1965C1"/>
    <w:rsid w:val="7E502A6F"/>
    <w:rsid w:val="7FFF266B"/>
    <w:rsid w:val="BDEFE45E"/>
    <w:rsid w:val="BEF7797F"/>
    <w:rsid w:val="BEFB9858"/>
    <w:rsid w:val="BF363154"/>
    <w:rsid w:val="BFCDFAA9"/>
    <w:rsid w:val="BFEA6E88"/>
    <w:rsid w:val="CDB11CD5"/>
    <w:rsid w:val="D1BF759F"/>
    <w:rsid w:val="DAAE6467"/>
    <w:rsid w:val="DEBFEB13"/>
    <w:rsid w:val="E8D7433C"/>
    <w:rsid w:val="EDBFFFA6"/>
    <w:rsid w:val="F39E98D7"/>
    <w:rsid w:val="F4FF3043"/>
    <w:rsid w:val="F5EEB236"/>
    <w:rsid w:val="F7FEF773"/>
    <w:rsid w:val="FBBF19A5"/>
    <w:rsid w:val="FBF3C322"/>
    <w:rsid w:val="FBFF4410"/>
    <w:rsid w:val="FDFE77D0"/>
    <w:rsid w:val="FDFEE340"/>
    <w:rsid w:val="FEFE6CC0"/>
    <w:rsid w:val="FF7FF6C1"/>
    <w:rsid w:val="FFF79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2"/>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ind w:left="200" w:hanging="200" w:hangingChars="200"/>
      <w:outlineLvl w:val="2"/>
    </w:pPr>
    <w:rPr>
      <w:rFonts w:ascii="Times New Roman" w:hAnsi="Times New Roman"/>
      <w:b/>
      <w:bCs/>
      <w:szCs w:val="32"/>
    </w:rPr>
  </w:style>
  <w:style w:type="paragraph" w:styleId="5">
    <w:name w:val="heading 4"/>
    <w:basedOn w:val="6"/>
    <w:next w:val="1"/>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paragraph" w:styleId="6">
    <w:name w:val="heading 5"/>
    <w:basedOn w:val="1"/>
    <w:next w:val="1"/>
    <w:qFormat/>
    <w:uiPriority w:val="0"/>
    <w:pPr>
      <w:ind w:left="1400" w:hanging="400"/>
      <w:outlineLvl w:val="4"/>
    </w:pPr>
    <w:rPr>
      <w:rFonts w:ascii="Calibri" w:hAnsi="Calibri" w:eastAsia="宋体"/>
      <w:szCs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黑体" w:eastAsia="黑体"/>
      <w:sz w:val="44"/>
    </w:rPr>
  </w:style>
  <w:style w:type="paragraph" w:styleId="7">
    <w:name w:val="annotation text"/>
    <w:basedOn w:val="1"/>
    <w:qFormat/>
    <w:uiPriority w:val="0"/>
    <w:pPr>
      <w:jc w:val="left"/>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spacing w:beforeLines="0" w:afterLines="0"/>
      <w:ind w:left="420"/>
    </w:pPr>
    <w:rPr>
      <w:rFonts w:hint="eastAsia" w:ascii="等线" w:hAnsi="等线" w:eastAsia="等线"/>
      <w:b/>
      <w:sz w:val="30"/>
    </w:rPr>
  </w:style>
  <w:style w:type="paragraph" w:styleId="11">
    <w:name w:val="Plain Text"/>
    <w:basedOn w:val="1"/>
    <w:next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footnote text"/>
    <w:basedOn w:val="1"/>
    <w:qFormat/>
    <w:uiPriority w:val="0"/>
    <w:pPr>
      <w:snapToGrid w:val="0"/>
      <w:jc w:val="left"/>
    </w:pPr>
    <w:rPr>
      <w:sz w:val="18"/>
    </w:rPr>
  </w:style>
  <w:style w:type="paragraph" w:styleId="15">
    <w:name w:val="index 1"/>
    <w:basedOn w:val="1"/>
    <w:next w:val="1"/>
    <w:qFormat/>
    <w:uiPriority w:val="0"/>
  </w:style>
  <w:style w:type="paragraph" w:styleId="16">
    <w:name w:val="Body Text First Indent"/>
    <w:basedOn w:val="2"/>
    <w:next w:val="1"/>
    <w:qFormat/>
    <w:uiPriority w:val="0"/>
    <w:pPr>
      <w:ind w:left="220" w:firstLine="420" w:firstLineChars="100"/>
    </w:pPr>
    <w:rPr>
      <w:rFonts w:ascii="Times New Roman" w:eastAsia="Times New Roman"/>
      <w:szCs w:val="28"/>
    </w:rPr>
  </w:style>
  <w:style w:type="paragraph" w:styleId="17">
    <w:name w:val="Body Text First Indent 2"/>
    <w:basedOn w:val="8"/>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otnote reference"/>
    <w:basedOn w:val="20"/>
    <w:qFormat/>
    <w:uiPriority w:val="0"/>
    <w:rPr>
      <w:vertAlign w:val="superscript"/>
    </w:rPr>
  </w:style>
  <w:style w:type="paragraph" w:customStyle="1" w:styleId="23">
    <w:name w:val="目录 11"/>
    <w:basedOn w:val="1"/>
    <w:next w:val="1"/>
    <w:qFormat/>
    <w:uiPriority w:val="0"/>
    <w:pPr>
      <w:widowControl/>
      <w:wordWrap w:val="0"/>
    </w:pPr>
    <w:rPr>
      <w:rFonts w:ascii="Calibri" w:hAnsi="Calibri" w:eastAsia="宋体" w:cs="Calibri"/>
      <w:kern w:val="0"/>
      <w:szCs w:val="21"/>
    </w:rPr>
  </w:style>
  <w:style w:type="paragraph" w:customStyle="1" w:styleId="2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
    <w:name w:val="PlainText"/>
    <w:basedOn w:val="1"/>
    <w:next w:val="1"/>
    <w:qFormat/>
    <w:uiPriority w:val="0"/>
    <w:pPr>
      <w:spacing w:line="240" w:lineRule="auto"/>
      <w:jc w:val="both"/>
    </w:pPr>
    <w:rPr>
      <w:rFonts w:ascii="宋体" w:hAnsi="宋体" w:eastAsia="宋体"/>
      <w:color w:val="000000"/>
      <w:kern w:val="2"/>
      <w:sz w:val="21"/>
      <w:szCs w:val="21"/>
      <w:lang w:val="en-US" w:eastAsia="zh-CN" w:bidi="ar-SA"/>
    </w:rPr>
  </w:style>
  <w:style w:type="paragraph" w:customStyle="1" w:styleId="26">
    <w:name w:val="列表段落1"/>
    <w:basedOn w:val="1"/>
    <w:qFormat/>
    <w:uiPriority w:val="34"/>
    <w:pPr>
      <w:ind w:firstLine="420" w:firstLineChars="200"/>
    </w:pPr>
  </w:style>
  <w:style w:type="paragraph" w:customStyle="1" w:styleId="27">
    <w:name w:val="Body text|1"/>
    <w:basedOn w:val="1"/>
    <w:qFormat/>
    <w:uiPriority w:val="0"/>
    <w:pPr>
      <w:spacing w:line="437" w:lineRule="auto"/>
      <w:ind w:firstLine="400"/>
    </w:pPr>
    <w:rPr>
      <w:rFonts w:ascii="宋体" w:hAnsi="宋体" w:eastAsia="宋体" w:cs="宋体"/>
      <w:color w:val="auto"/>
      <w:kern w:val="2"/>
      <w:sz w:val="26"/>
      <w:szCs w:val="26"/>
      <w:lang w:val="zh-TW" w:eastAsia="zh-TW" w:bidi="zh-TW"/>
    </w:rPr>
  </w:style>
  <w:style w:type="paragraph" w:customStyle="1" w:styleId="28">
    <w:name w:val="Default"/>
    <w:qFormat/>
    <w:uiPriority w:val="0"/>
    <w:pPr>
      <w:widowControl w:val="0"/>
      <w:autoSpaceDE w:val="0"/>
      <w:autoSpaceDN w:val="0"/>
      <w:spacing w:after="160" w:line="259" w:lineRule="auto"/>
    </w:pPr>
    <w:rPr>
      <w:rFonts w:ascii="宋体" w:hAnsi="Calibri" w:eastAsia="宋体" w:cs="宋体"/>
      <w:color w:val="000000"/>
      <w:sz w:val="24"/>
      <w:szCs w:val="24"/>
      <w:lang w:val="en-US" w:eastAsia="zh-CN" w:bidi="ar-SA"/>
    </w:rPr>
  </w:style>
  <w:style w:type="paragraph" w:customStyle="1" w:styleId="29">
    <w:name w:val="题注1"/>
    <w:basedOn w:val="1"/>
    <w:qFormat/>
    <w:uiPriority w:val="0"/>
    <w:pPr>
      <w:spacing w:before="156" w:beforeLines="50" w:after="156" w:afterLines="50" w:line="240" w:lineRule="auto"/>
      <w:ind w:firstLine="0" w:firstLineChars="0"/>
      <w:jc w:val="center"/>
    </w:pPr>
    <w:rPr>
      <w:rFonts w:ascii="黑体" w:hAnsi="黑体" w:eastAsia="黑体"/>
      <w:sz w:val="28"/>
      <w:szCs w:val="28"/>
    </w:rPr>
  </w:style>
  <w:style w:type="paragraph" w:customStyle="1" w:styleId="30">
    <w:name w:val="picture"/>
    <w:basedOn w:val="1"/>
    <w:qFormat/>
    <w:uiPriority w:val="0"/>
    <w:pPr>
      <w:spacing w:before="156" w:beforeLines="50" w:after="156" w:afterLines="50" w:line="240" w:lineRule="auto"/>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4856</Words>
  <Characters>4916</Characters>
  <Lines>0</Lines>
  <Paragraphs>0</Paragraphs>
  <TotalTime>21</TotalTime>
  <ScaleCrop>false</ScaleCrop>
  <LinksUpToDate>false</LinksUpToDate>
  <CharactersWithSpaces>5111</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2024-11-06T20:51:00Z</dcterms:created>
  <dc:creator>楚然</dc:creator>
  <cp:lastModifiedBy>Jing</cp:lastModifiedBy>
  <cp:lastPrinted>2026-03-11T13:45:00Z</cp:lastPrinted>
  <dcterms:modified xsi:type="dcterms:W3CDTF">2026-04-09T14:56:47Z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KSOTemplateDocerSaveRecord">
    <vt:lpwstr>eyJoZGlkIjoiNTg4Njg4ODViZGI1MTdmNjZhNWRjYzMzYWE5MTA1YzAifQ==</vt:lpwstr>
  </property>
  <property fmtid="{D5CDD505-2E9C-101B-9397-08002B2CF9AE}" pid="4" name="ICV">
    <vt:lpwstr>3B46E8D195ADCE12AF4DD7695DC10C76_43</vt:lpwstr>
  </property>
</Properties>
</file>