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5EE86">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楷体_GB2312" w:hAnsi="楷体_GB2312" w:eastAsia="楷体_GB2312" w:cs="楷体_GB2312"/>
        </w:rPr>
      </w:pPr>
      <w:r>
        <w:rPr>
          <w:rFonts w:hint="eastAsia" w:ascii="方正小标宋简体" w:hAnsi="方正小标宋简体" w:eastAsia="方正小标宋简体" w:cs="方正小标宋简体"/>
          <w:color w:val="auto"/>
          <w:sz w:val="44"/>
          <w:szCs w:val="44"/>
          <w:highlight w:val="none"/>
          <w:u w:val="none"/>
          <w:lang w:val="en-US" w:eastAsia="zh-CN"/>
        </w:rPr>
        <w:t>平谷区</w:t>
      </w:r>
      <w:r>
        <w:rPr>
          <w:rFonts w:hint="eastAsia" w:ascii="方正小标宋简体" w:hAnsi="方正小标宋简体" w:eastAsia="方正小标宋简体" w:cs="方正小标宋简体"/>
          <w:color w:val="auto"/>
          <w:sz w:val="44"/>
          <w:szCs w:val="44"/>
          <w:highlight w:val="none"/>
          <w:u w:val="none"/>
          <w:lang w:val="en"/>
        </w:rPr>
        <w:t>促进现代物流产业</w:t>
      </w:r>
      <w:r>
        <w:rPr>
          <w:rFonts w:hint="eastAsia" w:ascii="方正小标宋简体" w:hAnsi="方正小标宋简体" w:eastAsia="方正小标宋简体" w:cs="方正小标宋简体"/>
          <w:color w:val="auto"/>
          <w:sz w:val="44"/>
          <w:szCs w:val="44"/>
          <w:highlight w:val="none"/>
          <w:u w:val="none"/>
          <w:lang w:val="en-US" w:eastAsia="zh-CN"/>
        </w:rPr>
        <w:t>高质量</w:t>
      </w:r>
      <w:r>
        <w:rPr>
          <w:rFonts w:hint="eastAsia" w:ascii="方正小标宋简体" w:hAnsi="方正小标宋简体" w:eastAsia="方正小标宋简体" w:cs="方正小标宋简体"/>
          <w:color w:val="auto"/>
          <w:sz w:val="44"/>
          <w:szCs w:val="44"/>
          <w:highlight w:val="none"/>
          <w:u w:val="none"/>
          <w:lang w:val="en"/>
        </w:rPr>
        <w:t>发展若干措施</w:t>
      </w:r>
    </w:p>
    <w:p w14:paraId="378D14A8">
      <w:pPr>
        <w:keepNext/>
        <w:keepLines/>
        <w:pageBreakBefore w:val="0"/>
        <w:widowControl/>
        <w:kinsoku w:val="0"/>
        <w:wordWrap/>
        <w:overflowPunct/>
        <w:topLinePunct w:val="0"/>
        <w:autoSpaceDE w:val="0"/>
        <w:autoSpaceDN w:val="0"/>
        <w:bidi w:val="0"/>
        <w:adjustRightInd w:val="0"/>
        <w:snapToGrid w:val="0"/>
        <w:spacing w:beforeAutospacing="0" w:afterAutospacing="0" w:line="560" w:lineRule="exact"/>
        <w:ind w:firstLine="0" w:firstLineChars="0"/>
        <w:jc w:val="center"/>
        <w:textAlignment w:val="baseline"/>
        <w:outlineLvl w:val="0"/>
        <w:rPr>
          <w:rFonts w:hint="eastAsia" w:ascii="楷体_GB2312" w:hAnsi="楷体_GB2312" w:eastAsia="楷体_GB2312" w:cs="楷体_GB2312"/>
          <w:snapToGrid w:val="0"/>
          <w:color w:val="000000"/>
          <w:kern w:val="0"/>
          <w:sz w:val="32"/>
          <w:szCs w:val="21"/>
          <w:highlight w:val="none"/>
          <w:lang w:val="en-US" w:eastAsia="zh-CN"/>
        </w:rPr>
      </w:pPr>
      <w:r>
        <w:rPr>
          <w:rFonts w:hint="eastAsia" w:ascii="楷体_GB2312" w:hAnsi="楷体_GB2312" w:eastAsia="楷体_GB2312" w:cs="楷体_GB2312"/>
          <w:snapToGrid w:val="0"/>
          <w:color w:val="000000"/>
          <w:kern w:val="0"/>
          <w:sz w:val="32"/>
          <w:szCs w:val="21"/>
          <w:highlight w:val="none"/>
          <w:lang w:val="en-US" w:eastAsia="zh-CN"/>
        </w:rPr>
        <w:t>（征求意见</w:t>
      </w:r>
      <w:bookmarkStart w:id="0" w:name="_GoBack"/>
      <w:bookmarkEnd w:id="0"/>
      <w:r>
        <w:rPr>
          <w:rFonts w:hint="eastAsia" w:ascii="楷体_GB2312" w:hAnsi="楷体_GB2312" w:eastAsia="楷体_GB2312" w:cs="楷体_GB2312"/>
          <w:snapToGrid w:val="0"/>
          <w:color w:val="000000"/>
          <w:kern w:val="0"/>
          <w:sz w:val="32"/>
          <w:szCs w:val="21"/>
          <w:highlight w:val="none"/>
          <w:lang w:val="en-US" w:eastAsia="zh-CN"/>
        </w:rPr>
        <w:t>稿）</w:t>
      </w:r>
    </w:p>
    <w:p w14:paraId="6BADCA69">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第一章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总</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则</w:t>
      </w:r>
    </w:p>
    <w:p w14:paraId="16E238F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_GB2312" w:hAnsi="黑体" w:eastAsia="楷体_GB2312" w:cs="仿宋_GB2312"/>
          <w:b/>
          <w:color w:val="auto"/>
          <w:kern w:val="2"/>
          <w:sz w:val="32"/>
          <w:szCs w:val="32"/>
          <w:lang w:val="en-US" w:eastAsia="zh-CN" w:bidi="zh-CN"/>
        </w:rPr>
      </w:pPr>
      <w:r>
        <w:rPr>
          <w:rFonts w:hint="eastAsia" w:ascii="黑体" w:hAnsi="黑体" w:eastAsia="黑体" w:cs="黑体"/>
          <w:b w:val="0"/>
          <w:bCs/>
          <w:color w:val="auto"/>
          <w:kern w:val="2"/>
          <w:sz w:val="32"/>
          <w:szCs w:val="32"/>
          <w:lang w:val="en-US" w:eastAsia="zh-CN" w:bidi="zh-CN"/>
        </w:rPr>
        <w:t>第一条</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加快推动</w:t>
      </w:r>
      <w:r>
        <w:rPr>
          <w:rFonts w:hint="eastAsia" w:ascii="仿宋_GB2312" w:hAnsi="仿宋_GB2312" w:cs="仿宋_GB2312"/>
          <w:color w:val="auto"/>
          <w:sz w:val="32"/>
          <w:szCs w:val="32"/>
          <w:lang w:val="en-US" w:eastAsia="zh-CN"/>
        </w:rPr>
        <w:t>现代物流产业</w:t>
      </w:r>
      <w:r>
        <w:rPr>
          <w:rFonts w:hint="eastAsia" w:ascii="仿宋_GB2312" w:hAnsi="仿宋_GB2312" w:eastAsia="仿宋_GB2312" w:cs="仿宋_GB2312"/>
          <w:color w:val="auto"/>
          <w:sz w:val="32"/>
          <w:szCs w:val="32"/>
          <w:lang w:val="en-US" w:eastAsia="zh-CN"/>
        </w:rPr>
        <w:t>高质量发展，是</w:t>
      </w:r>
      <w:r>
        <w:rPr>
          <w:rFonts w:hint="eastAsia" w:ascii="仿宋_GB2312" w:hAnsi="仿宋_GB2312" w:cs="仿宋_GB2312"/>
          <w:color w:val="auto"/>
          <w:sz w:val="32"/>
          <w:szCs w:val="32"/>
          <w:lang w:val="en-US" w:eastAsia="zh-CN"/>
        </w:rPr>
        <w:t>平谷区落实国家发展战略、强化服务首都功能的重要支撑</w:t>
      </w:r>
      <w:r>
        <w:rPr>
          <w:rFonts w:hint="eastAsia" w:ascii="仿宋_GB2312" w:hAnsi="仿宋_GB2312" w:eastAsia="仿宋_GB2312" w:cs="仿宋_GB2312"/>
          <w:color w:val="auto"/>
          <w:sz w:val="32"/>
          <w:szCs w:val="32"/>
          <w:lang w:val="en-US" w:eastAsia="zh-CN"/>
        </w:rPr>
        <w:t>。为进一步推动首都物流高地</w:t>
      </w:r>
      <w:r>
        <w:rPr>
          <w:rFonts w:hint="eastAsia" w:ascii="仿宋_GB2312" w:hAnsi="仿宋_GB2312" w:cs="仿宋_GB2312"/>
          <w:color w:val="auto"/>
          <w:sz w:val="32"/>
          <w:szCs w:val="32"/>
          <w:lang w:val="en-US" w:eastAsia="zh-CN"/>
        </w:rPr>
        <w:t>质效提升、</w:t>
      </w:r>
      <w:r>
        <w:rPr>
          <w:rFonts w:hint="eastAsia" w:ascii="仿宋_GB2312" w:hAnsi="仿宋_GB2312" w:eastAsia="仿宋_GB2312" w:cs="仿宋_GB2312"/>
          <w:color w:val="auto"/>
          <w:sz w:val="32"/>
          <w:szCs w:val="32"/>
          <w:lang w:val="en-US" w:eastAsia="zh-CN"/>
        </w:rPr>
        <w:t>能级跃升</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建成高质量发展、高效率运行、</w:t>
      </w:r>
      <w:r>
        <w:rPr>
          <w:rFonts w:hint="eastAsia" w:ascii="仿宋_GB2312" w:hAnsi="仿宋_GB2312" w:cs="仿宋_GB2312"/>
          <w:color w:val="auto"/>
          <w:sz w:val="32"/>
          <w:szCs w:val="32"/>
          <w:lang w:val="en-US" w:eastAsia="zh-CN"/>
        </w:rPr>
        <w:t>高水平安全</w:t>
      </w:r>
      <w:r>
        <w:rPr>
          <w:rFonts w:hint="eastAsia" w:ascii="仿宋_GB2312" w:hAnsi="仿宋_GB2312" w:eastAsia="仿宋_GB2312" w:cs="仿宋_GB2312"/>
          <w:color w:val="auto"/>
          <w:sz w:val="32"/>
          <w:szCs w:val="32"/>
          <w:lang w:val="en-US" w:eastAsia="zh-CN"/>
        </w:rPr>
        <w:t>的陆港型国家物流枢纽，特制定本措施。</w:t>
      </w:r>
    </w:p>
    <w:p w14:paraId="6ED371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color w:val="auto"/>
          <w:kern w:val="2"/>
          <w:sz w:val="32"/>
          <w:szCs w:val="32"/>
          <w:lang w:val="en-US" w:eastAsia="zh-CN" w:bidi="zh-CN"/>
        </w:rPr>
        <w:t>第二条</w:t>
      </w:r>
      <w:r>
        <w:rPr>
          <w:rFonts w:hint="eastAsia" w:ascii="仿宋_GB2312" w:hAnsi="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highlight w:val="none"/>
        </w:rPr>
        <w:t>本措施适用于依法在</w:t>
      </w:r>
      <w:r>
        <w:rPr>
          <w:rFonts w:hint="eastAsia" w:ascii="仿宋_GB2312" w:hAnsi="仿宋_GB2312" w:cs="仿宋_GB2312"/>
          <w:color w:val="auto"/>
          <w:sz w:val="32"/>
          <w:szCs w:val="32"/>
          <w:highlight w:val="none"/>
          <w:lang w:val="en-US" w:eastAsia="zh-CN"/>
        </w:rPr>
        <w:t>京平综合物流枢纽范围内</w:t>
      </w:r>
      <w:r>
        <w:rPr>
          <w:rFonts w:hint="eastAsia" w:eastAsia="仿宋_GB2312" w:cs="宋体"/>
          <w:color w:val="auto"/>
          <w:kern w:val="0"/>
          <w:sz w:val="32"/>
          <w:szCs w:val="32"/>
          <w:highlight w:val="none"/>
        </w:rPr>
        <w:t>进行工商注册、完成统计登记，</w:t>
      </w:r>
      <w:r>
        <w:rPr>
          <w:rFonts w:hint="eastAsia" w:ascii="仿宋_GB2312" w:hAnsi="仿宋_GB2312" w:cs="仿宋_GB2312"/>
          <w:color w:val="auto"/>
          <w:sz w:val="32"/>
          <w:szCs w:val="32"/>
          <w:highlight w:val="none"/>
          <w:lang w:val="en-US" w:eastAsia="zh-CN"/>
        </w:rPr>
        <w:t>从事现代物流相关领域经营、服务、管理的独立核算企业</w:t>
      </w:r>
      <w:r>
        <w:rPr>
          <w:rFonts w:hint="eastAsia" w:ascii="仿宋_GB2312" w:hAnsi="仿宋_GB2312" w:eastAsia="仿宋_GB2312" w:cs="仿宋_GB2312"/>
          <w:color w:val="auto"/>
          <w:sz w:val="32"/>
          <w:szCs w:val="32"/>
          <w:highlight w:val="none"/>
        </w:rPr>
        <w:t>（包括仓储、交通运输、信息服务、冷链物流、流通加工</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供应链物流</w:t>
      </w:r>
      <w:r>
        <w:rPr>
          <w:rFonts w:hint="eastAsia" w:ascii="仿宋_GB2312" w:hAnsi="仿宋_GB2312" w:eastAsia="仿宋_GB2312" w:cs="仿宋_GB2312"/>
          <w:color w:val="auto"/>
          <w:sz w:val="32"/>
          <w:szCs w:val="32"/>
          <w:highlight w:val="none"/>
        </w:rPr>
        <w:t>等）</w:t>
      </w:r>
      <w:r>
        <w:rPr>
          <w:rFonts w:hint="eastAsia" w:ascii="仿宋_GB2312" w:hAnsi="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其他市场主体。</w:t>
      </w:r>
    </w:p>
    <w:p w14:paraId="41EB7C55">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outlineLvl w:val="9"/>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第二章</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支持方向与内容</w:t>
      </w:r>
    </w:p>
    <w:p w14:paraId="6163D79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Calibri" w:hAnsi="Calibri" w:eastAsia="仿宋_GB2312" w:cs="宋体"/>
          <w:color w:val="auto"/>
          <w:kern w:val="0"/>
          <w:sz w:val="32"/>
          <w:szCs w:val="32"/>
          <w:highlight w:val="none"/>
          <w:lang w:val="en-US" w:eastAsia="zh-CN" w:bidi="ar-SA"/>
        </w:rPr>
      </w:pPr>
      <w:r>
        <w:rPr>
          <w:rFonts w:hint="eastAsia" w:ascii="黑体" w:hAnsi="黑体" w:eastAsia="黑体" w:cs="黑体"/>
          <w:b w:val="0"/>
          <w:bCs/>
          <w:color w:val="auto"/>
          <w:kern w:val="2"/>
          <w:sz w:val="32"/>
          <w:szCs w:val="32"/>
          <w:lang w:val="en-US" w:eastAsia="zh-CN" w:bidi="zh-CN"/>
        </w:rPr>
        <w:t>第三条</w:t>
      </w:r>
      <w:r>
        <w:rPr>
          <w:rFonts w:hint="eastAsia" w:ascii="楷体_GB2312" w:hAnsi="黑体" w:eastAsia="楷体_GB2312" w:cs="仿宋_GB2312"/>
          <w:b/>
          <w:color w:val="auto"/>
          <w:kern w:val="2"/>
          <w:sz w:val="32"/>
          <w:szCs w:val="32"/>
          <w:highlight w:val="none"/>
          <w:lang w:val="en-US" w:eastAsia="zh-CN" w:bidi="zh-CN"/>
        </w:rPr>
        <w:t xml:space="preserve"> </w:t>
      </w:r>
      <w:r>
        <w:rPr>
          <w:rFonts w:hint="eastAsia" w:ascii="Calibri" w:hAnsi="Calibri" w:eastAsia="仿宋_GB2312" w:cs="宋体"/>
          <w:b/>
          <w:bCs/>
          <w:color w:val="auto"/>
          <w:kern w:val="0"/>
          <w:sz w:val="32"/>
          <w:szCs w:val="32"/>
          <w:highlight w:val="none"/>
          <w:lang w:val="en-US" w:eastAsia="zh-CN" w:bidi="ar-SA"/>
        </w:rPr>
        <w:t>做大物流特色产业集群</w:t>
      </w:r>
    </w:p>
    <w:p w14:paraId="7FEAA5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en-US" w:eastAsia="zh-CN" w:bidi="ar"/>
        </w:rPr>
        <w:t>（一）扶持企业落地。</w:t>
      </w:r>
      <w:r>
        <w:rPr>
          <w:rFonts w:hint="eastAsia" w:ascii="仿宋_GB2312" w:hAnsi="仿宋_GB2312" w:cs="仿宋_GB2312"/>
          <w:b w:val="0"/>
          <w:bCs w:val="0"/>
          <w:color w:val="auto"/>
          <w:sz w:val="32"/>
          <w:szCs w:val="32"/>
          <w:highlight w:val="none"/>
          <w:lang w:val="en-US" w:eastAsia="zh-CN"/>
        </w:rPr>
        <w:t>鼓励物流供应链企业入驻，租赁高标仓面积达3000平方米及以上用于实际经营的，按其搬仓实际发生的搬运装卸、货架购置、还原修复等费用的30%给予一次性扶持。租赁面积3000平方米以上6000平方米以下的，扶持上限15万元；租赁面积6000平方米以上10000平方米以下的，扶持上限30万元；租赁面积10000平方米以上的，扶持上限50万元。</w:t>
      </w:r>
    </w:p>
    <w:p w14:paraId="5F79B1B4">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b w:val="0"/>
          <w:bCs w:val="0"/>
          <w:color w:val="auto"/>
          <w:sz w:val="32"/>
          <w:szCs w:val="32"/>
          <w:highlight w:val="none"/>
          <w:lang w:val="en-US"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en-US" w:eastAsia="zh-CN" w:bidi="ar"/>
        </w:rPr>
        <w:t>（二）扶持企业壮大。</w:t>
      </w:r>
      <w:r>
        <w:rPr>
          <w:rFonts w:hint="eastAsia" w:ascii="仿宋_GB2312" w:hAnsi="仿宋_GB2312" w:cs="仿宋_GB2312"/>
          <w:b w:val="0"/>
          <w:bCs w:val="0"/>
          <w:color w:val="auto"/>
          <w:sz w:val="32"/>
          <w:szCs w:val="32"/>
          <w:highlight w:val="none"/>
          <w:lang w:val="en-US" w:eastAsia="zh-CN"/>
        </w:rPr>
        <w:t>鼓励已入驻经营的物流供应链企业规模跃升，针对</w:t>
      </w:r>
      <w:r>
        <w:rPr>
          <w:rFonts w:hint="eastAsia" w:ascii="仿宋_GB2312" w:hAnsi="仿宋_GB2312" w:eastAsia="仿宋_GB2312" w:cs="Times New Roman"/>
          <w:color w:val="auto"/>
          <w:sz w:val="32"/>
          <w:szCs w:val="32"/>
          <w:lang w:val="en-US" w:eastAsia="zh-CN"/>
        </w:rPr>
        <w:t>营业收入首次达到规模以上标准</w:t>
      </w:r>
      <w:r>
        <w:rPr>
          <w:rFonts w:hint="eastAsia" w:ascii="仿宋_GB2312" w:hAnsi="仿宋_GB2312" w:cs="Times New Roman"/>
          <w:color w:val="auto"/>
          <w:sz w:val="32"/>
          <w:szCs w:val="32"/>
          <w:lang w:val="en-US" w:eastAsia="zh-CN"/>
        </w:rPr>
        <w:t>升规入库的</w:t>
      </w:r>
      <w:r>
        <w:rPr>
          <w:rFonts w:hint="eastAsia" w:ascii="仿宋_GB2312" w:hAnsi="仿宋_GB2312" w:eastAsia="仿宋_GB2312" w:cs="Times New Roman"/>
          <w:color w:val="auto"/>
          <w:sz w:val="32"/>
          <w:szCs w:val="32"/>
          <w:lang w:val="en-US" w:eastAsia="zh-CN"/>
        </w:rPr>
        <w:t>，给予10万元一次性奖励。</w:t>
      </w:r>
      <w:r>
        <w:rPr>
          <w:rFonts w:hint="eastAsia" w:ascii="仿宋_GB2312" w:hAnsi="仿宋_GB2312" w:cs="Times New Roman"/>
          <w:color w:val="auto"/>
          <w:sz w:val="32"/>
          <w:szCs w:val="32"/>
          <w:lang w:val="en-US" w:eastAsia="zh-CN"/>
        </w:rPr>
        <w:t>对于已入库规模以上企业，针</w:t>
      </w:r>
      <w:r>
        <w:rPr>
          <w:rFonts w:hint="eastAsia" w:ascii="仿宋_GB2312" w:hAnsi="仿宋_GB2312" w:cs="仿宋_GB2312"/>
          <w:b w:val="0"/>
          <w:bCs w:val="0"/>
          <w:color w:val="auto"/>
          <w:sz w:val="32"/>
          <w:szCs w:val="32"/>
          <w:highlight w:val="none"/>
          <w:lang w:val="en-US" w:eastAsia="zh-CN"/>
        </w:rPr>
        <w:t>对主营业务收入年度增长值达到2000万的，给予不超过10万元年度资金扶持；针对主营业务收入年度增长值1亿以上的，给予不超过50万年度资金扶持；针对主营业务收入年度增长值5亿以上的，采取“一事一议”方式予以扶持。</w:t>
      </w:r>
    </w:p>
    <w:p w14:paraId="3DC0B62D">
      <w:pPr>
        <w:pStyle w:val="5"/>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en-US" w:eastAsia="zh-CN" w:bidi="ar"/>
        </w:rPr>
        <w:t>（三）扶持企业创新。</w:t>
      </w:r>
      <w:r>
        <w:rPr>
          <w:rFonts w:hint="eastAsia" w:ascii="仿宋_GB2312" w:hAnsi="仿宋_GB2312" w:eastAsia="仿宋_GB2312" w:cs="仿宋_GB2312"/>
          <w:color w:val="auto"/>
          <w:kern w:val="0"/>
          <w:sz w:val="32"/>
          <w:szCs w:val="32"/>
          <w:highlight w:val="none"/>
          <w:shd w:val="clear" w:color="auto" w:fill="auto"/>
          <w:lang w:val="en-US" w:eastAsia="zh-CN" w:bidi="ar-SA"/>
        </w:rPr>
        <w:t>对成功创建物流领域全国重点实验室、北京市重点实验室的企业，分别给予20万元、10万元一次性资金奖励。</w:t>
      </w:r>
      <w:r>
        <w:rPr>
          <w:rFonts w:hint="eastAsia" w:ascii="仿宋_GB2312" w:hAnsi="仿宋_GB2312" w:eastAsia="仿宋_GB2312" w:cs="Times New Roman"/>
          <w:color w:val="auto"/>
          <w:sz w:val="32"/>
          <w:szCs w:val="32"/>
          <w:lang w:val="en-US" w:eastAsia="zh-CN"/>
        </w:rPr>
        <w:t>鼓励企业提档升级，对新评定为全国5A、4A、3A级物流企业、供应链管理服务企业以及5星、4星、3星的冷链物流企业（以中国物流与采购联合会公布名单为准），分别给予10万元、5万元、3万元一次性奖励，等级提升企业给予补差奖励。鼓励企业创新发展，支持物流企业申报高新技术企业，首次认定的给予2万元一次性奖励。</w:t>
      </w:r>
    </w:p>
    <w:p w14:paraId="04E29562">
      <w:pPr>
        <w:keepNext w:val="0"/>
        <w:keepLines w:val="0"/>
        <w:pageBreakBefore w:val="0"/>
        <w:widowControl w:val="0"/>
        <w:shd w:val="clear" w:color="auto" w:fill="FFFFFF"/>
        <w:suppressAutoHyphens/>
        <w:kinsoku/>
        <w:wordWrap/>
        <w:overflowPunct/>
        <w:topLinePunct w:val="0"/>
        <w:autoSpaceDE/>
        <w:autoSpaceDN/>
        <w:bidi w:val="0"/>
        <w:adjustRightInd w:val="0"/>
        <w:snapToGrid w:val="0"/>
        <w:spacing w:beforeAutospacing="0" w:afterAutospacing="0" w:line="560" w:lineRule="exact"/>
        <w:ind w:left="0" w:right="0" w:firstLine="640" w:firstLineChars="200"/>
        <w:jc w:val="both"/>
        <w:textAlignment w:val="baseline"/>
        <w:outlineLvl w:val="9"/>
        <w:rPr>
          <w:rFonts w:hint="eastAsia" w:ascii="Calibri" w:hAnsi="Calibri" w:cs="宋体"/>
          <w:color w:val="auto"/>
          <w:kern w:val="0"/>
          <w:sz w:val="32"/>
          <w:szCs w:val="32"/>
          <w:highlight w:val="none"/>
          <w:lang w:val="en-US" w:eastAsia="zh-CN" w:bidi="ar-SA"/>
        </w:rPr>
      </w:pPr>
      <w:r>
        <w:rPr>
          <w:rFonts w:hint="eastAsia" w:ascii="黑体" w:hAnsi="黑体" w:eastAsia="黑体" w:cs="黑体"/>
          <w:b w:val="0"/>
          <w:bCs/>
          <w:color w:val="auto"/>
          <w:kern w:val="2"/>
          <w:sz w:val="32"/>
          <w:szCs w:val="32"/>
          <w:highlight w:val="none"/>
          <w:lang w:val="en-US" w:eastAsia="zh-CN" w:bidi="zh-CN"/>
        </w:rPr>
        <w:t>第四条</w:t>
      </w:r>
      <w:r>
        <w:rPr>
          <w:rFonts w:hint="eastAsia" w:ascii="Calibri" w:hAnsi="Calibri" w:eastAsia="仿宋_GB2312" w:cs="宋体"/>
          <w:color w:val="auto"/>
          <w:kern w:val="0"/>
          <w:sz w:val="32"/>
          <w:szCs w:val="32"/>
          <w:highlight w:val="none"/>
          <w:lang w:val="en-US" w:eastAsia="zh-CN" w:bidi="ar-SA"/>
        </w:rPr>
        <w:t xml:space="preserve"> </w:t>
      </w:r>
      <w:r>
        <w:rPr>
          <w:rFonts w:hint="eastAsia" w:ascii="Calibri" w:hAnsi="Calibri" w:eastAsia="仿宋_GB2312" w:cs="宋体"/>
          <w:b/>
          <w:bCs/>
          <w:color w:val="auto"/>
          <w:kern w:val="0"/>
          <w:sz w:val="32"/>
          <w:szCs w:val="32"/>
          <w:highlight w:val="none"/>
          <w:lang w:val="en-US" w:eastAsia="zh-CN" w:bidi="ar-SA"/>
        </w:rPr>
        <w:t>培育物流产业发展动能</w:t>
      </w:r>
    </w:p>
    <w:p w14:paraId="205806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lang w:val="en-US"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en-US" w:eastAsia="zh-CN" w:bidi="ar"/>
        </w:rPr>
        <w:t>（一）补贴智慧物流。</w:t>
      </w:r>
      <w:r>
        <w:rPr>
          <w:rFonts w:hint="eastAsia" w:ascii="仿宋_GB2312" w:hAnsi="仿宋_GB2312" w:eastAsia="仿宋_GB2312" w:cs="仿宋_GB2312"/>
          <w:color w:val="auto"/>
          <w:sz w:val="32"/>
          <w:szCs w:val="32"/>
          <w:lang w:val="en-US" w:eastAsia="zh-CN"/>
        </w:rPr>
        <w:t>鼓励企业</w:t>
      </w:r>
      <w:r>
        <w:rPr>
          <w:rFonts w:hint="eastAsia" w:ascii="仿宋_GB2312" w:hAnsi="仿宋_GB2312" w:eastAsia="仿宋_GB2312" w:cs="仿宋_GB2312"/>
          <w:color w:val="auto"/>
          <w:sz w:val="32"/>
          <w:szCs w:val="32"/>
        </w:rPr>
        <w:t>广泛应用新技术</w:t>
      </w:r>
      <w:r>
        <w:rPr>
          <w:rFonts w:hint="eastAsia" w:ascii="仿宋_GB2312" w:hAnsi="仿宋_GB2312" w:eastAsia="仿宋_GB2312" w:cs="仿宋_GB2312"/>
          <w:color w:val="auto"/>
          <w:sz w:val="32"/>
          <w:szCs w:val="32"/>
          <w:lang w:val="en-US" w:eastAsia="zh-CN"/>
        </w:rPr>
        <w:t>，支持新建或提升改造物流数字化项目，</w:t>
      </w:r>
      <w:r>
        <w:rPr>
          <w:rFonts w:hint="eastAsia" w:ascii="仿宋_GB2312" w:hAnsi="仿宋_GB2312" w:eastAsia="仿宋_GB2312" w:cs="仿宋"/>
          <w:kern w:val="2"/>
          <w:sz w:val="32"/>
          <w:szCs w:val="32"/>
          <w:lang w:val="en-US" w:eastAsia="zh-CN" w:bidi="ar-SA"/>
        </w:rPr>
        <w:t>对购置并应用自动化分拣系统、智能仓储设备、无人驾驶车辆等先进物流技术装备</w:t>
      </w:r>
      <w:r>
        <w:rPr>
          <w:rFonts w:hint="eastAsia" w:ascii="仿宋_GB2312" w:hAnsi="仿宋_GB2312" w:cs="仿宋"/>
          <w:kern w:val="2"/>
          <w:sz w:val="32"/>
          <w:szCs w:val="32"/>
          <w:lang w:val="en-US" w:eastAsia="zh-CN" w:bidi="ar-SA"/>
        </w:rPr>
        <w:t>以及搭建公共物流信息系统</w:t>
      </w:r>
      <w:r>
        <w:rPr>
          <w:rFonts w:hint="eastAsia" w:ascii="仿宋_GB2312" w:hAnsi="仿宋_GB2312" w:eastAsia="仿宋_GB2312" w:cs="仿宋"/>
          <w:kern w:val="2"/>
          <w:sz w:val="32"/>
          <w:szCs w:val="32"/>
          <w:lang w:val="en-US" w:eastAsia="zh-CN" w:bidi="ar-SA"/>
        </w:rPr>
        <w:t>的企业，</w:t>
      </w:r>
      <w:r>
        <w:rPr>
          <w:rFonts w:hint="eastAsia" w:ascii="仿宋_GB2312" w:hAnsi="仿宋_GB2312" w:cs="仿宋_GB2312"/>
          <w:b w:val="0"/>
          <w:bCs w:val="0"/>
          <w:color w:val="auto"/>
          <w:sz w:val="32"/>
          <w:szCs w:val="32"/>
          <w:highlight w:val="none"/>
          <w:lang w:val="en-US" w:eastAsia="zh-CN"/>
        </w:rPr>
        <w:t>新设备或系统投用后，</w:t>
      </w:r>
      <w:r>
        <w:rPr>
          <w:rFonts w:hint="eastAsia" w:ascii="仿宋_GB2312" w:hAnsi="仿宋_GB2312" w:eastAsia="仿宋_GB2312" w:cs="仿宋_GB2312"/>
          <w:b w:val="0"/>
          <w:bCs w:val="0"/>
          <w:color w:val="auto"/>
          <w:sz w:val="32"/>
          <w:szCs w:val="32"/>
          <w:highlight w:val="none"/>
        </w:rPr>
        <w:t>按照不超过企业年度</w:t>
      </w:r>
      <w:r>
        <w:rPr>
          <w:rFonts w:hint="eastAsia" w:ascii="仿宋_GB2312" w:hAnsi="仿宋_GB2312" w:cs="仿宋_GB2312"/>
          <w:b w:val="0"/>
          <w:bCs w:val="0"/>
          <w:color w:val="auto"/>
          <w:sz w:val="32"/>
          <w:szCs w:val="32"/>
          <w:highlight w:val="none"/>
          <w:lang w:val="en-US" w:eastAsia="zh-CN"/>
        </w:rPr>
        <w:t>数智化</w:t>
      </w:r>
      <w:r>
        <w:rPr>
          <w:rFonts w:hint="eastAsia" w:ascii="仿宋_GB2312" w:hAnsi="仿宋_GB2312" w:eastAsia="仿宋_GB2312" w:cs="仿宋_GB2312"/>
          <w:b w:val="0"/>
          <w:bCs w:val="0"/>
          <w:color w:val="auto"/>
          <w:sz w:val="32"/>
          <w:szCs w:val="32"/>
          <w:highlight w:val="none"/>
        </w:rPr>
        <w:t>投资额的</w:t>
      </w:r>
      <w:r>
        <w:rPr>
          <w:rFonts w:hint="eastAsia" w:ascii="仿宋_GB2312" w:hAnsi="仿宋_GB2312" w:cs="仿宋_GB2312"/>
          <w:b w:val="0"/>
          <w:bCs w:val="0"/>
          <w:color w:val="auto"/>
          <w:sz w:val="32"/>
          <w:szCs w:val="32"/>
          <w:highlight w:val="none"/>
          <w:lang w:val="en-US" w:eastAsia="zh-CN"/>
        </w:rPr>
        <w:t>10</w:t>
      </w:r>
      <w:r>
        <w:rPr>
          <w:rFonts w:hint="eastAsia" w:ascii="仿宋_GB2312" w:hAnsi="仿宋_GB2312" w:eastAsia="仿宋_GB2312" w:cs="仿宋_GB2312"/>
          <w:b w:val="0"/>
          <w:bCs w:val="0"/>
          <w:color w:val="auto"/>
          <w:sz w:val="32"/>
          <w:szCs w:val="32"/>
          <w:highlight w:val="none"/>
        </w:rPr>
        <w:t>%，给予每家企业不超过</w:t>
      </w:r>
      <w:r>
        <w:rPr>
          <w:rFonts w:hint="eastAsia" w:ascii="仿宋_GB2312" w:hAnsi="仿宋_GB2312" w:cs="仿宋_GB2312"/>
          <w:b w:val="0"/>
          <w:bCs w:val="0"/>
          <w:color w:val="auto"/>
          <w:sz w:val="32"/>
          <w:szCs w:val="32"/>
          <w:highlight w:val="none"/>
          <w:lang w:val="en-US" w:eastAsia="zh-CN"/>
        </w:rPr>
        <w:t>50</w:t>
      </w:r>
      <w:r>
        <w:rPr>
          <w:rFonts w:hint="eastAsia" w:ascii="仿宋_GB2312" w:hAnsi="仿宋_GB2312" w:eastAsia="仿宋_GB2312" w:cs="仿宋_GB2312"/>
          <w:b w:val="0"/>
          <w:bCs w:val="0"/>
          <w:color w:val="auto"/>
          <w:sz w:val="32"/>
          <w:szCs w:val="32"/>
          <w:highlight w:val="none"/>
        </w:rPr>
        <w:t>万元</w:t>
      </w:r>
      <w:r>
        <w:rPr>
          <w:rFonts w:hint="eastAsia" w:ascii="仿宋_GB2312" w:hAnsi="仿宋_GB2312" w:cs="仿宋_GB2312"/>
          <w:b w:val="0"/>
          <w:bCs w:val="0"/>
          <w:color w:val="auto"/>
          <w:sz w:val="32"/>
          <w:szCs w:val="32"/>
          <w:highlight w:val="none"/>
          <w:lang w:val="en-US" w:eastAsia="zh-CN"/>
        </w:rPr>
        <w:t>补贴</w:t>
      </w:r>
      <w:r>
        <w:rPr>
          <w:rFonts w:hint="eastAsia" w:ascii="仿宋_GB2312" w:hAnsi="仿宋_GB2312" w:eastAsia="仿宋_GB2312" w:cs="仿宋"/>
          <w:kern w:val="2"/>
          <w:sz w:val="32"/>
          <w:szCs w:val="32"/>
          <w:lang w:val="en-US" w:eastAsia="zh-CN" w:bidi="ar-SA"/>
        </w:rPr>
        <w:t>，推动物流作业向自动化、智能化方向发展。</w:t>
      </w:r>
    </w:p>
    <w:p w14:paraId="24370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z w:val="32"/>
          <w:szCs w:val="32"/>
          <w:highlight w:val="none"/>
        </w:rPr>
      </w:pPr>
      <w:r>
        <w:rPr>
          <w:rFonts w:hint="eastAsia" w:ascii="楷体_GB2312" w:hAnsi="楷体_GB2312" w:eastAsia="楷体_GB2312" w:cs="楷体_GB2312"/>
          <w:b w:val="0"/>
          <w:bCs w:val="0"/>
          <w:color w:val="auto"/>
          <w:kern w:val="0"/>
          <w:sz w:val="32"/>
          <w:szCs w:val="32"/>
          <w:highlight w:val="none"/>
          <w:u w:val="none"/>
          <w:shd w:val="clear" w:color="auto" w:fill="FFFFFF"/>
          <w:lang w:val="en-US" w:eastAsia="zh-CN" w:bidi="ar"/>
        </w:rPr>
        <w:t>（二）补贴绿色物流。</w:t>
      </w:r>
      <w:r>
        <w:rPr>
          <w:rFonts w:hint="eastAsia" w:ascii="仿宋_GB2312" w:hAnsi="仿宋_GB2312" w:eastAsia="仿宋_GB2312" w:cs="仿宋_GB2312"/>
          <w:b w:val="0"/>
          <w:bCs w:val="0"/>
          <w:color w:val="auto"/>
          <w:sz w:val="32"/>
          <w:szCs w:val="32"/>
          <w:highlight w:val="none"/>
        </w:rPr>
        <w:t>鼓励引导物流企业推广绿色运输方式</w:t>
      </w:r>
      <w:r>
        <w:rPr>
          <w:rFonts w:hint="eastAsia" w:ascii="仿宋_GB2312" w:hAnsi="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支持新购新能源货车等绿色物流装备</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每辆</w:t>
      </w:r>
      <w:r>
        <w:rPr>
          <w:rFonts w:hint="eastAsia" w:ascii="仿宋_GB2312" w:hAnsi="仿宋_GB2312" w:eastAsia="仿宋_GB2312" w:cs="仿宋_GB2312"/>
          <w:b w:val="0"/>
          <w:bCs w:val="0"/>
          <w:color w:val="auto"/>
          <w:sz w:val="32"/>
          <w:szCs w:val="32"/>
          <w:highlight w:val="none"/>
          <w:lang w:val="en-US" w:eastAsia="zh-CN"/>
        </w:rPr>
        <w:t>车给予2</w:t>
      </w:r>
      <w:r>
        <w:rPr>
          <w:rFonts w:hint="eastAsia" w:ascii="仿宋_GB2312" w:hAnsi="仿宋_GB2312" w:eastAsia="仿宋_GB2312" w:cs="仿宋_GB2312"/>
          <w:b w:val="0"/>
          <w:bCs w:val="0"/>
          <w:color w:val="auto"/>
          <w:sz w:val="32"/>
          <w:szCs w:val="32"/>
          <w:highlight w:val="none"/>
        </w:rPr>
        <w:t>万元一次性</w:t>
      </w:r>
      <w:r>
        <w:rPr>
          <w:rFonts w:hint="eastAsia" w:ascii="仿宋_GB2312" w:hAnsi="仿宋_GB2312" w:eastAsia="仿宋_GB2312" w:cs="仿宋_GB2312"/>
          <w:b w:val="0"/>
          <w:bCs w:val="0"/>
          <w:color w:val="auto"/>
          <w:sz w:val="32"/>
          <w:szCs w:val="32"/>
          <w:highlight w:val="none"/>
          <w:lang w:val="en-US" w:eastAsia="zh-CN"/>
        </w:rPr>
        <w:t>补贴</w:t>
      </w:r>
      <w:r>
        <w:rPr>
          <w:rFonts w:hint="eastAsia" w:ascii="仿宋_GB2312" w:hAnsi="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z w:val="32"/>
          <w:szCs w:val="32"/>
          <w:highlight w:val="none"/>
        </w:rPr>
        <w:t>对租赁新能源</w:t>
      </w:r>
      <w:r>
        <w:rPr>
          <w:rFonts w:hint="eastAsia" w:ascii="仿宋_GB2312" w:hAnsi="仿宋_GB2312" w:eastAsia="仿宋_GB2312" w:cs="仿宋_GB2312"/>
          <w:b w:val="0"/>
          <w:bCs w:val="0"/>
          <w:color w:val="auto"/>
          <w:sz w:val="32"/>
          <w:szCs w:val="32"/>
          <w:highlight w:val="none"/>
          <w:lang w:val="en-US" w:eastAsia="zh-CN"/>
        </w:rPr>
        <w:t>货车</w:t>
      </w:r>
      <w:r>
        <w:rPr>
          <w:rFonts w:hint="eastAsia" w:ascii="仿宋_GB2312" w:hAnsi="仿宋_GB2312" w:eastAsia="仿宋_GB2312" w:cs="仿宋_GB2312"/>
          <w:b w:val="0"/>
          <w:bCs w:val="0"/>
          <w:color w:val="auto"/>
          <w:sz w:val="32"/>
          <w:szCs w:val="32"/>
          <w:highlight w:val="none"/>
        </w:rPr>
        <w:t>，每辆车按照年度实际租赁总费用的</w:t>
      </w:r>
      <w:r>
        <w:rPr>
          <w:rFonts w:hint="eastAsia" w:ascii="仿宋_GB2312" w:hAnsi="仿宋_GB2312" w:eastAsia="仿宋_GB2312" w:cs="仿宋_GB2312"/>
          <w:b w:val="0"/>
          <w:bCs w:val="0"/>
          <w:color w:val="auto"/>
          <w:sz w:val="32"/>
          <w:szCs w:val="32"/>
          <w:highlight w:val="none"/>
          <w:lang w:val="en-US" w:eastAsia="zh-CN"/>
        </w:rPr>
        <w:t>5</w:t>
      </w:r>
      <w:r>
        <w:rPr>
          <w:rFonts w:hint="eastAsia" w:ascii="仿宋_GB2312" w:hAnsi="仿宋_GB2312" w:eastAsia="仿宋_GB2312" w:cs="仿宋_GB2312"/>
          <w:b w:val="0"/>
          <w:bCs w:val="0"/>
          <w:color w:val="auto"/>
          <w:sz w:val="32"/>
          <w:szCs w:val="32"/>
          <w:highlight w:val="none"/>
        </w:rPr>
        <w:t>%给予</w:t>
      </w:r>
      <w:r>
        <w:rPr>
          <w:rFonts w:hint="eastAsia" w:ascii="仿宋_GB2312" w:hAnsi="仿宋_GB2312" w:cs="仿宋_GB2312"/>
          <w:b w:val="0"/>
          <w:bCs w:val="0"/>
          <w:color w:val="auto"/>
          <w:sz w:val="32"/>
          <w:szCs w:val="32"/>
          <w:highlight w:val="none"/>
          <w:lang w:val="en-US" w:eastAsia="zh-CN"/>
        </w:rPr>
        <w:t>补贴。单个企业年度累计获得补贴</w:t>
      </w:r>
      <w:r>
        <w:rPr>
          <w:rFonts w:hint="eastAsia" w:ascii="仿宋_GB2312" w:hAnsi="仿宋_GB2312" w:eastAsia="仿宋_GB2312" w:cs="仿宋_GB2312"/>
          <w:b w:val="0"/>
          <w:bCs w:val="0"/>
          <w:color w:val="auto"/>
          <w:sz w:val="32"/>
          <w:szCs w:val="32"/>
          <w:highlight w:val="none"/>
          <w:lang w:val="en-US" w:eastAsia="zh-CN"/>
        </w:rPr>
        <w:t>最高不超过</w:t>
      </w:r>
      <w:r>
        <w:rPr>
          <w:rFonts w:hint="eastAsia" w:ascii="仿宋_GB2312" w:hAnsi="仿宋_GB2312" w:cs="仿宋_GB2312"/>
          <w:b w:val="0"/>
          <w:bCs w:val="0"/>
          <w:color w:val="auto"/>
          <w:sz w:val="32"/>
          <w:szCs w:val="32"/>
          <w:highlight w:val="none"/>
          <w:lang w:val="en-US" w:eastAsia="zh-CN"/>
        </w:rPr>
        <w:t>50</w:t>
      </w:r>
      <w:r>
        <w:rPr>
          <w:rFonts w:hint="eastAsia" w:ascii="仿宋_GB2312" w:hAnsi="仿宋_GB2312" w:eastAsia="仿宋_GB2312" w:cs="仿宋_GB2312"/>
          <w:b w:val="0"/>
          <w:bCs w:val="0"/>
          <w:color w:val="auto"/>
          <w:sz w:val="32"/>
          <w:szCs w:val="32"/>
          <w:highlight w:val="none"/>
          <w:lang w:val="en-US" w:eastAsia="zh-CN"/>
        </w:rPr>
        <w:t>万元。支持利用</w:t>
      </w:r>
      <w:r>
        <w:rPr>
          <w:rFonts w:hint="eastAsia" w:ascii="仿宋_GB2312" w:hAnsi="仿宋_GB2312" w:cs="仿宋_GB2312"/>
          <w:b w:val="0"/>
          <w:bCs w:val="0"/>
          <w:color w:val="auto"/>
          <w:sz w:val="32"/>
          <w:szCs w:val="32"/>
          <w:highlight w:val="none"/>
          <w:lang w:val="en-US" w:eastAsia="zh-CN"/>
        </w:rPr>
        <w:t>物流</w:t>
      </w:r>
      <w:r>
        <w:rPr>
          <w:rFonts w:hint="eastAsia" w:ascii="仿宋_GB2312" w:hAnsi="仿宋_GB2312" w:eastAsia="仿宋_GB2312" w:cs="仿宋_GB2312"/>
          <w:b w:val="0"/>
          <w:bCs w:val="0"/>
          <w:color w:val="auto"/>
          <w:sz w:val="32"/>
          <w:szCs w:val="32"/>
          <w:highlight w:val="none"/>
          <w:lang w:val="en-US" w:eastAsia="zh-CN"/>
        </w:rPr>
        <w:t>仓储设施屋顶建设光伏发电项目</w:t>
      </w:r>
      <w:r>
        <w:rPr>
          <w:rFonts w:hint="eastAsia" w:ascii="仿宋_GB2312" w:hAnsi="仿宋_GB2312" w:cs="仿宋_GB2312"/>
          <w:b w:val="0"/>
          <w:bCs w:val="0"/>
          <w:color w:val="auto"/>
          <w:sz w:val="32"/>
          <w:szCs w:val="32"/>
          <w:highlight w:val="none"/>
          <w:lang w:val="en-US" w:eastAsia="zh-CN"/>
        </w:rPr>
        <w:t>，依据装机容量按照0.1元/瓦标准，给予投资主体一次性建设补贴</w:t>
      </w:r>
      <w:r>
        <w:rPr>
          <w:rFonts w:hint="eastAsia" w:ascii="仿宋_GB2312" w:hAnsi="仿宋_GB2312" w:eastAsia="仿宋_GB2312" w:cs="仿宋_GB2312"/>
          <w:b w:val="0"/>
          <w:bCs w:val="0"/>
          <w:color w:val="auto"/>
          <w:sz w:val="32"/>
          <w:szCs w:val="32"/>
          <w:highlight w:val="none"/>
        </w:rPr>
        <w:t>。</w:t>
      </w:r>
    </w:p>
    <w:p w14:paraId="299FA920">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b w:val="0"/>
          <w:bCs w:val="0"/>
          <w:color w:val="auto"/>
          <w:sz w:val="32"/>
          <w:szCs w:val="32"/>
          <w:highlight w:val="none"/>
          <w:u w:val="none"/>
          <w:lang w:val="en-US" w:eastAsia="zh-CN"/>
        </w:rPr>
      </w:pPr>
      <w:r>
        <w:rPr>
          <w:rFonts w:hint="eastAsia" w:ascii="楷体_GB2312" w:hAnsi="楷体_GB2312" w:eastAsia="楷体_GB2312" w:cs="楷体_GB2312"/>
          <w:b w:val="0"/>
          <w:bCs w:val="0"/>
          <w:color w:val="auto"/>
          <w:kern w:val="0"/>
          <w:sz w:val="32"/>
          <w:szCs w:val="32"/>
          <w:highlight w:val="none"/>
          <w:u w:val="none"/>
          <w:shd w:val="clear" w:color="auto" w:fill="FFFFFF"/>
          <w:lang w:val="en-US" w:eastAsia="zh-CN" w:bidi="ar"/>
        </w:rPr>
        <w:t>（三）补贴口岸物流。</w:t>
      </w:r>
      <w:r>
        <w:rPr>
          <w:rFonts w:hint="eastAsia" w:ascii="仿宋_GB2312" w:hAnsi="仿宋_GB2312" w:cs="仿宋_GB2312"/>
          <w:b w:val="0"/>
          <w:bCs w:val="0"/>
          <w:color w:val="auto"/>
          <w:sz w:val="32"/>
          <w:szCs w:val="32"/>
          <w:highlight w:val="none"/>
          <w:u w:val="none"/>
          <w:lang w:val="en-US" w:eastAsia="zh-CN"/>
        </w:rPr>
        <w:t>支持保税业务发展，对保税库（进口肉类查验场地备案库）的经营主体，按实际使用的保税仓储面积给予0.3元/天/平方米（托盘）的仓租补贴，每年最高不超过50万元，须实质性引入保税企业。对保税库（进口肉类查验场地备案库）的租用主体，如货物从异地口岸运输至平谷国际陆港并入库，单趟集装箱卡车（20尺或40尺）给予200元的物流费用补贴，单个企业每年不超过10万元。</w:t>
      </w:r>
    </w:p>
    <w:p w14:paraId="7A7C080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Calibri" w:hAnsi="Calibri" w:cs="宋体"/>
          <w:color w:val="auto"/>
          <w:kern w:val="0"/>
          <w:sz w:val="32"/>
          <w:szCs w:val="32"/>
          <w:highlight w:val="none"/>
          <w:shd w:val="clear" w:color="auto" w:fill="auto"/>
          <w:lang w:val="en-US" w:eastAsia="zh-CN" w:bidi="ar-SA"/>
        </w:rPr>
      </w:pPr>
      <w:r>
        <w:rPr>
          <w:rFonts w:hint="eastAsia" w:ascii="黑体" w:hAnsi="黑体" w:eastAsia="黑体" w:cs="黑体"/>
          <w:b w:val="0"/>
          <w:bCs/>
          <w:color w:val="auto"/>
          <w:kern w:val="2"/>
          <w:sz w:val="32"/>
          <w:szCs w:val="32"/>
          <w:highlight w:val="none"/>
          <w:lang w:val="en-US" w:eastAsia="zh-CN" w:bidi="zh-CN"/>
        </w:rPr>
        <w:t>第五条</w:t>
      </w:r>
      <w:r>
        <w:rPr>
          <w:rFonts w:hint="eastAsia" w:ascii="楷体_GB2312" w:hAnsi="黑体" w:eastAsia="楷体_GB2312" w:cs="仿宋_GB2312"/>
          <w:b/>
          <w:color w:val="auto"/>
          <w:kern w:val="2"/>
          <w:sz w:val="32"/>
          <w:szCs w:val="32"/>
          <w:u w:val="none"/>
          <w:shd w:val="clear" w:color="auto" w:fill="auto"/>
          <w:lang w:val="en-US" w:eastAsia="zh-CN" w:bidi="zh-CN"/>
        </w:rPr>
        <w:t xml:space="preserve"> </w:t>
      </w:r>
      <w:r>
        <w:rPr>
          <w:rFonts w:hint="eastAsia" w:ascii="Calibri" w:hAnsi="Calibri" w:eastAsia="仿宋_GB2312" w:cs="宋体"/>
          <w:b/>
          <w:bCs/>
          <w:color w:val="auto"/>
          <w:kern w:val="0"/>
          <w:sz w:val="32"/>
          <w:szCs w:val="32"/>
          <w:highlight w:val="none"/>
          <w:u w:val="none"/>
          <w:shd w:val="clear" w:color="auto" w:fill="auto"/>
          <w:lang w:val="en-US" w:eastAsia="zh-CN" w:bidi="ar-SA"/>
        </w:rPr>
        <w:t>放大物流枢纽经济功能</w:t>
      </w:r>
    </w:p>
    <w:p w14:paraId="07610D66">
      <w:pPr>
        <w:keepNext w:val="0"/>
        <w:keepLines w:val="0"/>
        <w:pageBreakBefore w:val="0"/>
        <w:widowControl w:val="0"/>
        <w:numPr>
          <w:ilvl w:val="-1"/>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eastAsia" w:ascii="仿宋_GB2312" w:hAnsi="仿宋_GB2312" w:eastAsia="仿宋_GB2312" w:cs="仿宋_GB2312"/>
          <w:color w:val="auto"/>
          <w:kern w:val="0"/>
          <w:sz w:val="32"/>
          <w:szCs w:val="32"/>
          <w:highlight w:val="none"/>
          <w:shd w:val="clear" w:color="auto" w:fill="auto"/>
          <w:lang w:val="en-US" w:eastAsia="zh-CN" w:bidi="ar-SA"/>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（一）支持平台经济发展。</w:t>
      </w:r>
      <w:r>
        <w:rPr>
          <w:rFonts w:hint="eastAsia" w:ascii="仿宋_GB2312" w:hAnsi="仿宋_GB2312" w:eastAsia="仿宋_GB2312" w:cs="仿宋_GB2312"/>
          <w:color w:val="auto"/>
          <w:kern w:val="0"/>
          <w:sz w:val="32"/>
          <w:szCs w:val="32"/>
          <w:highlight w:val="none"/>
          <w:shd w:val="clear" w:color="auto" w:fill="auto"/>
          <w:lang w:val="en-US" w:eastAsia="zh-CN" w:bidi="ar-SA"/>
        </w:rPr>
        <w:t>支持建立供应链公共服务平台全方位链接供需对接、共同仓储、物流配送、批发零售等资源延伸直播电商、品牌推广、供应链金融等增值服务，形成数智化供应链模式。对建设供应链公共服务平台投入500万元及以上，且接入50家以上上下游企业入驻，一次性支持50万元。对年度上下游供应链企业在供应链平台开展业务，按业务发生额的1%给予事后补助，单个企业最高一次性奖励100万元。每年奖励平台企业</w:t>
      </w:r>
      <w:r>
        <w:rPr>
          <w:rFonts w:hint="eastAsia" w:ascii="仿宋_GB2312" w:hAnsi="仿宋_GB2312" w:cs="仿宋_GB2312"/>
          <w:color w:val="auto"/>
          <w:kern w:val="0"/>
          <w:sz w:val="32"/>
          <w:szCs w:val="32"/>
          <w:highlight w:val="none"/>
          <w:shd w:val="clear" w:color="auto" w:fill="auto"/>
          <w:lang w:val="en-US" w:eastAsia="zh-CN" w:bidi="ar-SA"/>
        </w:rPr>
        <w:t>最多</w:t>
      </w:r>
      <w:r>
        <w:rPr>
          <w:rFonts w:hint="eastAsia" w:ascii="仿宋_GB2312" w:hAnsi="仿宋_GB2312" w:eastAsia="仿宋_GB2312" w:cs="仿宋_GB2312"/>
          <w:color w:val="auto"/>
          <w:kern w:val="0"/>
          <w:sz w:val="32"/>
          <w:szCs w:val="32"/>
          <w:highlight w:val="none"/>
          <w:shd w:val="clear" w:color="auto" w:fill="auto"/>
          <w:lang w:val="en-US" w:eastAsia="zh-CN" w:bidi="ar-SA"/>
        </w:rPr>
        <w:t>1家。</w:t>
      </w:r>
    </w:p>
    <w:p w14:paraId="0F5DC0CD">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eastAsia="黑体"/>
          <w:color w:val="auto"/>
          <w:sz w:val="32"/>
          <w:szCs w:val="32"/>
          <w:highlight w:val="none"/>
        </w:rPr>
      </w:pPr>
      <w:r>
        <w:rPr>
          <w:rFonts w:hint="eastAsia" w:ascii="楷体_GB2312" w:hAnsi="楷体_GB2312" w:eastAsia="楷体_GB2312" w:cs="楷体_GB2312"/>
          <w:color w:val="auto"/>
          <w:kern w:val="0"/>
          <w:sz w:val="32"/>
          <w:szCs w:val="32"/>
          <w:highlight w:val="none"/>
          <w:u w:val="none"/>
          <w:shd w:val="clear" w:color="auto" w:fill="FFFFFF"/>
          <w:lang w:val="en-US" w:eastAsia="zh-CN" w:bidi="ar"/>
        </w:rPr>
        <w:t>（二）支持产业融合发展。</w:t>
      </w:r>
      <w:r>
        <w:rPr>
          <w:rFonts w:hint="eastAsia" w:ascii="仿宋_GB2312" w:hAnsi="仿宋_GB2312" w:cs="仿宋_GB2312"/>
          <w:color w:val="auto"/>
          <w:sz w:val="32"/>
          <w:szCs w:val="32"/>
          <w:u w:val="none"/>
          <w:lang w:val="en-US" w:eastAsia="zh-CN"/>
        </w:rPr>
        <w:t>鼓励发展“智慧物流+”新业态，对向制造业企业提供物流服务或供应链服务,且增效降本成效显著的第三方物流企业，该年度主营业务收入在2000万元以上的，按年度承接制造业企业物流营业收入排名前5名的企业给予10万元一次性奖励。对获批北京市先进制造业与现代服务业（现代物流）融合发展试点的企业，给予20万元一次性奖励。对新设立区域性分拨中心、运营中心，投资额1亿元以上的，给予100万元补贴。</w:t>
      </w:r>
    </w:p>
    <w:p w14:paraId="01174A1E">
      <w:pPr>
        <w:pStyle w:val="5"/>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jc w:val="center"/>
        <w:textAlignment w:val="auto"/>
        <w:rPr>
          <w:rFonts w:hint="eastAsia" w:ascii="楷体_GB2312" w:hAnsi="黑体" w:eastAsia="楷体_GB2312" w:cs="仿宋_GB2312"/>
          <w:b/>
          <w:color w:val="auto"/>
          <w:kern w:val="2"/>
          <w:sz w:val="32"/>
          <w:szCs w:val="32"/>
          <w:highlight w:val="none"/>
          <w:lang w:val="en-US" w:eastAsia="zh-CN" w:bidi="zh-CN"/>
        </w:rPr>
      </w:pPr>
      <w:r>
        <w:rPr>
          <w:rFonts w:hint="eastAsia" w:ascii="黑体" w:eastAsia="黑体"/>
          <w:color w:val="auto"/>
          <w:sz w:val="32"/>
          <w:szCs w:val="32"/>
          <w:highlight w:val="none"/>
        </w:rPr>
        <w:t>第三章 资金使用与管理</w:t>
      </w:r>
    </w:p>
    <w:p w14:paraId="420853B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 w:eastAsia="仿宋_GB2312"/>
          <w:color w:val="auto"/>
          <w:sz w:val="32"/>
          <w:highlight w:val="none"/>
        </w:rPr>
      </w:pPr>
      <w:r>
        <w:rPr>
          <w:rFonts w:hint="eastAsia" w:ascii="黑体" w:hAnsi="黑体" w:eastAsia="黑体" w:cs="黑体"/>
          <w:b w:val="0"/>
          <w:bCs/>
          <w:color w:val="auto"/>
          <w:kern w:val="2"/>
          <w:sz w:val="32"/>
          <w:szCs w:val="32"/>
          <w:highlight w:val="none"/>
          <w:lang w:val="en-US" w:eastAsia="zh-CN" w:bidi="zh-CN"/>
        </w:rPr>
        <w:t>第六条</w:t>
      </w:r>
      <w:r>
        <w:rPr>
          <w:rFonts w:hint="eastAsia" w:ascii="仿宋_GB2312" w:hAnsi="仿宋" w:eastAsia="仿宋_GB2312"/>
          <w:color w:val="auto"/>
          <w:sz w:val="32"/>
          <w:highlight w:val="none"/>
        </w:rPr>
        <w:t xml:space="preserve"> 本措施扶持项目由马坊物流管委落实主体责任，负责组织项目申报、评审工作，提出绩效目标。扶持项目所需资金由区与乡镇两级财政按企业属地划分进行分级负担，并根据两级财政资金使用管理有关规定履行资金审批程序。</w:t>
      </w:r>
    </w:p>
    <w:p w14:paraId="11E94FD5">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仿宋_GB2312" w:hAnsi="仿宋" w:eastAsia="仿宋_GB2312"/>
          <w:color w:val="auto"/>
          <w:sz w:val="32"/>
          <w:highlight w:val="none"/>
          <w:lang w:eastAsia="zh-CN"/>
        </w:rPr>
      </w:pPr>
      <w:r>
        <w:rPr>
          <w:rFonts w:hint="eastAsia" w:ascii="黑体" w:hAnsi="黑体" w:eastAsia="黑体" w:cs="黑体"/>
          <w:b w:val="0"/>
          <w:bCs/>
          <w:color w:val="auto"/>
          <w:kern w:val="2"/>
          <w:sz w:val="32"/>
          <w:szCs w:val="32"/>
          <w:highlight w:val="none"/>
          <w:lang w:val="en-US" w:eastAsia="zh-CN" w:bidi="zh-CN"/>
        </w:rPr>
        <w:t>第七条</w:t>
      </w:r>
      <w:r>
        <w:rPr>
          <w:rFonts w:hint="eastAsia" w:ascii="楷体_GB2312" w:hAnsi="黑体" w:eastAsia="楷体_GB2312" w:cs="仿宋_GB2312"/>
          <w:b/>
          <w:color w:val="auto"/>
          <w:kern w:val="2"/>
          <w:sz w:val="32"/>
          <w:szCs w:val="32"/>
          <w:highlight w:val="none"/>
          <w:lang w:val="en-US" w:eastAsia="zh-CN" w:bidi="zh-CN"/>
        </w:rPr>
        <w:t xml:space="preserve"> </w:t>
      </w:r>
      <w:r>
        <w:rPr>
          <w:rFonts w:hint="eastAsia" w:ascii="仿宋_GB2312" w:hAnsi="仿宋" w:eastAsia="仿宋_GB2312"/>
          <w:color w:val="auto"/>
          <w:sz w:val="32"/>
          <w:highlight w:val="none"/>
          <w:lang w:eastAsia="zh-CN"/>
        </w:rPr>
        <w:t>申报</w:t>
      </w:r>
      <w:r>
        <w:rPr>
          <w:rFonts w:hint="eastAsia" w:ascii="仿宋_GB2312" w:hAnsi="仿宋" w:eastAsia="仿宋_GB2312"/>
          <w:color w:val="auto"/>
          <w:sz w:val="32"/>
          <w:highlight w:val="none"/>
          <w:lang w:val="en-US" w:eastAsia="zh-CN"/>
        </w:rPr>
        <w:t>主体</w:t>
      </w:r>
      <w:r>
        <w:rPr>
          <w:rFonts w:hint="eastAsia" w:ascii="仿宋_GB2312" w:hAnsi="仿宋" w:eastAsia="仿宋_GB2312"/>
          <w:color w:val="auto"/>
          <w:sz w:val="32"/>
          <w:highlight w:val="none"/>
          <w:lang w:eastAsia="zh-CN"/>
        </w:rPr>
        <w:t>应确保申报材料真实、准确、完整，保证项目各项建设手续合规、按时间进度推进，不得擅自篡改相关报表信息。对于伪造、提供虚假材料的项目申报</w:t>
      </w:r>
      <w:r>
        <w:rPr>
          <w:rFonts w:hint="eastAsia" w:ascii="仿宋_GB2312" w:hAnsi="仿宋" w:eastAsia="仿宋_GB2312"/>
          <w:color w:val="auto"/>
          <w:sz w:val="32"/>
          <w:highlight w:val="none"/>
          <w:lang w:val="en-US" w:eastAsia="zh-CN"/>
        </w:rPr>
        <w:t>主体</w:t>
      </w:r>
      <w:r>
        <w:rPr>
          <w:rFonts w:hint="eastAsia" w:ascii="仿宋_GB2312" w:hAnsi="仿宋" w:eastAsia="仿宋_GB2312"/>
          <w:color w:val="auto"/>
          <w:sz w:val="32"/>
          <w:highlight w:val="none"/>
          <w:lang w:eastAsia="zh-CN"/>
        </w:rPr>
        <w:t>，</w:t>
      </w:r>
      <w:r>
        <w:rPr>
          <w:rFonts w:hint="eastAsia" w:ascii="仿宋_GB2312" w:hAnsi="仿宋" w:eastAsia="仿宋_GB2312"/>
          <w:color w:val="auto"/>
          <w:sz w:val="32"/>
          <w:highlight w:val="none"/>
          <w:lang w:val="en-US" w:eastAsia="zh-CN"/>
        </w:rPr>
        <w:t>一经查实，应</w:t>
      </w:r>
      <w:r>
        <w:rPr>
          <w:rFonts w:hint="eastAsia" w:ascii="仿宋_GB2312" w:hAnsi="仿宋" w:eastAsia="仿宋_GB2312"/>
          <w:color w:val="auto"/>
          <w:sz w:val="32"/>
          <w:highlight w:val="none"/>
          <w:lang w:eastAsia="zh-CN"/>
        </w:rPr>
        <w:t>退回已获得的扶持资金，</w:t>
      </w:r>
      <w:r>
        <w:rPr>
          <w:rFonts w:hint="eastAsia" w:ascii="仿宋_GB2312" w:hAnsi="仿宋" w:eastAsia="仿宋_GB2312"/>
          <w:color w:val="auto"/>
          <w:sz w:val="32"/>
          <w:highlight w:val="none"/>
          <w:lang w:val="en-US" w:eastAsia="zh-CN"/>
        </w:rPr>
        <w:t>并</w:t>
      </w:r>
      <w:r>
        <w:rPr>
          <w:rFonts w:hint="eastAsia" w:ascii="仿宋_GB2312" w:hAnsi="仿宋" w:eastAsia="仿宋_GB2312"/>
          <w:color w:val="auto"/>
          <w:sz w:val="32"/>
          <w:highlight w:val="none"/>
          <w:lang w:eastAsia="zh-CN"/>
        </w:rPr>
        <w:t>按《北京市商务领域不良信用记录名单管理办法（试行）》规定进行处理。</w:t>
      </w:r>
    </w:p>
    <w:p w14:paraId="778E488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Fonts w:hint="eastAsia" w:ascii="黑体" w:eastAsia="黑体"/>
          <w:color w:val="auto"/>
          <w:sz w:val="32"/>
          <w:szCs w:val="32"/>
          <w:highlight w:val="none"/>
        </w:rPr>
      </w:pPr>
      <w:r>
        <w:rPr>
          <w:rFonts w:hint="eastAsia" w:ascii="黑体" w:hAnsi="黑体" w:eastAsia="黑体" w:cs="黑体"/>
          <w:b w:val="0"/>
          <w:bCs/>
          <w:color w:val="auto"/>
          <w:kern w:val="2"/>
          <w:sz w:val="32"/>
          <w:szCs w:val="32"/>
          <w:highlight w:val="none"/>
          <w:lang w:val="en-US" w:eastAsia="zh-CN" w:bidi="zh-CN"/>
        </w:rPr>
        <w:t>第八条</w:t>
      </w:r>
      <w:r>
        <w:rPr>
          <w:rFonts w:hint="eastAsia" w:ascii="仿宋_GB2312" w:hAnsi="仿宋" w:eastAsia="仿宋_GB2312"/>
          <w:b w:val="0"/>
          <w:bCs w:val="0"/>
          <w:color w:val="auto"/>
          <w:sz w:val="32"/>
          <w:highlight w:val="none"/>
          <w:lang w:val="en-US" w:eastAsia="zh-CN"/>
        </w:rPr>
        <w:t xml:space="preserve"> 有下列情形不予支持：被列入《北京市新增产业的禁止和限制目录》禁止类和限制类范围的；被纳入北京市商务领域不良信用记录名单，受到“不予支持”信用惩戒的；发生一般生产安全事故或一般火灾事故</w:t>
      </w:r>
      <w:r>
        <w:rPr>
          <w:rFonts w:hint="eastAsia" w:ascii="仿宋_GB2312" w:hAnsi="仿宋" w:eastAsia="仿宋_GB2312"/>
          <w:b w:val="0"/>
          <w:bCs w:val="0"/>
          <w:color w:val="auto"/>
          <w:spacing w:val="-20"/>
          <w:sz w:val="32"/>
          <w:highlight w:val="none"/>
          <w:lang w:val="en-US" w:eastAsia="zh-CN"/>
        </w:rPr>
        <w:t>的；经审议具有其他不予支持情形的。</w:t>
      </w:r>
    </w:p>
    <w:p w14:paraId="492255A6">
      <w:pPr>
        <w:keepNext w:val="0"/>
        <w:keepLines w:val="0"/>
        <w:pageBreakBefore w:val="0"/>
        <w:widowControl w:val="0"/>
        <w:kinsoku/>
        <w:wordWrap/>
        <w:overflowPunct/>
        <w:topLinePunct w:val="0"/>
        <w:autoSpaceDE/>
        <w:autoSpaceDN/>
        <w:bidi w:val="0"/>
        <w:adjustRightInd w:val="0"/>
        <w:snapToGrid w:val="0"/>
        <w:spacing w:before="157" w:beforeLines="50" w:after="157" w:afterLines="50" w:line="560" w:lineRule="exact"/>
        <w:ind w:right="0" w:rightChars="0"/>
        <w:jc w:val="center"/>
        <w:textAlignment w:val="auto"/>
        <w:outlineLvl w:val="9"/>
        <w:rPr>
          <w:rFonts w:hint="eastAsia" w:ascii="仿宋_GB2312" w:hAnsi="仿宋_GB2312" w:cs="仿宋_GB2312"/>
          <w:b/>
          <w:bCs/>
          <w:color w:val="auto"/>
          <w:sz w:val="32"/>
          <w:szCs w:val="32"/>
          <w:lang w:eastAsia="zh-CN"/>
        </w:rPr>
      </w:pPr>
      <w:r>
        <w:rPr>
          <w:rFonts w:hint="eastAsia" w:ascii="黑体" w:eastAsia="黑体"/>
          <w:color w:val="auto"/>
          <w:sz w:val="32"/>
          <w:szCs w:val="32"/>
          <w:highlight w:val="none"/>
        </w:rPr>
        <w:t>第四章</w:t>
      </w:r>
      <w:r>
        <w:rPr>
          <w:rFonts w:hint="eastAsia" w:ascii="黑体" w:eastAsia="黑体"/>
          <w:color w:val="auto"/>
          <w:sz w:val="32"/>
          <w:szCs w:val="32"/>
          <w:highlight w:val="none"/>
          <w:lang w:val="en-US" w:eastAsia="zh-CN"/>
        </w:rPr>
        <w:t xml:space="preserve">  </w:t>
      </w:r>
      <w:r>
        <w:rPr>
          <w:rFonts w:hint="eastAsia" w:ascii="黑体" w:eastAsia="黑体"/>
          <w:color w:val="auto"/>
          <w:sz w:val="32"/>
          <w:szCs w:val="32"/>
          <w:highlight w:val="none"/>
        </w:rPr>
        <w:t>附</w:t>
      </w:r>
      <w:r>
        <w:rPr>
          <w:rFonts w:hint="eastAsia" w:ascii="黑体" w:eastAsia="黑体"/>
          <w:color w:val="auto"/>
          <w:sz w:val="32"/>
          <w:szCs w:val="32"/>
          <w:highlight w:val="none"/>
          <w:lang w:val="en-US" w:eastAsia="zh-CN"/>
        </w:rPr>
        <w:t xml:space="preserve">  </w:t>
      </w:r>
      <w:r>
        <w:rPr>
          <w:rFonts w:hint="eastAsia" w:ascii="黑体" w:eastAsia="黑体"/>
          <w:color w:val="auto"/>
          <w:sz w:val="32"/>
          <w:szCs w:val="32"/>
          <w:highlight w:val="none"/>
        </w:rPr>
        <w:t>则</w:t>
      </w:r>
    </w:p>
    <w:p w14:paraId="479D0C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_GB2312" w:hAnsi="仿宋_GB2312" w:cs="仿宋_GB2312"/>
          <w:b/>
          <w:bCs/>
          <w:color w:val="auto"/>
          <w:sz w:val="32"/>
          <w:szCs w:val="32"/>
          <w:lang w:val="en-US" w:eastAsia="zh-CN"/>
        </w:rPr>
      </w:pPr>
      <w:r>
        <w:rPr>
          <w:rFonts w:hint="eastAsia" w:ascii="黑体" w:hAnsi="黑体" w:eastAsia="黑体" w:cs="黑体"/>
          <w:b w:val="0"/>
          <w:bCs/>
          <w:color w:val="auto"/>
          <w:kern w:val="2"/>
          <w:sz w:val="32"/>
          <w:szCs w:val="32"/>
          <w:highlight w:val="none"/>
          <w:lang w:val="en-US" w:eastAsia="zh-CN" w:bidi="zh-CN"/>
        </w:rPr>
        <w:t>第九条</w:t>
      </w:r>
      <w:r>
        <w:rPr>
          <w:rFonts w:hint="eastAsia" w:ascii="仿宋_GB2312" w:hAnsi="仿宋_GB2312" w:cs="仿宋_GB2312"/>
          <w:b/>
          <w:bCs/>
          <w:color w:val="auto"/>
          <w:sz w:val="32"/>
          <w:szCs w:val="32"/>
          <w:lang w:val="en-US" w:eastAsia="zh-CN"/>
        </w:rPr>
        <w:t xml:space="preserve"> </w:t>
      </w:r>
      <w:r>
        <w:rPr>
          <w:rFonts w:hint="eastAsia" w:ascii="仿宋_GB2312" w:hAnsi="仿宋_GB2312" w:cs="仿宋_GB2312"/>
          <w:b w:val="0"/>
          <w:bCs w:val="0"/>
          <w:color w:val="auto"/>
          <w:sz w:val="32"/>
          <w:szCs w:val="32"/>
          <w:lang w:val="en-US" w:eastAsia="zh-CN"/>
        </w:rPr>
        <w:t>对本区现代物流产业发展有显著引领促进作用的项目可采取“一事一议”方式予以扶持。</w:t>
      </w:r>
    </w:p>
    <w:p w14:paraId="1509DBE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2"/>
          <w:sz w:val="32"/>
          <w:szCs w:val="32"/>
          <w:highlight w:val="none"/>
          <w:lang w:val="en-US" w:eastAsia="zh-CN" w:bidi="zh-CN"/>
        </w:rPr>
        <w:t>第十条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rPr>
        <w:t>企业享受本措施扶持政策时，若同时可享受国家、</w:t>
      </w:r>
      <w:r>
        <w:rPr>
          <w:rFonts w:hint="eastAsia" w:ascii="仿宋_GB2312" w:hAnsi="仿宋_GB2312" w:cs="仿宋_GB2312"/>
          <w:color w:val="auto"/>
          <w:sz w:val="32"/>
          <w:szCs w:val="32"/>
          <w:lang w:val="en-US" w:eastAsia="zh-CN"/>
        </w:rPr>
        <w:t>市级</w:t>
      </w:r>
      <w:r>
        <w:rPr>
          <w:rFonts w:hint="eastAsia" w:ascii="仿宋_GB2312" w:hAnsi="仿宋_GB2312" w:eastAsia="仿宋_GB2312" w:cs="仿宋_GB2312"/>
          <w:color w:val="auto"/>
          <w:sz w:val="32"/>
          <w:szCs w:val="32"/>
        </w:rPr>
        <w:t>以及区级政策，则在享受国家、市以及其他区级政策后，按“从优不重复”原则执行。</w:t>
      </w:r>
      <w:r>
        <w:rPr>
          <w:rFonts w:hint="eastAsia" w:ascii="仿宋_GB2312" w:hAnsi="仿宋_GB2312" w:cs="仿宋_GB2312"/>
          <w:color w:val="auto"/>
          <w:sz w:val="32"/>
          <w:szCs w:val="32"/>
          <w:lang w:eastAsia="zh-CN"/>
        </w:rPr>
        <w:t>本措施扶持资金按年度申报兑现</w:t>
      </w:r>
      <w:r>
        <w:rPr>
          <w:rFonts w:hint="eastAsia" w:ascii="楷体_GB2312" w:hAnsi="楷体_GB2312" w:eastAsia="仿宋_GB2312" w:cs="仿宋_GB2312"/>
          <w:color w:val="auto"/>
          <w:sz w:val="32"/>
          <w:szCs w:val="32"/>
        </w:rPr>
        <w:t>。</w:t>
      </w:r>
    </w:p>
    <w:p w14:paraId="763EDC7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kern w:val="2"/>
          <w:sz w:val="32"/>
          <w:szCs w:val="32"/>
          <w:highlight w:val="none"/>
          <w:lang w:val="en-US" w:eastAsia="zh-CN" w:bidi="zh-CN"/>
        </w:rPr>
        <w:t>第十一条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本措施未尽事宜，按照法律、法规和规章等有关办法执行。遇国家和北京市政策发生较大调整时，本措施将进行相应调整，并按调整后的相关规定执行。企业在取得本措施的相关支持后，出现违反国家法律法规和有关规定并造成严重后果的，马坊物流基地管委有权停止政策支持，并保留相应的追索权。</w:t>
      </w:r>
    </w:p>
    <w:p w14:paraId="35A35EE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color w:val="auto"/>
        </w:rPr>
      </w:pPr>
      <w:r>
        <w:rPr>
          <w:rFonts w:hint="eastAsia" w:ascii="黑体" w:hAnsi="黑体" w:eastAsia="黑体" w:cs="黑体"/>
          <w:b w:val="0"/>
          <w:bCs/>
          <w:color w:val="auto"/>
          <w:kern w:val="2"/>
          <w:sz w:val="32"/>
          <w:szCs w:val="32"/>
          <w:highlight w:val="none"/>
          <w:lang w:val="en-US" w:eastAsia="zh-CN" w:bidi="zh-CN"/>
        </w:rPr>
        <w:t>第十二条</w:t>
      </w:r>
      <w:r>
        <w:rPr>
          <w:rFonts w:hint="eastAsia" w:ascii="楷体_GB2312" w:hAnsi="黑体" w:eastAsia="楷体_GB2312" w:cs="仿宋_GB2312"/>
          <w:b/>
          <w:color w:val="auto"/>
          <w:kern w:val="2"/>
          <w:sz w:val="32"/>
          <w:szCs w:val="32"/>
          <w:lang w:val="en-US" w:eastAsia="zh-CN" w:bidi="zh-CN"/>
        </w:rPr>
        <w:t xml:space="preserve"> </w:t>
      </w:r>
      <w:r>
        <w:rPr>
          <w:rFonts w:hint="eastAsia" w:ascii="仿宋_GB2312" w:hAnsi="仿宋_GB2312" w:eastAsia="仿宋_GB2312" w:cs="仿宋_GB2312"/>
          <w:color w:val="auto"/>
          <w:sz w:val="32"/>
          <w:szCs w:val="32"/>
        </w:rPr>
        <w:t>本措施自发布之日起施行，有效期两年。本措施有关具体规定由马坊物流基地管委会同有关部门负责解释。</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24596">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AF578B">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4AF578B">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1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32E64"/>
    <w:rsid w:val="01FF5645"/>
    <w:rsid w:val="0411428D"/>
    <w:rsid w:val="058B64FE"/>
    <w:rsid w:val="05A106F4"/>
    <w:rsid w:val="087E7449"/>
    <w:rsid w:val="09F558AC"/>
    <w:rsid w:val="0BDD73DD"/>
    <w:rsid w:val="0E2826F4"/>
    <w:rsid w:val="10303AE2"/>
    <w:rsid w:val="143B603E"/>
    <w:rsid w:val="150F1F18"/>
    <w:rsid w:val="177BB2A8"/>
    <w:rsid w:val="199926F8"/>
    <w:rsid w:val="1A4A39F2"/>
    <w:rsid w:val="1DF93765"/>
    <w:rsid w:val="1FEB3581"/>
    <w:rsid w:val="1FFF9D14"/>
    <w:rsid w:val="209D2717"/>
    <w:rsid w:val="20B47E17"/>
    <w:rsid w:val="22E12782"/>
    <w:rsid w:val="22E5139A"/>
    <w:rsid w:val="23E020C5"/>
    <w:rsid w:val="24F82B86"/>
    <w:rsid w:val="2B5123BA"/>
    <w:rsid w:val="2BEA6EF9"/>
    <w:rsid w:val="2BEDE9CF"/>
    <w:rsid w:val="2C167BD8"/>
    <w:rsid w:val="2CC633AC"/>
    <w:rsid w:val="2D4A5D8B"/>
    <w:rsid w:val="2DC10458"/>
    <w:rsid w:val="2FE34275"/>
    <w:rsid w:val="3188584E"/>
    <w:rsid w:val="31A631A1"/>
    <w:rsid w:val="31DB248F"/>
    <w:rsid w:val="34D643A8"/>
    <w:rsid w:val="351A6043"/>
    <w:rsid w:val="39E6508D"/>
    <w:rsid w:val="3A40479E"/>
    <w:rsid w:val="3B380B13"/>
    <w:rsid w:val="3C7544A7"/>
    <w:rsid w:val="42942D63"/>
    <w:rsid w:val="43A77473"/>
    <w:rsid w:val="43F32E64"/>
    <w:rsid w:val="49B40217"/>
    <w:rsid w:val="4DB373A9"/>
    <w:rsid w:val="4EC72D51"/>
    <w:rsid w:val="4EC74FF9"/>
    <w:rsid w:val="4EF03B93"/>
    <w:rsid w:val="4F1B6D3A"/>
    <w:rsid w:val="56080A00"/>
    <w:rsid w:val="590B1FC3"/>
    <w:rsid w:val="59716310"/>
    <w:rsid w:val="5B9E711E"/>
    <w:rsid w:val="5D4D4958"/>
    <w:rsid w:val="5E056FE7"/>
    <w:rsid w:val="5E657B00"/>
    <w:rsid w:val="5F72CC6B"/>
    <w:rsid w:val="5FCE306B"/>
    <w:rsid w:val="61AD160F"/>
    <w:rsid w:val="65113D22"/>
    <w:rsid w:val="68725304"/>
    <w:rsid w:val="6B74520C"/>
    <w:rsid w:val="6D162FB8"/>
    <w:rsid w:val="6DBE720C"/>
    <w:rsid w:val="6FD20682"/>
    <w:rsid w:val="70D251A8"/>
    <w:rsid w:val="737F73DD"/>
    <w:rsid w:val="75061B64"/>
    <w:rsid w:val="78BC253A"/>
    <w:rsid w:val="79370B13"/>
    <w:rsid w:val="79EF4482"/>
    <w:rsid w:val="7A230AC3"/>
    <w:rsid w:val="7B35042F"/>
    <w:rsid w:val="7B784E3E"/>
    <w:rsid w:val="7E572BBB"/>
    <w:rsid w:val="7E6873EC"/>
    <w:rsid w:val="7E99641E"/>
    <w:rsid w:val="7FFA4884"/>
    <w:rsid w:val="B2EF6392"/>
    <w:rsid w:val="B49D2B0D"/>
    <w:rsid w:val="BECFAE7A"/>
    <w:rsid w:val="BFFF0A87"/>
    <w:rsid w:val="BFFF4F35"/>
    <w:rsid w:val="CEBD8F4D"/>
    <w:rsid w:val="EB7C607F"/>
    <w:rsid w:val="EFB7CBCB"/>
    <w:rsid w:val="FD472D42"/>
    <w:rsid w:val="FDF20608"/>
    <w:rsid w:val="FEFFA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仿宋"/>
      <w:kern w:val="2"/>
      <w:sz w:val="30"/>
      <w:szCs w:val="30"/>
      <w:lang w:val="en-US" w:eastAsia="zh-CN" w:bidi="ar-SA"/>
    </w:rPr>
  </w:style>
  <w:style w:type="paragraph" w:styleId="2">
    <w:name w:val="heading 2"/>
    <w:basedOn w:val="1"/>
    <w:next w:val="1"/>
    <w:qFormat/>
    <w:uiPriority w:val="99"/>
    <w:pPr>
      <w:adjustRightInd w:val="0"/>
      <w:snapToGrid w:val="0"/>
      <w:spacing w:line="560" w:lineRule="exact"/>
      <w:ind w:firstLine="643" w:firstLineChars="200"/>
      <w:outlineLvl w:val="1"/>
    </w:pPr>
    <w:rPr>
      <w:rFonts w:ascii="楷体_GB2312" w:hAnsi="黑体" w:eastAsia="楷体_GB2312"/>
      <w:b/>
      <w:bCs/>
      <w:color w:val="000000"/>
      <w:sz w:val="32"/>
      <w:szCs w:val="32"/>
      <w:shd w:val="clear" w:color="auto" w:fill="FFFFFF"/>
    </w:rPr>
  </w:style>
  <w:style w:type="paragraph" w:styleId="3">
    <w:name w:val="heading 3"/>
    <w:basedOn w:val="1"/>
    <w:next w:val="1"/>
    <w:unhideWhenUsed/>
    <w:qFormat/>
    <w:uiPriority w:val="0"/>
    <w:pPr>
      <w:spacing w:beforeAutospacing="0" w:afterAutospacing="0"/>
      <w:jc w:val="left"/>
      <w:outlineLvl w:val="2"/>
    </w:pPr>
    <w:rPr>
      <w:rFonts w:hint="eastAsia" w:ascii="宋体" w:hAnsi="宋体" w:eastAsia="仿宋_GB2312" w:cs="宋体"/>
      <w:b/>
      <w:bCs/>
      <w:kern w:val="0"/>
      <w:szCs w:val="27"/>
      <w:lang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Salutation"/>
    <w:basedOn w:val="1"/>
    <w:next w:val="1"/>
    <w:qFormat/>
    <w:uiPriority w:val="0"/>
  </w:style>
  <w:style w:type="paragraph" w:styleId="6">
    <w:name w:val="Body Text"/>
    <w:basedOn w:val="1"/>
    <w:next w:val="7"/>
    <w:qFormat/>
    <w:uiPriority w:val="0"/>
    <w:pPr>
      <w:spacing w:before="0" w:after="140" w:line="276" w:lineRule="auto"/>
    </w:pPr>
  </w:style>
  <w:style w:type="paragraph" w:styleId="7">
    <w:name w:val="Body Text First Indent"/>
    <w:basedOn w:val="6"/>
    <w:qFormat/>
    <w:uiPriority w:val="99"/>
    <w:pPr>
      <w:ind w:firstLine="420" w:firstLineChars="100"/>
    </w:pPr>
    <w:rPr>
      <w:rFonts w:ascii="仿宋_GB2312" w:eastAsia="仿宋_GB2312"/>
    </w:rPr>
  </w:style>
  <w:style w:type="paragraph" w:styleId="8">
    <w:name w:val="footer"/>
    <w:basedOn w:val="1"/>
    <w:next w:val="1"/>
    <w:qFormat/>
    <w:uiPriority w:val="0"/>
    <w:pPr>
      <w:widowControl w:val="0"/>
      <w:tabs>
        <w:tab w:val="center" w:pos="4153"/>
        <w:tab w:val="right" w:pos="8306"/>
      </w:tabs>
      <w:snapToGrid w:val="0"/>
      <w:jc w:val="left"/>
    </w:pPr>
    <w:rPr>
      <w:rFonts w:ascii="Times New Roman" w:hAnsi="Times New Roman" w:eastAsia="仿宋_GB2312" w:cs="仿宋"/>
      <w:kern w:val="2"/>
      <w:sz w:val="18"/>
      <w:szCs w:val="30"/>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5">
    <w:name w:val="目录 11"/>
    <w:next w:val="1"/>
    <w:qFormat/>
    <w:uiPriority w:val="0"/>
    <w:pPr>
      <w:wordWrap w:val="0"/>
      <w:jc w:val="both"/>
    </w:pPr>
    <w:rPr>
      <w:rFonts w:ascii="Times New Roman" w:hAnsi="Times New Roman" w:eastAsia="宋体" w:cs="黑体"/>
      <w:sz w:val="21"/>
      <w:szCs w:val="22"/>
      <w:lang w:val="en-US" w:eastAsia="zh-CN" w:bidi="ar-SA"/>
    </w:rPr>
  </w:style>
  <w:style w:type="paragraph" w:customStyle="1" w:styleId="16">
    <w:name w:val="正文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2705</Words>
  <Characters>2782</Characters>
  <Lines>0</Lines>
  <Paragraphs>0</Paragraphs>
  <TotalTime>32</TotalTime>
  <ScaleCrop>false</ScaleCrop>
  <LinksUpToDate>false</LinksUpToDate>
  <CharactersWithSpaces>2806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2025-07-28T21:03:00Z</dcterms:created>
  <dc:creator>86138</dc:creator>
  <cp:lastModifiedBy>UOS</cp:lastModifiedBy>
  <cp:lastPrinted>2025-09-16T09:17:00Z</cp:lastPrinted>
  <dcterms:modified xsi:type="dcterms:W3CDTF">2026-03-03T14:57:51Z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eyJoZGlkIjoiMTkyZDEwNmUzNzFkYzE0NzBhZDUxMTNhM2IwZmY4MTAiLCJ1c2VySWQiOiI1MTAxMzIxODIifQ==</vt:lpwstr>
  </property>
  <property fmtid="{D5CDD505-2E9C-101B-9397-08002B2CF9AE}" pid="4" name="ICV">
    <vt:lpwstr>7640ACD08D3A9A6AC78A376901B30FAC_43</vt:lpwstr>
  </property>
</Properties>
</file>