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hAnsi="黑体" w:eastAsia="方正小标宋_GBK"/>
          <w:b w:val="0"/>
          <w:bCs w:val="0"/>
          <w:sz w:val="44"/>
          <w:szCs w:val="44"/>
        </w:rPr>
      </w:pPr>
      <w:bookmarkStart w:id="0" w:name="_GoBack"/>
      <w:r>
        <w:rPr>
          <w:rFonts w:hint="eastAsia" w:ascii="方正小标宋_GBK" w:hAnsi="黑体" w:eastAsia="方正小标宋_GBK"/>
          <w:b w:val="0"/>
          <w:bCs w:val="0"/>
          <w:sz w:val="44"/>
          <w:szCs w:val="44"/>
        </w:rPr>
        <w:t>密云区“十五五”时期城市管理发展规划</w:t>
      </w:r>
    </w:p>
    <w:p>
      <w:pPr>
        <w:spacing w:line="520" w:lineRule="exact"/>
        <w:jc w:val="center"/>
        <w:rPr>
          <w:rFonts w:hint="eastAsia" w:ascii="方正小标宋_GBK" w:hAnsi="黑体" w:eastAsia="方正小标宋_GBK"/>
          <w:b w:val="0"/>
          <w:bCs w:val="0"/>
          <w:sz w:val="44"/>
          <w:szCs w:val="44"/>
        </w:rPr>
      </w:pPr>
      <w:r>
        <w:rPr>
          <w:rFonts w:hint="eastAsia" w:ascii="方正小标宋_GBK" w:hAnsi="黑体" w:eastAsia="方正小标宋_GBK"/>
          <w:b w:val="0"/>
          <w:bCs w:val="0"/>
          <w:sz w:val="44"/>
          <w:szCs w:val="44"/>
        </w:rPr>
        <w:t>编制说明</w:t>
      </w:r>
    </w:p>
    <w:bookmarkEnd w:id="0"/>
    <w:p>
      <w:pPr>
        <w:spacing w:line="52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密云区城市管理委员会</w:t>
      </w:r>
    </w:p>
    <w:p>
      <w:pPr>
        <w:spacing w:line="52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（2026年3月）</w:t>
      </w:r>
    </w:p>
    <w:p>
      <w:pPr>
        <w:pStyle w:val="6"/>
        <w:shd w:val="clear" w:color="auto" w:fill="FFFFFF"/>
        <w:spacing w:before="0" w:beforeAutospacing="0" w:after="0" w:afterAutospacing="0" w:line="520" w:lineRule="exact"/>
        <w:ind w:firstLine="960" w:firstLineChars="300"/>
        <w:jc w:val="both"/>
        <w:rPr>
          <w:rFonts w:hint="eastAsia" w:ascii="黑体" w:hAnsi="黑体" w:eastAsia="黑体"/>
          <w:sz w:val="32"/>
          <w:szCs w:val="32"/>
        </w:rPr>
      </w:pPr>
      <w:r>
        <w:rPr>
          <w:rFonts w:hint="eastAsia" w:ascii="黑体" w:hAnsi="黑体" w:eastAsia="黑体"/>
          <w:sz w:val="32"/>
          <w:szCs w:val="32"/>
        </w:rPr>
        <w:t>一、编制背景</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五五”时期是密云区深入践行习近平生态文明思想，落实首都城市战略定位，推动高质量发展的关键时期，也是推进城市治理体系和治理能力现代化的重要窗口期。科学编制和有效实施“十五五”规划具有十分重要的意义。</w:t>
      </w:r>
    </w:p>
    <w:p>
      <w:pPr>
        <w:spacing w:line="52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《密云区“十五五”时期城市管理发展规划》是密云区</w:t>
      </w:r>
      <w:r>
        <w:rPr>
          <w:rFonts w:hint="eastAsia" w:ascii="仿宋_GB2312" w:hAnsi="仿宋" w:eastAsia="仿宋_GB2312"/>
          <w:sz w:val="32"/>
          <w:szCs w:val="32"/>
        </w:rPr>
        <w:t>“十五五”时期国民经济和社会发展的专项规划之一，是密云区“十五五”时期城市精细化治理、城市更新行动、韧性城市建设和</w:t>
      </w:r>
      <w:r>
        <w:rPr>
          <w:rFonts w:hint="eastAsia" w:ascii="仿宋_GB2312" w:hAnsi="仿宋" w:eastAsia="仿宋_GB2312"/>
          <w:sz w:val="32"/>
          <w:szCs w:val="32"/>
          <w:highlight w:val="none"/>
        </w:rPr>
        <w:t>智慧城管体系建设</w:t>
      </w:r>
      <w:r>
        <w:rPr>
          <w:rFonts w:hint="eastAsia" w:ascii="仿宋_GB2312" w:hAnsi="仿宋" w:eastAsia="仿宋_GB2312"/>
          <w:sz w:val="32"/>
          <w:szCs w:val="32"/>
        </w:rPr>
        <w:t>的</w:t>
      </w:r>
      <w:r>
        <w:rPr>
          <w:rFonts w:hint="eastAsia" w:ascii="仿宋_GB2312" w:hAnsi="仿宋" w:eastAsia="仿宋_GB2312"/>
          <w:color w:val="auto"/>
          <w:sz w:val="32"/>
          <w:szCs w:val="32"/>
          <w:highlight w:val="none"/>
        </w:rPr>
        <w:t>顶层设计</w:t>
      </w:r>
      <w:r>
        <w:rPr>
          <w:rFonts w:hint="eastAsia" w:ascii="仿宋_GB2312" w:hAnsi="仿宋" w:eastAsia="仿宋_GB2312"/>
          <w:sz w:val="32"/>
          <w:szCs w:val="32"/>
        </w:rPr>
        <w:t>，也是推动密云区实现生态、经济、社会协调可持续发展的重要抓手</w:t>
      </w:r>
      <w:r>
        <w:rPr>
          <w:rFonts w:hint="eastAsia" w:ascii="仿宋" w:hAnsi="仿宋" w:eastAsia="仿宋"/>
          <w:sz w:val="32"/>
        </w:rPr>
        <w:t>。</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为充分利用社会研究力量合作开展规划编制，根据《密云区“十五五”规划编制工作方案》相关规定，密云区</w:t>
      </w:r>
      <w:r>
        <w:rPr>
          <w:rFonts w:hint="eastAsia" w:ascii="CESI仿宋-GB2312" w:hAnsi="CESI仿宋-GB2312" w:eastAsia="CESI仿宋-GB2312" w:cs="CESI仿宋-GB2312"/>
          <w:sz w:val="32"/>
          <w:szCs w:val="32"/>
        </w:rPr>
        <w:t>城市管理委员会</w:t>
      </w:r>
      <w:r>
        <w:rPr>
          <w:rFonts w:hint="eastAsia" w:ascii="仿宋_GB2312" w:hAnsi="黑体" w:eastAsia="仿宋_GB2312"/>
          <w:sz w:val="32"/>
          <w:szCs w:val="32"/>
        </w:rPr>
        <w:t>配合区发改委通过公开招募，遴选出中咨海外咨询有限公司，作为该项目的合作编制单位。</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二、编制过程</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本规划在编制过程中严格遵循《北京城市总体规划（2016年—2035年）》《北京市密云区国民经济和社会发展第十五个五年规划纲要》《密云分区规划（国土空间规划）（2017年—2035年）》等上位规划要求。</w:t>
      </w:r>
    </w:p>
    <w:p>
      <w:pPr>
        <w:spacing w:line="520" w:lineRule="exact"/>
        <w:ind w:firstLine="640" w:firstLineChars="200"/>
        <w:rPr>
          <w:rFonts w:hint="eastAsia" w:ascii="仿宋_GB2312" w:hAnsi="黑体" w:eastAsia="仿宋_GB2312"/>
          <w:color w:val="auto"/>
          <w:sz w:val="32"/>
          <w:szCs w:val="32"/>
          <w:highlight w:val="none"/>
        </w:rPr>
      </w:pPr>
      <w:r>
        <w:rPr>
          <w:rFonts w:hint="eastAsia" w:ascii="仿宋_GB2312" w:hAnsi="黑体" w:eastAsia="仿宋_GB2312"/>
          <w:sz w:val="32"/>
          <w:szCs w:val="32"/>
        </w:rPr>
        <w:t>自2025年4月启动编制工作以来，广泛征求了相关委办局、各镇街的意见，</w:t>
      </w:r>
      <w:r>
        <w:rPr>
          <w:rFonts w:hint="eastAsia" w:ascii="仿宋_GB2312" w:hAnsi="黑体" w:eastAsia="仿宋_GB2312"/>
          <w:color w:val="auto"/>
          <w:sz w:val="32"/>
          <w:szCs w:val="32"/>
          <w:highlight w:val="none"/>
        </w:rPr>
        <w:t>通过了</w:t>
      </w:r>
      <w:r>
        <w:rPr>
          <w:rFonts w:hint="eastAsia" w:ascii="仿宋_GB2312" w:hAnsi="黑体" w:eastAsia="仿宋_GB2312"/>
          <w:color w:val="auto"/>
          <w:sz w:val="32"/>
          <w:szCs w:val="32"/>
          <w:highlight w:val="none"/>
          <w:lang w:eastAsia="zh-CN"/>
        </w:rPr>
        <w:t>委内电、气、热、市容环境等行业管理科室审核</w:t>
      </w:r>
      <w:r>
        <w:rPr>
          <w:rFonts w:hint="eastAsia" w:ascii="仿宋_GB2312" w:hAnsi="黑体" w:eastAsia="仿宋_GB2312"/>
          <w:color w:val="auto"/>
          <w:sz w:val="32"/>
          <w:szCs w:val="32"/>
          <w:highlight w:val="none"/>
        </w:rPr>
        <w:t>，</w:t>
      </w:r>
      <w:r>
        <w:rPr>
          <w:rFonts w:hint="eastAsia" w:ascii="仿宋_GB2312" w:hAnsi="黑体" w:eastAsia="仿宋_GB2312"/>
          <w:color w:val="auto"/>
          <w:sz w:val="32"/>
          <w:szCs w:val="32"/>
          <w:highlight w:val="none"/>
          <w:lang w:eastAsia="zh-CN"/>
        </w:rPr>
        <w:t>按照各</w:t>
      </w:r>
      <w:r>
        <w:rPr>
          <w:rFonts w:hint="eastAsia" w:ascii="仿宋_GB2312" w:hAnsi="黑体" w:eastAsia="仿宋_GB2312"/>
          <w:color w:val="auto"/>
          <w:sz w:val="32"/>
          <w:szCs w:val="32"/>
          <w:highlight w:val="none"/>
        </w:rPr>
        <w:t>部门意见对规划内容进行修改完善后，形成规划</w:t>
      </w:r>
      <w:r>
        <w:rPr>
          <w:rFonts w:hint="eastAsia" w:ascii="仿宋_GB2312" w:hAnsi="黑体" w:eastAsia="仿宋_GB2312"/>
          <w:color w:val="auto"/>
          <w:sz w:val="32"/>
          <w:szCs w:val="32"/>
          <w:highlight w:val="none"/>
          <w:lang w:eastAsia="zh-CN"/>
        </w:rPr>
        <w:t>阶段性</w:t>
      </w:r>
      <w:r>
        <w:rPr>
          <w:rFonts w:hint="eastAsia" w:ascii="仿宋_GB2312" w:hAnsi="黑体" w:eastAsia="仿宋_GB2312"/>
          <w:color w:val="auto"/>
          <w:sz w:val="32"/>
          <w:szCs w:val="32"/>
          <w:highlight w:val="none"/>
        </w:rPr>
        <w:t>成果稿。</w:t>
      </w:r>
    </w:p>
    <w:p>
      <w:pPr>
        <w:pStyle w:val="6"/>
        <w:shd w:val="clear" w:color="auto" w:fill="FFFFFF"/>
        <w:spacing w:before="0" w:beforeAutospacing="0" w:after="0" w:afterAutospacing="0" w:line="520" w:lineRule="exact"/>
        <w:ind w:firstLine="640" w:firstLineChars="200"/>
        <w:jc w:val="both"/>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规划</w:t>
      </w:r>
      <w:r>
        <w:rPr>
          <w:rFonts w:ascii="黑体" w:hAnsi="黑体" w:eastAsia="黑体"/>
          <w:sz w:val="32"/>
          <w:szCs w:val="32"/>
        </w:rPr>
        <w:t>框架</w:t>
      </w:r>
    </w:p>
    <w:p>
      <w:pPr>
        <w:spacing w:line="520" w:lineRule="exact"/>
        <w:ind w:firstLine="640" w:firstLineChars="200"/>
        <w:rPr>
          <w:rFonts w:hint="eastAsia" w:ascii="仿宋_GB2312" w:hAnsi="黑体" w:eastAsia="仿宋_GB2312"/>
          <w:bCs/>
          <w:sz w:val="32"/>
          <w:szCs w:val="32"/>
        </w:rPr>
      </w:pPr>
      <w:r>
        <w:rPr>
          <w:rFonts w:hint="eastAsia" w:ascii="仿宋_GB2312" w:hAnsi="黑体" w:eastAsia="仿宋_GB2312"/>
          <w:sz w:val="32"/>
          <w:szCs w:val="32"/>
        </w:rPr>
        <w:t>《密云区“十五五”时期城市管理发展规划》主要包括七部分内容，分别是</w:t>
      </w:r>
      <w:r>
        <w:rPr>
          <w:rFonts w:hint="eastAsia" w:ascii="仿宋_GB2312" w:hAnsi="黑体" w:eastAsia="仿宋_GB2312"/>
          <w:bCs/>
          <w:sz w:val="32"/>
          <w:szCs w:val="32"/>
        </w:rPr>
        <w:t>第一部分（规划基础）、第二部分（工作回顾）、第三部分（发展形势）、第四部分（发展思路与目标）、第五部分（主要任务）、第六部分（实施保障）和第七部分（项目汇总）。本规划从基础设施保障能力、城乡环境整体品质、城市运行管理效能、民生服务供给能力、城市治理体系建设、灾后恢复重建六个方面提出城市管理的发展目标，从交通设施、市政设施、环卫管理、环境整治、安全韧性、管理机制、灾后重建七个方面制定了未来五年我区城市管理的主要任务，并提出具体可实施项目。</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总体目标</w:t>
      </w:r>
    </w:p>
    <w:p>
      <w:pPr>
        <w:pStyle w:val="11"/>
        <w:keepNext w:val="0"/>
        <w:keepLines w:val="0"/>
        <w:pageBreakBefore w:val="0"/>
        <w:widowControl w:val="0"/>
        <w:kinsoku/>
        <w:wordWrap/>
        <w:overflowPunct/>
        <w:topLinePunct w:val="0"/>
        <w:autoSpaceDE/>
        <w:autoSpaceDN/>
        <w:bidi w:val="0"/>
        <w:adjustRightInd w:val="0"/>
        <w:snapToGrid/>
        <w:spacing w:line="520" w:lineRule="exact"/>
        <w:ind w:firstLine="640"/>
        <w:textAlignment w:val="baseline"/>
        <w:rPr>
          <w:rFonts w:hint="eastAsia" w:ascii="仿宋_GB2312" w:hAnsi="黑体" w:eastAsia="仿宋_GB2312" w:cs="黑体"/>
          <w:bCs/>
          <w:kern w:val="2"/>
          <w:sz w:val="32"/>
          <w:szCs w:val="32"/>
          <w:lang w:val="en-US" w:eastAsia="zh-CN" w:bidi="ar-SA"/>
        </w:rPr>
      </w:pPr>
      <w:r>
        <w:rPr>
          <w:rFonts w:hint="eastAsia" w:ascii="仿宋_GB2312" w:hAnsi="黑体" w:eastAsia="仿宋_GB2312" w:cs="黑体"/>
          <w:bCs/>
          <w:kern w:val="2"/>
          <w:sz w:val="32"/>
          <w:szCs w:val="32"/>
          <w:lang w:val="en-US" w:eastAsia="zh-CN" w:bidi="ar-SA"/>
        </w:rPr>
        <w:t>《密云区“十五五”时期城市管理发展规划》深入贯彻中央城市工作会议精神，全面落实习近平总书记对北京重要讲话精神，牢记习近平总书记重要回信嘱托，立足密云区生态涵养区功能定位，牢固树立“以水为大、以水为先、以水为底线”发展理念，全面实施“以水润城、以水兴业、以水富民”发展战略，持续提升城市运行保障能力和综合治理水平。到“十五五”末期，逐步形成一条以生态优先为底色、以项目落地为支撑、以精细治理为特征、以韧性安全为导向的城市管理路径，把密云打造为守好密云水库、打好生态牌、走好高质量发展之路的“三好生”。</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主要内容</w:t>
      </w:r>
    </w:p>
    <w:p>
      <w:pPr>
        <w:spacing w:line="520" w:lineRule="exact"/>
        <w:ind w:firstLine="640" w:firstLineChars="200"/>
        <w:rPr>
          <w:rFonts w:hint="eastAsia" w:ascii="仿宋_GB2312" w:hAnsi="黑体" w:eastAsia="仿宋_GB2312"/>
          <w:sz w:val="32"/>
          <w:szCs w:val="32"/>
        </w:rPr>
      </w:pPr>
      <w:r>
        <w:rPr>
          <w:rFonts w:ascii="仿宋_GB2312" w:hAnsi="黑体" w:eastAsia="仿宋_GB2312"/>
          <w:sz w:val="32"/>
          <w:szCs w:val="32"/>
        </w:rPr>
        <w:t>本规划主要内容</w:t>
      </w:r>
      <w:r>
        <w:rPr>
          <w:rFonts w:hint="eastAsia" w:ascii="仿宋_GB2312" w:hAnsi="黑体" w:eastAsia="仿宋_GB2312"/>
          <w:sz w:val="32"/>
          <w:szCs w:val="32"/>
        </w:rPr>
        <w:t>包括交通设施、市政设施、环卫管理、环境整治、安全韧性、管理机制、灾后重建七个方面。</w:t>
      </w:r>
    </w:p>
    <w:p>
      <w:pPr>
        <w:numPr>
          <w:ilvl w:val="0"/>
          <w:numId w:val="1"/>
        </w:numPr>
        <w:spacing w:line="520" w:lineRule="exact"/>
        <w:rPr>
          <w:rFonts w:hint="eastAsia" w:ascii="楷体_GB2312" w:hAnsi="黑体" w:eastAsia="楷体_GB2312"/>
          <w:b/>
          <w:bCs/>
          <w:sz w:val="32"/>
          <w:szCs w:val="32"/>
        </w:rPr>
      </w:pPr>
      <w:r>
        <w:rPr>
          <w:rFonts w:hint="eastAsia" w:ascii="楷体_GB2312" w:hAnsi="黑体" w:eastAsia="楷体_GB2312"/>
          <w:b/>
          <w:bCs/>
          <w:sz w:val="32"/>
          <w:szCs w:val="32"/>
        </w:rPr>
        <w:t>持续推进交通设施建设，构建高效便捷出行体系</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立足密云新城功能完善与怀柔科学城东区创新发展需求，围绕“优化路网结构、提升通行效率”主线，系统推进城市道路网络贯通和交通设施配套建设，着力破解新城交通拥堵与重点功能区配套不足等突出问题，加快构建便捷顺畅、融合协同、绿色集约的一体化综合交通体系，为区域高质量发展和城市安全高效运行提供有力支撑。</w:t>
      </w:r>
    </w:p>
    <w:p>
      <w:pPr>
        <w:numPr>
          <w:ilvl w:val="0"/>
          <w:numId w:val="1"/>
        </w:numPr>
        <w:spacing w:line="520" w:lineRule="exact"/>
        <w:rPr>
          <w:rFonts w:hint="eastAsia" w:ascii="楷体_GB2312" w:hAnsi="黑体" w:eastAsia="楷体_GB2312"/>
          <w:b/>
          <w:bCs/>
          <w:sz w:val="32"/>
          <w:szCs w:val="32"/>
        </w:rPr>
      </w:pPr>
      <w:r>
        <w:rPr>
          <w:rFonts w:hint="eastAsia" w:ascii="楷体_GB2312" w:hAnsi="黑体" w:eastAsia="楷体_GB2312"/>
          <w:b/>
          <w:bCs/>
          <w:sz w:val="32"/>
          <w:szCs w:val="32"/>
        </w:rPr>
        <w:t>加快推进市政设施升级，夯实城市运行基础支撑</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聚焦城市生命线系统安全与韧性提升，统筹推进供热系统精细化管理、燃气管网安全升级和电网智能化建设三大重点工程，加强密云新城老旧设施更新与怀柔科学城东区高标准设施建设协同，突出智能监测覆盖和管网风险防控，持续夯实城市安全稳定运行基础，支撑生态涵养区绿色发展和科学城创新能级跃升。</w:t>
      </w:r>
    </w:p>
    <w:p>
      <w:pPr>
        <w:numPr>
          <w:ilvl w:val="0"/>
          <w:numId w:val="1"/>
        </w:numPr>
        <w:spacing w:line="520" w:lineRule="exact"/>
        <w:rPr>
          <w:rFonts w:hint="eastAsia" w:ascii="楷体_GB2312" w:hAnsi="黑体" w:eastAsia="楷体_GB2312"/>
          <w:b/>
          <w:bCs/>
          <w:sz w:val="32"/>
          <w:szCs w:val="32"/>
        </w:rPr>
      </w:pPr>
      <w:r>
        <w:rPr>
          <w:rFonts w:hint="eastAsia" w:ascii="楷体_GB2312" w:hAnsi="黑体" w:eastAsia="楷体_GB2312"/>
          <w:b/>
          <w:bCs/>
          <w:sz w:val="32"/>
          <w:szCs w:val="32"/>
        </w:rPr>
        <w:t>提升环卫精细管理能力，打造清洁有序环境格局</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紧扣首都水源保护地生态安全和高品质城市环境要求，以垃圾分类精细治理、公厕服务网络优化和道路深度保洁为重点，统筹推进密云新城环卫设施提质升级与怀柔科学城东区高标准建设。坚持作业标准化、设施集约化、管理智能化方向，系统提升城市环境治理能力，持续推进“无废城市”建设，巩固“绿水青山”生态优势，全面提升城市宜居宜业品质。</w:t>
      </w:r>
    </w:p>
    <w:p>
      <w:pPr>
        <w:numPr>
          <w:ilvl w:val="0"/>
          <w:numId w:val="1"/>
        </w:numPr>
        <w:spacing w:line="520" w:lineRule="exact"/>
        <w:rPr>
          <w:rFonts w:hint="eastAsia" w:ascii="楷体_GB2312" w:hAnsi="黑体" w:eastAsia="楷体_GB2312"/>
          <w:b/>
          <w:bCs/>
          <w:sz w:val="32"/>
          <w:szCs w:val="32"/>
        </w:rPr>
      </w:pPr>
      <w:r>
        <w:rPr>
          <w:rFonts w:hint="eastAsia" w:ascii="楷体_GB2312" w:hAnsi="黑体" w:eastAsia="楷体_GB2312"/>
          <w:b/>
          <w:bCs/>
          <w:sz w:val="32"/>
          <w:szCs w:val="32"/>
        </w:rPr>
        <w:t>推动景观环境提质升级，塑造特色城市风貌</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依托密云“山水融城”的独特禀赋，坚持“特色化、精细化、人文化”导向，系统实施特色景观节点塑造、街巷环境品质提升、照明安全节能管理和户外广告减量提质四大行动，深度融入长城文化、水库文化和生态文化基因，着力构建显山露水、文景交融、气质鲜明的城市风貌体系，全面提升城市形象辨识度和空间品质。</w:t>
      </w:r>
    </w:p>
    <w:p>
      <w:pPr>
        <w:numPr>
          <w:ilvl w:val="0"/>
          <w:numId w:val="1"/>
        </w:numPr>
        <w:spacing w:line="520" w:lineRule="exact"/>
        <w:rPr>
          <w:rFonts w:hint="eastAsia" w:ascii="楷体_GB2312" w:hAnsi="黑体" w:eastAsia="楷体_GB2312"/>
          <w:b/>
          <w:bCs/>
          <w:sz w:val="32"/>
          <w:szCs w:val="32"/>
        </w:rPr>
      </w:pPr>
      <w:r>
        <w:rPr>
          <w:rFonts w:hint="eastAsia" w:ascii="楷体_GB2312" w:hAnsi="黑体" w:eastAsia="楷体_GB2312"/>
          <w:b/>
          <w:bCs/>
          <w:sz w:val="32"/>
          <w:szCs w:val="32"/>
        </w:rPr>
        <w:t>加强城市运行安全管理，构建安全韧性体系</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围绕“全周期、全要素、全链条”风险防控要求，以地下管线系统治理和应急管理能力提升为重点，统筹推进密云新城历史隐患整治与怀柔科学城东区高韧性基础设施建设。强化跨部门协同联动和预案实战演练，全面提升极端天气、重大活动和突发事件应对能力，持续夯实城市安全运行底座，构建安全可靠、韧性充足的城市运行体系。</w:t>
      </w:r>
    </w:p>
    <w:p>
      <w:pPr>
        <w:numPr>
          <w:ilvl w:val="0"/>
          <w:numId w:val="1"/>
        </w:numPr>
        <w:spacing w:line="520" w:lineRule="exact"/>
        <w:rPr>
          <w:rFonts w:hint="eastAsia" w:ascii="楷体_GB2312" w:hAnsi="黑体" w:eastAsia="楷体_GB2312"/>
          <w:b/>
          <w:bCs/>
          <w:sz w:val="32"/>
          <w:szCs w:val="32"/>
        </w:rPr>
      </w:pPr>
      <w:r>
        <w:rPr>
          <w:rFonts w:hint="eastAsia" w:ascii="楷体_GB2312" w:hAnsi="黑体" w:eastAsia="楷体_GB2312"/>
          <w:b/>
          <w:bCs/>
          <w:sz w:val="32"/>
          <w:szCs w:val="32"/>
        </w:rPr>
        <w:t>创新城市管理模式机制，健全共建共治格局</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坚持以标准化、协同化、智慧化为路径，健全政策迭代和制度供给机制，深化“规划—建设—管理”全流程协同。依托数字赋能推动治理方式转型升级，着力构建运行高效、责任清晰、共建共享的城市管理体系，形成符合超大城市治理规律、彰显密云山水人文特质的现代化城市治理新格局。</w:t>
      </w:r>
    </w:p>
    <w:p>
      <w:pPr>
        <w:numPr>
          <w:ilvl w:val="0"/>
          <w:numId w:val="1"/>
        </w:numPr>
        <w:spacing w:line="520" w:lineRule="exact"/>
        <w:rPr>
          <w:rFonts w:hint="eastAsia" w:ascii="楷体_GB2312" w:hAnsi="黑体" w:eastAsia="楷体_GB2312"/>
          <w:b/>
          <w:bCs/>
          <w:sz w:val="32"/>
          <w:szCs w:val="32"/>
        </w:rPr>
      </w:pPr>
      <w:r>
        <w:rPr>
          <w:rFonts w:hint="eastAsia" w:ascii="楷体_GB2312" w:hAnsi="黑体" w:eastAsia="楷体_GB2312"/>
          <w:b/>
          <w:bCs/>
          <w:sz w:val="32"/>
          <w:szCs w:val="32"/>
        </w:rPr>
        <w:t>科学开展灾后恢复重建，提升设施系统韧性</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按照“一年基本恢复、三年全面提升、长远高质量发展”的总体思路，坚持恢复重建与能力提升并重、工程修复与系统韧性同步推进，统筹实施交通、市政、环卫和环境等重点领域灾后恢复重建任务，全面提升城市基础设施抗风险能力和安全保障水平，加快构建更具韧性的城市运行体系。</w:t>
      </w:r>
    </w:p>
    <w:p>
      <w:pPr>
        <w:kinsoku w:val="0"/>
        <w:overflowPunct w:val="0"/>
        <w:spacing w:line="52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六、实施保障</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密云区“十五五”时期城市管理发展规划》主要提出4条促进规划落实的具体保障措施：一是强化组织领导，健全协同推进机制；二是强化项目管理，夯实项目落地基础；三是拓宽资金渠道，保障项目建设投入；四是加强宣传引导，营造良好社会氛围。</w:t>
      </w:r>
    </w:p>
    <w:sectPr>
      <w:footerReference r:id="rId5" w:type="default"/>
      <w:footerReference r:id="rId6" w:type="even"/>
      <w:pgSz w:w="11906" w:h="16838"/>
      <w:pgMar w:top="2098" w:right="1531" w:bottom="1985"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8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- 1 -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- 2 -</w:t>
    </w:r>
    <w:r>
      <w:rPr>
        <w:rFonts w:ascii="宋体" w:hAnsi="宋体"/>
        <w:sz w:val="28"/>
        <w:szCs w:val="28"/>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442D41"/>
    <w:multiLevelType w:val="multilevel"/>
    <w:tmpl w:val="53442D41"/>
    <w:lvl w:ilvl="0" w:tentative="0">
      <w:start w:val="1"/>
      <w:numFmt w:val="chineseCountingThousand"/>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52166F"/>
    <w:rsid w:val="000020E2"/>
    <w:rsid w:val="00003EFC"/>
    <w:rsid w:val="00034BFA"/>
    <w:rsid w:val="00037636"/>
    <w:rsid w:val="00040E6A"/>
    <w:rsid w:val="000444F8"/>
    <w:rsid w:val="00045F91"/>
    <w:rsid w:val="00056C75"/>
    <w:rsid w:val="00056EFB"/>
    <w:rsid w:val="000644C4"/>
    <w:rsid w:val="00065FA3"/>
    <w:rsid w:val="00085492"/>
    <w:rsid w:val="000906FB"/>
    <w:rsid w:val="000A59B5"/>
    <w:rsid w:val="000B26A4"/>
    <w:rsid w:val="000B4C8C"/>
    <w:rsid w:val="000D06A9"/>
    <w:rsid w:val="000F6AA1"/>
    <w:rsid w:val="00122F25"/>
    <w:rsid w:val="00145A5C"/>
    <w:rsid w:val="001544AB"/>
    <w:rsid w:val="00154D3E"/>
    <w:rsid w:val="00160F28"/>
    <w:rsid w:val="00177848"/>
    <w:rsid w:val="00177C4E"/>
    <w:rsid w:val="00195C55"/>
    <w:rsid w:val="001D042E"/>
    <w:rsid w:val="001D59B3"/>
    <w:rsid w:val="001E0102"/>
    <w:rsid w:val="001E4642"/>
    <w:rsid w:val="001F4DDA"/>
    <w:rsid w:val="001F753B"/>
    <w:rsid w:val="002163D2"/>
    <w:rsid w:val="00217BFA"/>
    <w:rsid w:val="002211EF"/>
    <w:rsid w:val="00224805"/>
    <w:rsid w:val="002447A6"/>
    <w:rsid w:val="002503AE"/>
    <w:rsid w:val="002505D6"/>
    <w:rsid w:val="0026696B"/>
    <w:rsid w:val="00274538"/>
    <w:rsid w:val="00281795"/>
    <w:rsid w:val="002B3DFB"/>
    <w:rsid w:val="002D0187"/>
    <w:rsid w:val="002E361A"/>
    <w:rsid w:val="002E4760"/>
    <w:rsid w:val="002E5C27"/>
    <w:rsid w:val="00300EB2"/>
    <w:rsid w:val="003273E3"/>
    <w:rsid w:val="00365339"/>
    <w:rsid w:val="0037045E"/>
    <w:rsid w:val="00375D6C"/>
    <w:rsid w:val="0038027F"/>
    <w:rsid w:val="003A132C"/>
    <w:rsid w:val="003A519B"/>
    <w:rsid w:val="003D25A2"/>
    <w:rsid w:val="00406FA9"/>
    <w:rsid w:val="00423EF2"/>
    <w:rsid w:val="00445B3B"/>
    <w:rsid w:val="0046041A"/>
    <w:rsid w:val="00485EED"/>
    <w:rsid w:val="004E088D"/>
    <w:rsid w:val="004E4909"/>
    <w:rsid w:val="005048FF"/>
    <w:rsid w:val="005129BA"/>
    <w:rsid w:val="00514B2A"/>
    <w:rsid w:val="0052166F"/>
    <w:rsid w:val="00534EE1"/>
    <w:rsid w:val="00544062"/>
    <w:rsid w:val="005A11AE"/>
    <w:rsid w:val="005B3025"/>
    <w:rsid w:val="005F4226"/>
    <w:rsid w:val="006062EA"/>
    <w:rsid w:val="00620731"/>
    <w:rsid w:val="00651D58"/>
    <w:rsid w:val="00654461"/>
    <w:rsid w:val="00655B23"/>
    <w:rsid w:val="006639D0"/>
    <w:rsid w:val="006956E7"/>
    <w:rsid w:val="00696589"/>
    <w:rsid w:val="00697CA0"/>
    <w:rsid w:val="006A6EB5"/>
    <w:rsid w:val="006B346B"/>
    <w:rsid w:val="006D18C1"/>
    <w:rsid w:val="006E028B"/>
    <w:rsid w:val="006E3E6C"/>
    <w:rsid w:val="006F463E"/>
    <w:rsid w:val="006F5820"/>
    <w:rsid w:val="00707264"/>
    <w:rsid w:val="00721343"/>
    <w:rsid w:val="00722426"/>
    <w:rsid w:val="0073051A"/>
    <w:rsid w:val="00754445"/>
    <w:rsid w:val="007544F4"/>
    <w:rsid w:val="00763DEB"/>
    <w:rsid w:val="00766C1C"/>
    <w:rsid w:val="00771733"/>
    <w:rsid w:val="00772006"/>
    <w:rsid w:val="00773856"/>
    <w:rsid w:val="0079102E"/>
    <w:rsid w:val="007C7D0A"/>
    <w:rsid w:val="007D4626"/>
    <w:rsid w:val="007E1EFD"/>
    <w:rsid w:val="007E7CB8"/>
    <w:rsid w:val="00801CAD"/>
    <w:rsid w:val="008026C8"/>
    <w:rsid w:val="00803E7D"/>
    <w:rsid w:val="00816009"/>
    <w:rsid w:val="008404FE"/>
    <w:rsid w:val="0088083D"/>
    <w:rsid w:val="00881FE9"/>
    <w:rsid w:val="00883E78"/>
    <w:rsid w:val="008D2A94"/>
    <w:rsid w:val="008E1ADA"/>
    <w:rsid w:val="008F6E26"/>
    <w:rsid w:val="00904E36"/>
    <w:rsid w:val="00914E10"/>
    <w:rsid w:val="009178B4"/>
    <w:rsid w:val="009258EA"/>
    <w:rsid w:val="0094461C"/>
    <w:rsid w:val="009457CF"/>
    <w:rsid w:val="009837B2"/>
    <w:rsid w:val="009910D8"/>
    <w:rsid w:val="00994FD3"/>
    <w:rsid w:val="009B6B4A"/>
    <w:rsid w:val="009B6D6D"/>
    <w:rsid w:val="009D16A1"/>
    <w:rsid w:val="009E1435"/>
    <w:rsid w:val="00A20389"/>
    <w:rsid w:val="00A21684"/>
    <w:rsid w:val="00A36D88"/>
    <w:rsid w:val="00A419AF"/>
    <w:rsid w:val="00A469A6"/>
    <w:rsid w:val="00A65583"/>
    <w:rsid w:val="00A767AC"/>
    <w:rsid w:val="00A82E7B"/>
    <w:rsid w:val="00AB2159"/>
    <w:rsid w:val="00AB604C"/>
    <w:rsid w:val="00AD1473"/>
    <w:rsid w:val="00AE3D6D"/>
    <w:rsid w:val="00AE772C"/>
    <w:rsid w:val="00AF2DB7"/>
    <w:rsid w:val="00B10FAD"/>
    <w:rsid w:val="00B36693"/>
    <w:rsid w:val="00B622D7"/>
    <w:rsid w:val="00B96D22"/>
    <w:rsid w:val="00BA1FB1"/>
    <w:rsid w:val="00BB1773"/>
    <w:rsid w:val="00BD65FA"/>
    <w:rsid w:val="00BF4728"/>
    <w:rsid w:val="00C357B5"/>
    <w:rsid w:val="00C62361"/>
    <w:rsid w:val="00C64DBD"/>
    <w:rsid w:val="00C9045F"/>
    <w:rsid w:val="00CC4BA0"/>
    <w:rsid w:val="00CC5216"/>
    <w:rsid w:val="00CD61DD"/>
    <w:rsid w:val="00D22DA0"/>
    <w:rsid w:val="00D24B53"/>
    <w:rsid w:val="00D417BB"/>
    <w:rsid w:val="00D538AE"/>
    <w:rsid w:val="00D53F25"/>
    <w:rsid w:val="00D604C6"/>
    <w:rsid w:val="00D61A6A"/>
    <w:rsid w:val="00D836D8"/>
    <w:rsid w:val="00D853E7"/>
    <w:rsid w:val="00DA56EB"/>
    <w:rsid w:val="00DB4E1A"/>
    <w:rsid w:val="00DD3DC8"/>
    <w:rsid w:val="00DD5A08"/>
    <w:rsid w:val="00DD5BBE"/>
    <w:rsid w:val="00DE0495"/>
    <w:rsid w:val="00DE4E59"/>
    <w:rsid w:val="00E41A14"/>
    <w:rsid w:val="00E51385"/>
    <w:rsid w:val="00E55B28"/>
    <w:rsid w:val="00E85899"/>
    <w:rsid w:val="00E860C1"/>
    <w:rsid w:val="00E91A46"/>
    <w:rsid w:val="00E954C0"/>
    <w:rsid w:val="00EB2A62"/>
    <w:rsid w:val="00ED4ED2"/>
    <w:rsid w:val="00ED6B00"/>
    <w:rsid w:val="00EE0027"/>
    <w:rsid w:val="00EE02DB"/>
    <w:rsid w:val="00EE5604"/>
    <w:rsid w:val="00F14CE4"/>
    <w:rsid w:val="00F167C1"/>
    <w:rsid w:val="00F174F9"/>
    <w:rsid w:val="00F25FF9"/>
    <w:rsid w:val="00F378D2"/>
    <w:rsid w:val="00F43BB4"/>
    <w:rsid w:val="00F64CBF"/>
    <w:rsid w:val="00F707D0"/>
    <w:rsid w:val="00F83309"/>
    <w:rsid w:val="00F83642"/>
    <w:rsid w:val="00F910A2"/>
    <w:rsid w:val="00F91C7E"/>
    <w:rsid w:val="00F92C02"/>
    <w:rsid w:val="00F93F4E"/>
    <w:rsid w:val="00FB4162"/>
    <w:rsid w:val="00FB5489"/>
    <w:rsid w:val="00FC4E26"/>
    <w:rsid w:val="00FC6750"/>
    <w:rsid w:val="01E536A3"/>
    <w:rsid w:val="02E63EB1"/>
    <w:rsid w:val="03DA3A73"/>
    <w:rsid w:val="047734AE"/>
    <w:rsid w:val="057C458C"/>
    <w:rsid w:val="06C21F62"/>
    <w:rsid w:val="06EF024B"/>
    <w:rsid w:val="07227161"/>
    <w:rsid w:val="079847C3"/>
    <w:rsid w:val="082D477F"/>
    <w:rsid w:val="0836522E"/>
    <w:rsid w:val="086D1C1D"/>
    <w:rsid w:val="08A57D81"/>
    <w:rsid w:val="092060D7"/>
    <w:rsid w:val="09DE12BD"/>
    <w:rsid w:val="0B920001"/>
    <w:rsid w:val="0C990F5E"/>
    <w:rsid w:val="0DB42778"/>
    <w:rsid w:val="0DCE06E2"/>
    <w:rsid w:val="0E65743A"/>
    <w:rsid w:val="0EA663E2"/>
    <w:rsid w:val="0F0457B8"/>
    <w:rsid w:val="0F8B619E"/>
    <w:rsid w:val="100F1B21"/>
    <w:rsid w:val="111E6113"/>
    <w:rsid w:val="117D2509"/>
    <w:rsid w:val="11D932E3"/>
    <w:rsid w:val="128942A6"/>
    <w:rsid w:val="131C1863"/>
    <w:rsid w:val="140C63AC"/>
    <w:rsid w:val="14504F4B"/>
    <w:rsid w:val="14550FA2"/>
    <w:rsid w:val="148D0491"/>
    <w:rsid w:val="159025EB"/>
    <w:rsid w:val="16294189"/>
    <w:rsid w:val="1704745C"/>
    <w:rsid w:val="17AD5B43"/>
    <w:rsid w:val="17E76355"/>
    <w:rsid w:val="17F824D4"/>
    <w:rsid w:val="18EE3489"/>
    <w:rsid w:val="19CBDDBC"/>
    <w:rsid w:val="1A9E2958"/>
    <w:rsid w:val="1AA00072"/>
    <w:rsid w:val="1AA312EA"/>
    <w:rsid w:val="1B27406F"/>
    <w:rsid w:val="1B396DAD"/>
    <w:rsid w:val="1C62482B"/>
    <w:rsid w:val="1C8447A1"/>
    <w:rsid w:val="1DBF366D"/>
    <w:rsid w:val="1F646453"/>
    <w:rsid w:val="1FA417F3"/>
    <w:rsid w:val="20764283"/>
    <w:rsid w:val="20B47A07"/>
    <w:rsid w:val="21012667"/>
    <w:rsid w:val="21DD4500"/>
    <w:rsid w:val="22955530"/>
    <w:rsid w:val="24A11954"/>
    <w:rsid w:val="24C11F63"/>
    <w:rsid w:val="24CE3F1C"/>
    <w:rsid w:val="24FE5555"/>
    <w:rsid w:val="25814DB0"/>
    <w:rsid w:val="25A3377A"/>
    <w:rsid w:val="25B07665"/>
    <w:rsid w:val="25E64528"/>
    <w:rsid w:val="26EB4E31"/>
    <w:rsid w:val="26F9507E"/>
    <w:rsid w:val="276911C3"/>
    <w:rsid w:val="27EC6C90"/>
    <w:rsid w:val="289539C5"/>
    <w:rsid w:val="28D31A42"/>
    <w:rsid w:val="29BE0558"/>
    <w:rsid w:val="29D2353B"/>
    <w:rsid w:val="29E04F2F"/>
    <w:rsid w:val="2A7D79CA"/>
    <w:rsid w:val="2AB8703E"/>
    <w:rsid w:val="2B5D1E4E"/>
    <w:rsid w:val="2C201EBD"/>
    <w:rsid w:val="2D4D4585"/>
    <w:rsid w:val="2D9A34EC"/>
    <w:rsid w:val="2E3D1649"/>
    <w:rsid w:val="2E7535D7"/>
    <w:rsid w:val="2EA7679B"/>
    <w:rsid w:val="2F8E109A"/>
    <w:rsid w:val="300D04B4"/>
    <w:rsid w:val="300F41C0"/>
    <w:rsid w:val="308976BD"/>
    <w:rsid w:val="31A021B3"/>
    <w:rsid w:val="3226102C"/>
    <w:rsid w:val="3242600F"/>
    <w:rsid w:val="33C917BB"/>
    <w:rsid w:val="35496C22"/>
    <w:rsid w:val="355B673A"/>
    <w:rsid w:val="35697C5C"/>
    <w:rsid w:val="35913AD6"/>
    <w:rsid w:val="35FA6B8B"/>
    <w:rsid w:val="361F0DCF"/>
    <w:rsid w:val="36E13EC7"/>
    <w:rsid w:val="378C01EF"/>
    <w:rsid w:val="37947F0C"/>
    <w:rsid w:val="379664A4"/>
    <w:rsid w:val="37EA7ADF"/>
    <w:rsid w:val="380A5B5E"/>
    <w:rsid w:val="38814A7C"/>
    <w:rsid w:val="38AC4893"/>
    <w:rsid w:val="38AF16F6"/>
    <w:rsid w:val="39A01CB7"/>
    <w:rsid w:val="39EE3AEB"/>
    <w:rsid w:val="39EF2C79"/>
    <w:rsid w:val="3BC36E28"/>
    <w:rsid w:val="3BD41328"/>
    <w:rsid w:val="3BEB4872"/>
    <w:rsid w:val="3D64611A"/>
    <w:rsid w:val="3F07315D"/>
    <w:rsid w:val="3F6A6D47"/>
    <w:rsid w:val="3FA122C4"/>
    <w:rsid w:val="3FAD6E46"/>
    <w:rsid w:val="401C2DA3"/>
    <w:rsid w:val="426E7453"/>
    <w:rsid w:val="434E1409"/>
    <w:rsid w:val="442268CC"/>
    <w:rsid w:val="44465216"/>
    <w:rsid w:val="44622C9A"/>
    <w:rsid w:val="44940234"/>
    <w:rsid w:val="45142178"/>
    <w:rsid w:val="45E03F21"/>
    <w:rsid w:val="47C000D5"/>
    <w:rsid w:val="480B7378"/>
    <w:rsid w:val="48512371"/>
    <w:rsid w:val="48577745"/>
    <w:rsid w:val="485E2C88"/>
    <w:rsid w:val="4951222E"/>
    <w:rsid w:val="496218FC"/>
    <w:rsid w:val="498544D0"/>
    <w:rsid w:val="4A212602"/>
    <w:rsid w:val="4B242D3A"/>
    <w:rsid w:val="4C270AD0"/>
    <w:rsid w:val="4CC10144"/>
    <w:rsid w:val="4DFB4CE7"/>
    <w:rsid w:val="4E352B80"/>
    <w:rsid w:val="4E392B78"/>
    <w:rsid w:val="4FC42D09"/>
    <w:rsid w:val="501F1ADF"/>
    <w:rsid w:val="505347E6"/>
    <w:rsid w:val="50824D97"/>
    <w:rsid w:val="50DF455C"/>
    <w:rsid w:val="51603326"/>
    <w:rsid w:val="51763EB4"/>
    <w:rsid w:val="519A497C"/>
    <w:rsid w:val="51C51CED"/>
    <w:rsid w:val="526B3C20"/>
    <w:rsid w:val="534A530A"/>
    <w:rsid w:val="54141B00"/>
    <w:rsid w:val="543E2D06"/>
    <w:rsid w:val="54C62685"/>
    <w:rsid w:val="55D716EB"/>
    <w:rsid w:val="570A25E6"/>
    <w:rsid w:val="570F011F"/>
    <w:rsid w:val="5727031D"/>
    <w:rsid w:val="573B4F1F"/>
    <w:rsid w:val="58612C20"/>
    <w:rsid w:val="58A345F9"/>
    <w:rsid w:val="59F2579F"/>
    <w:rsid w:val="5A8320FB"/>
    <w:rsid w:val="5B531E0A"/>
    <w:rsid w:val="5BBF9D4A"/>
    <w:rsid w:val="5C3F7FF7"/>
    <w:rsid w:val="5D307AD1"/>
    <w:rsid w:val="5EAA2D5A"/>
    <w:rsid w:val="5EEF04B7"/>
    <w:rsid w:val="5FA90683"/>
    <w:rsid w:val="5FB02C19"/>
    <w:rsid w:val="61B60183"/>
    <w:rsid w:val="61FC7532"/>
    <w:rsid w:val="62EE5180"/>
    <w:rsid w:val="63455DEB"/>
    <w:rsid w:val="635C457F"/>
    <w:rsid w:val="65310DCC"/>
    <w:rsid w:val="65780BAA"/>
    <w:rsid w:val="663C04F0"/>
    <w:rsid w:val="66A37E40"/>
    <w:rsid w:val="66EA2866"/>
    <w:rsid w:val="6821018E"/>
    <w:rsid w:val="69A74B82"/>
    <w:rsid w:val="69B76475"/>
    <w:rsid w:val="69BB1E8F"/>
    <w:rsid w:val="6A694C3A"/>
    <w:rsid w:val="6B375DAF"/>
    <w:rsid w:val="6C450359"/>
    <w:rsid w:val="6CD31EB9"/>
    <w:rsid w:val="6CE147B4"/>
    <w:rsid w:val="6DD447E6"/>
    <w:rsid w:val="6DF55E69"/>
    <w:rsid w:val="6EB025E6"/>
    <w:rsid w:val="6F960F17"/>
    <w:rsid w:val="6FC600CC"/>
    <w:rsid w:val="70001D38"/>
    <w:rsid w:val="71414B30"/>
    <w:rsid w:val="71A33DAF"/>
    <w:rsid w:val="73676A91"/>
    <w:rsid w:val="73D93DA0"/>
    <w:rsid w:val="73F43AD8"/>
    <w:rsid w:val="751522D8"/>
    <w:rsid w:val="75DB6774"/>
    <w:rsid w:val="768B6DFF"/>
    <w:rsid w:val="77002DEC"/>
    <w:rsid w:val="77421696"/>
    <w:rsid w:val="777DAC7B"/>
    <w:rsid w:val="78AB4ADC"/>
    <w:rsid w:val="7A337DA8"/>
    <w:rsid w:val="7A891070"/>
    <w:rsid w:val="7B7F6446"/>
    <w:rsid w:val="7BD5250A"/>
    <w:rsid w:val="7BF10CA0"/>
    <w:rsid w:val="7CC518AC"/>
    <w:rsid w:val="7DB80856"/>
    <w:rsid w:val="7FE60F01"/>
    <w:rsid w:val="7FE6320E"/>
    <w:rsid w:val="8E5F717C"/>
    <w:rsid w:val="97F8D8F5"/>
    <w:rsid w:val="ACEF05CA"/>
    <w:rsid w:val="B7B36994"/>
    <w:rsid w:val="CEFF3EC7"/>
    <w:rsid w:val="CF7CF3B7"/>
    <w:rsid w:val="DEFF7521"/>
    <w:rsid w:val="EB2D3196"/>
    <w:rsid w:val="F76D8CD4"/>
    <w:rsid w:val="FEFF1791"/>
    <w:rsid w:val="FFFAA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unhideWhenUsed/>
    <w:qFormat/>
    <w:uiPriority w:val="0"/>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34"/>
    <w:pPr>
      <w:ind w:firstLine="420" w:firstLineChars="200"/>
    </w:pPr>
  </w:style>
  <w:style w:type="paragraph" w:customStyle="1" w:styleId="11">
    <w:name w:val="文本正文"/>
    <w:basedOn w:val="1"/>
    <w:link w:val="15"/>
    <w:qFormat/>
    <w:uiPriority w:val="0"/>
    <w:pPr>
      <w:adjustRightInd w:val="0"/>
      <w:spacing w:line="360" w:lineRule="auto"/>
      <w:ind w:firstLine="480" w:firstLineChars="200"/>
      <w:textAlignment w:val="baseline"/>
    </w:pPr>
    <w:rPr>
      <w:rFonts w:ascii="Arial" w:hAnsi="Arial" w:cs="Arial"/>
      <w:kern w:val="24"/>
      <w:sz w:val="24"/>
      <w:szCs w:val="20"/>
    </w:rPr>
  </w:style>
  <w:style w:type="paragraph" w:customStyle="1" w:styleId="12">
    <w:name w:val="2级标题"/>
    <w:basedOn w:val="1"/>
    <w:link w:val="16"/>
    <w:qFormat/>
    <w:uiPriority w:val="0"/>
    <w:pPr>
      <w:keepNext/>
      <w:keepLines/>
      <w:adjustRightInd w:val="0"/>
      <w:snapToGrid w:val="0"/>
      <w:spacing w:before="156" w:beforeLines="50" w:line="360" w:lineRule="auto"/>
      <w:textAlignment w:val="baseline"/>
      <w:outlineLvl w:val="1"/>
    </w:pPr>
    <w:rPr>
      <w:rFonts w:ascii="Arial" w:hAnsi="Arial" w:eastAsia="黑体" w:cs="Times New Roman"/>
      <w:b/>
      <w:kern w:val="24"/>
      <w:sz w:val="32"/>
      <w:szCs w:val="30"/>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文本正文 Char"/>
    <w:basedOn w:val="9"/>
    <w:link w:val="11"/>
    <w:qFormat/>
    <w:uiPriority w:val="0"/>
    <w:rPr>
      <w:rFonts w:ascii="Arial" w:hAnsi="Arial" w:cs="Arial"/>
      <w:kern w:val="24"/>
      <w:sz w:val="24"/>
    </w:rPr>
  </w:style>
  <w:style w:type="character" w:customStyle="1" w:styleId="16">
    <w:name w:val="2级标题 Char"/>
    <w:basedOn w:val="9"/>
    <w:link w:val="12"/>
    <w:qFormat/>
    <w:uiPriority w:val="0"/>
    <w:rPr>
      <w:rFonts w:ascii="Arial" w:hAnsi="Arial" w:eastAsia="黑体"/>
      <w:b/>
      <w:kern w:val="24"/>
      <w:sz w:val="32"/>
      <w:szCs w:val="30"/>
    </w:rPr>
  </w:style>
  <w:style w:type="character" w:customStyle="1" w:styleId="17">
    <w:name w:val="批注框文本 字符"/>
    <w:basedOn w:val="9"/>
    <w:link w:val="3"/>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364</Words>
  <Characters>2075</Characters>
  <Lines>17</Lines>
  <Paragraphs>4</Paragraphs>
  <TotalTime>66</TotalTime>
  <ScaleCrop>false</ScaleCrop>
  <LinksUpToDate>false</LinksUpToDate>
  <CharactersWithSpaces>2435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2021-04-20T17:42:00Z</dcterms:created>
  <dc:creator>905</dc:creator>
  <cp:lastModifiedBy>user</cp:lastModifiedBy>
  <cp:lastPrinted>2021-05-29T15:39:00Z</cp:lastPrinted>
  <dcterms:modified xsi:type="dcterms:W3CDTF">2026-03-02T13:04:49Z</dcterms:modified>
  <dc:title>《密云区“十四五”时期文化和生态旅游</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E1D2BF1DC28CF95C938AA26996DAFEBE</vt:lpwstr>
  </property>
</Properties>
</file>