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33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Times New Roman" w:hAnsi="Times New Roman" w:eastAsia="方正小标宋简体" w:cs="方正小标宋简体"/>
          <w:sz w:val="44"/>
          <w:szCs w:val="44"/>
        </w:rPr>
      </w:pPr>
      <w:bookmarkStart w:id="0" w:name="OLE_LINK5"/>
      <w:bookmarkStart w:id="1" w:name="OLE_LINK1"/>
      <w:r>
        <w:rPr>
          <w:rFonts w:hint="eastAsia" w:ascii="Times New Roman" w:hAnsi="Times New Roman" w:eastAsia="方正小标宋简体" w:cs="方正小标宋简体"/>
          <w:sz w:val="44"/>
          <w:szCs w:val="44"/>
        </w:rPr>
        <w:t>关于《石景山区“无废城市”建设工作方案</w:t>
      </w:r>
    </w:p>
    <w:p w14:paraId="6D509C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Times New Roman" w:hAnsi="Times New Roman" w:eastAsia="方正小标宋简体" w:cs="方正小标宋简体"/>
          <w:sz w:val="44"/>
          <w:szCs w:val="44"/>
        </w:rPr>
      </w:pPr>
      <w:bookmarkStart w:id="4" w:name="_GoBack"/>
      <w:bookmarkEnd w:id="4"/>
      <w:r>
        <w:rPr>
          <w:rFonts w:hint="eastAsia" w:ascii="Times New Roman" w:hAnsi="Times New Roman" w:eastAsia="方正小标宋简体" w:cs="方正小标宋简体"/>
          <w:sz w:val="44"/>
          <w:szCs w:val="44"/>
        </w:rPr>
        <w:t>（征求意见稿）》的起草说明</w:t>
      </w:r>
    </w:p>
    <w:bookmarkEnd w:id="0"/>
    <w:p w14:paraId="4880CBD6">
      <w:pPr>
        <w:spacing w:line="560" w:lineRule="exact"/>
        <w:rPr>
          <w:rFonts w:hint="eastAsia" w:ascii="Times New Roman" w:hAnsi="Times New Roman" w:eastAsia="仿宋_GB2312" w:cs="仿宋_GB2312"/>
          <w:sz w:val="32"/>
          <w:szCs w:val="32"/>
        </w:rPr>
      </w:pPr>
    </w:p>
    <w:p w14:paraId="1018B47A">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Times New Roman"/>
          <w:sz w:val="32"/>
          <w:szCs w:val="32"/>
        </w:rPr>
        <w:t>为贯彻落实《中共北京市委、北京市人民政府关于全面建设美丽北京加快推进人与自然和谐共生的现代化的实施意见》《北京市推进全域“无废城市”建设的工作方案》等相关工作要求，</w:t>
      </w:r>
      <w:r>
        <w:rPr>
          <w:rFonts w:hint="eastAsia" w:ascii="Times New Roman" w:hAnsi="Times New Roman" w:eastAsia="仿宋_GB2312" w:cs="仿宋_GB2312"/>
          <w:sz w:val="32"/>
          <w:szCs w:val="32"/>
        </w:rPr>
        <w:t>加快推进“无废”石景山建设，石景山区生态环境局牵头起草了《</w:t>
      </w:r>
      <w:bookmarkStart w:id="2" w:name="OLE_LINK2"/>
      <w:r>
        <w:rPr>
          <w:rFonts w:hint="eastAsia" w:ascii="Times New Roman" w:hAnsi="Times New Roman" w:eastAsia="仿宋_GB2312" w:cs="仿宋_GB2312"/>
          <w:sz w:val="32"/>
          <w:szCs w:val="32"/>
        </w:rPr>
        <w:t>石景山区“无废城市”建设工作方案（征求意见稿）</w:t>
      </w:r>
      <w:bookmarkEnd w:id="2"/>
      <w:r>
        <w:rPr>
          <w:rFonts w:hint="eastAsia" w:ascii="Times New Roman" w:hAnsi="Times New Roman" w:eastAsia="仿宋_GB2312" w:cs="仿宋_GB2312"/>
          <w:sz w:val="32"/>
          <w:szCs w:val="32"/>
        </w:rPr>
        <w:t>》。现将相关情况说明如下：</w:t>
      </w:r>
    </w:p>
    <w:p w14:paraId="1ED056BB">
      <w:pPr>
        <w:spacing w:line="560" w:lineRule="exact"/>
        <w:ind w:firstLine="640" w:firstLineChars="200"/>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一、目标任务</w:t>
      </w:r>
    </w:p>
    <w:p w14:paraId="69AED5DE">
      <w:pPr>
        <w:pStyle w:val="11"/>
        <w:rPr>
          <w:rFonts w:cs="仿宋_GB2312"/>
          <w:szCs w:val="32"/>
        </w:rPr>
      </w:pPr>
      <w:r>
        <w:rPr>
          <w:rFonts w:hint="eastAsia" w:cs="仿宋_GB2312"/>
          <w:szCs w:val="32"/>
        </w:rPr>
        <w:t>1.2027年，石景山区“无废城市指数”达到全市前列，一般工业固废产生强度低于0.01吨/万元，一般工业固废综合利用率达到99%以上，危险废物填埋率低于30%，生活垃圾回收利用率达到45%，建筑垃圾资源化利用率达到90%以上，“无废城市”建设取得明显成效</w:t>
      </w:r>
    </w:p>
    <w:p w14:paraId="6FFC4B04">
      <w:pPr>
        <w:pStyle w:val="11"/>
        <w:rPr>
          <w:rFonts w:cs="仿宋_GB2312"/>
          <w:szCs w:val="32"/>
        </w:rPr>
      </w:pPr>
      <w:r>
        <w:rPr>
          <w:rFonts w:hint="eastAsia" w:cs="仿宋_GB2312"/>
          <w:szCs w:val="32"/>
        </w:rPr>
        <w:t>2.2030年，“无废城市指数”达到91以上，保持前列。一般工业固废产生强度维持较低水平，固体废物基本零填埋，固体废物产生强度、循环利用水平居本市前列</w:t>
      </w:r>
    </w:p>
    <w:p w14:paraId="62139362">
      <w:pPr>
        <w:pStyle w:val="11"/>
        <w:rPr>
          <w:rFonts w:hint="eastAsia" w:cs="仿宋_GB2312"/>
          <w:szCs w:val="32"/>
        </w:rPr>
      </w:pPr>
      <w:r>
        <w:rPr>
          <w:rFonts w:hint="eastAsia" w:cs="仿宋_GB2312"/>
          <w:szCs w:val="32"/>
        </w:rPr>
        <w:t>3.2035年，建成“无废城市”。</w:t>
      </w:r>
    </w:p>
    <w:p w14:paraId="46322151">
      <w:pPr>
        <w:spacing w:line="560" w:lineRule="exact"/>
        <w:ind w:firstLine="640" w:firstLineChars="200"/>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二、主要内容</w:t>
      </w:r>
    </w:p>
    <w:p w14:paraId="0C34F014">
      <w:pPr>
        <w:spacing w:line="560" w:lineRule="exact"/>
        <w:ind w:firstLine="645"/>
        <w:rPr>
          <w:rFonts w:hint="eastAsia" w:ascii="Times New Roman" w:hAnsi="Times New Roman" w:eastAsia="仿宋_GB2312" w:cs="仿宋_GB2312"/>
          <w:kern w:val="0"/>
          <w:sz w:val="32"/>
          <w:szCs w:val="21"/>
        </w:rPr>
      </w:pPr>
      <w:r>
        <w:rPr>
          <w:rFonts w:hint="eastAsia" w:ascii="Times New Roman" w:hAnsi="Times New Roman" w:eastAsia="仿宋_GB2312" w:cs="仿宋_GB2312"/>
          <w:sz w:val="32"/>
          <w:szCs w:val="32"/>
        </w:rPr>
        <w:t>《石景山区“无废城市”建设工作方案（征求意见稿）》</w:t>
      </w:r>
      <w:r>
        <w:rPr>
          <w:rFonts w:hint="eastAsia" w:ascii="Times New Roman" w:hAnsi="Times New Roman" w:eastAsia="仿宋_GB2312" w:cs="仿宋_GB2312"/>
          <w:kern w:val="0"/>
          <w:sz w:val="32"/>
          <w:szCs w:val="21"/>
        </w:rPr>
        <w:t>包括加强一般工业固废综合利用、提升生活垃圾管理实效、强化建筑垃圾全过程治理、严密防控危险废物环境风险、完善其他固废资源化利用以及保障措施六个部分，共17项主要任务。</w:t>
      </w:r>
    </w:p>
    <w:p w14:paraId="65EAE5F6">
      <w:pPr>
        <w:snapToGrid w:val="0"/>
        <w:spacing w:line="560" w:lineRule="exact"/>
        <w:ind w:firstLine="640" w:firstLineChars="200"/>
        <w:rPr>
          <w:rFonts w:hint="eastAsia" w:ascii="Times New Roman" w:hAnsi="Times New Roman" w:eastAsia="仿宋_GB2312" w:cs="仿宋_GB2312"/>
          <w:kern w:val="0"/>
          <w:sz w:val="32"/>
          <w:szCs w:val="21"/>
        </w:rPr>
      </w:pPr>
      <w:r>
        <w:rPr>
          <w:rFonts w:hint="eastAsia" w:ascii="楷体_GB2312" w:hAnsi="Calibri" w:eastAsia="楷体_GB2312" w:cs="楷体_GB2312"/>
          <w:sz w:val="32"/>
          <w:szCs w:val="32"/>
        </w:rPr>
        <w:t>第一部分，加强一般工业固废综合利用</w:t>
      </w:r>
      <w:r>
        <w:rPr>
          <w:rFonts w:hint="eastAsia" w:ascii="Times New Roman" w:hAnsi="Times New Roman" w:eastAsia="仿宋_GB2312" w:cs="仿宋_GB2312"/>
          <w:kern w:val="0"/>
          <w:sz w:val="32"/>
          <w:szCs w:val="21"/>
        </w:rPr>
        <w:t>。</w:t>
      </w:r>
      <w:r>
        <w:rPr>
          <w:rFonts w:hint="eastAsia" w:ascii="Times New Roman" w:hAnsi="Times New Roman" w:eastAsia="仿宋_GB2312" w:cs="仿宋_GB2312"/>
          <w:b/>
          <w:bCs/>
          <w:kern w:val="0"/>
          <w:sz w:val="32"/>
          <w:szCs w:val="21"/>
        </w:rPr>
        <w:t>一是</w:t>
      </w:r>
      <w:r>
        <w:rPr>
          <w:rFonts w:hint="eastAsia" w:ascii="Times New Roman" w:hAnsi="Times New Roman" w:eastAsia="仿宋_GB2312" w:cs="仿宋_GB2312"/>
          <w:kern w:val="0"/>
          <w:sz w:val="32"/>
          <w:szCs w:val="21"/>
        </w:rPr>
        <w:t>引导源头减量，探索将一般工业固废减量化要求等纳入本区美丽园区、美丽行业建设相关导则中，实现“无废之美”</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打造无废示范，动首钢园先行先试。</w:t>
      </w:r>
      <w:r>
        <w:rPr>
          <w:rFonts w:hint="eastAsia" w:ascii="Times New Roman" w:hAnsi="Times New Roman" w:eastAsia="仿宋_GB2312" w:cs="仿宋_GB2312"/>
          <w:b/>
          <w:bCs/>
          <w:kern w:val="0"/>
          <w:sz w:val="32"/>
          <w:szCs w:val="21"/>
        </w:rPr>
        <w:t>三是</w:t>
      </w:r>
      <w:r>
        <w:rPr>
          <w:rFonts w:hint="eastAsia" w:ascii="Times New Roman" w:hAnsi="Times New Roman" w:eastAsia="仿宋_GB2312" w:cs="仿宋_GB2312"/>
          <w:kern w:val="0"/>
          <w:sz w:val="32"/>
          <w:szCs w:val="21"/>
        </w:rPr>
        <w:t>保持工业固废高位利用，动态保持一般工业固废能用尽、全量利用。</w:t>
      </w:r>
      <w:r>
        <w:rPr>
          <w:rFonts w:hint="eastAsia" w:ascii="Times New Roman" w:hAnsi="Times New Roman" w:eastAsia="仿宋_GB2312" w:cs="仿宋_GB2312"/>
          <w:b/>
          <w:bCs/>
          <w:kern w:val="0"/>
          <w:sz w:val="32"/>
          <w:szCs w:val="21"/>
        </w:rPr>
        <w:t>四是</w:t>
      </w:r>
      <w:r>
        <w:rPr>
          <w:rFonts w:hint="eastAsia" w:ascii="Times New Roman" w:hAnsi="Times New Roman" w:eastAsia="仿宋_GB2312" w:cs="仿宋_GB2312"/>
          <w:kern w:val="0"/>
          <w:sz w:val="32"/>
          <w:szCs w:val="21"/>
        </w:rPr>
        <w:t>强化综合管理，逐步推动本区工业企业100%实现工业固废电子台账管理。</w:t>
      </w:r>
    </w:p>
    <w:p w14:paraId="7F84FF21">
      <w:pPr>
        <w:widowControl/>
        <w:spacing w:line="560" w:lineRule="exact"/>
        <w:ind w:firstLine="640" w:firstLineChars="200"/>
        <w:jc w:val="left"/>
        <w:rPr>
          <w:rFonts w:hint="eastAsia" w:ascii="Times New Roman" w:hAnsi="Times New Roman" w:eastAsia="仿宋_GB2312" w:cs="仿宋_GB2312"/>
          <w:kern w:val="0"/>
          <w:sz w:val="32"/>
          <w:szCs w:val="21"/>
        </w:rPr>
      </w:pPr>
      <w:r>
        <w:rPr>
          <w:rFonts w:hint="eastAsia" w:ascii="楷体_GB2312" w:hAnsi="Calibri" w:eastAsia="楷体_GB2312" w:cs="楷体_GB2312"/>
          <w:sz w:val="32"/>
          <w:szCs w:val="32"/>
        </w:rPr>
        <w:t>第二部分，提升生活垃圾管理实效</w:t>
      </w:r>
      <w:r>
        <w:rPr>
          <w:rFonts w:hint="eastAsia" w:ascii="Times New Roman" w:hAnsi="Times New Roman" w:eastAsia="仿宋_GB2312" w:cs="仿宋_GB2312"/>
          <w:kern w:val="0"/>
          <w:sz w:val="32"/>
          <w:szCs w:val="21"/>
        </w:rPr>
        <w:t>。</w:t>
      </w:r>
      <w:r>
        <w:rPr>
          <w:rFonts w:hint="eastAsia" w:ascii="Times New Roman" w:hAnsi="Times New Roman" w:eastAsia="仿宋_GB2312" w:cs="仿宋_GB2312"/>
          <w:b/>
          <w:bCs/>
          <w:kern w:val="0"/>
          <w:sz w:val="32"/>
          <w:szCs w:val="21"/>
        </w:rPr>
        <w:t>一是</w:t>
      </w:r>
      <w:r>
        <w:rPr>
          <w:rFonts w:hint="eastAsia" w:ascii="Times New Roman" w:hAnsi="Times New Roman" w:eastAsia="仿宋_GB2312" w:cs="仿宋_GB2312"/>
          <w:kern w:val="0"/>
          <w:sz w:val="32"/>
          <w:szCs w:val="21"/>
        </w:rPr>
        <w:t>推广绿色生活，持续深入开展“光盘行动”、塑料污染治理等，推动生活领域垃圾减量化、资源化和无害化。</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全力提升生活垃圾分类品质，实现“一小区一方案”，科学谋划分类暂存体系。</w:t>
      </w:r>
      <w:r>
        <w:rPr>
          <w:rFonts w:hint="eastAsia" w:ascii="Times New Roman" w:hAnsi="Times New Roman" w:eastAsia="仿宋_GB2312" w:cs="仿宋_GB2312"/>
          <w:b/>
          <w:bCs/>
          <w:kern w:val="0"/>
          <w:sz w:val="32"/>
          <w:szCs w:val="21"/>
        </w:rPr>
        <w:t>三是</w:t>
      </w:r>
      <w:r>
        <w:rPr>
          <w:rFonts w:hint="eastAsia" w:ascii="Times New Roman" w:hAnsi="Times New Roman" w:eastAsia="仿宋_GB2312" w:cs="仿宋_GB2312"/>
          <w:kern w:val="0"/>
          <w:sz w:val="32"/>
          <w:szCs w:val="21"/>
        </w:rPr>
        <w:t>提高再生资源利用水平，实现智能回收机全区小区全覆盖。</w:t>
      </w:r>
      <w:r>
        <w:rPr>
          <w:rFonts w:hint="eastAsia" w:ascii="Times New Roman" w:hAnsi="Times New Roman" w:eastAsia="仿宋_GB2312" w:cs="仿宋_GB2312"/>
          <w:b/>
          <w:bCs/>
          <w:kern w:val="0"/>
          <w:sz w:val="32"/>
          <w:szCs w:val="21"/>
        </w:rPr>
        <w:t>四是</w:t>
      </w:r>
      <w:r>
        <w:rPr>
          <w:rFonts w:hint="eastAsia" w:ascii="Times New Roman" w:hAnsi="Times New Roman" w:eastAsia="仿宋_GB2312" w:cs="仿宋_GB2312"/>
          <w:kern w:val="0"/>
          <w:sz w:val="32"/>
          <w:szCs w:val="21"/>
        </w:rPr>
        <w:t>提升集中处理效能，推进实施生活垃圾数智化总量实时统计试点。实现厨余垃圾运输新能源化全替代。</w:t>
      </w:r>
    </w:p>
    <w:p w14:paraId="2C3CA35B">
      <w:pPr>
        <w:spacing w:line="560" w:lineRule="exact"/>
        <w:ind w:firstLine="645"/>
        <w:rPr>
          <w:rFonts w:hint="eastAsia" w:ascii="Times New Roman" w:hAnsi="Times New Roman" w:eastAsia="仿宋_GB2312" w:cs="仿宋_GB2312"/>
          <w:kern w:val="0"/>
          <w:sz w:val="32"/>
          <w:szCs w:val="21"/>
        </w:rPr>
      </w:pPr>
      <w:r>
        <w:rPr>
          <w:rFonts w:hint="eastAsia" w:ascii="楷体_GB2312" w:hAnsi="Calibri" w:eastAsia="楷体_GB2312" w:cs="楷体_GB2312"/>
          <w:sz w:val="32"/>
          <w:szCs w:val="32"/>
        </w:rPr>
        <w:t>第三部分，强化建筑垃圾全过程治理</w:t>
      </w:r>
      <w:r>
        <w:rPr>
          <w:rFonts w:hint="eastAsia" w:ascii="Times New Roman" w:hAnsi="Times New Roman" w:eastAsia="仿宋_GB2312" w:cs="仿宋_GB2312"/>
          <w:kern w:val="0"/>
          <w:sz w:val="32"/>
          <w:szCs w:val="21"/>
        </w:rPr>
        <w:t>。</w:t>
      </w:r>
      <w:bookmarkStart w:id="3" w:name="OLE_LINK3"/>
      <w:r>
        <w:rPr>
          <w:rFonts w:hint="eastAsia" w:ascii="Times New Roman" w:hAnsi="Times New Roman" w:eastAsia="仿宋_GB2312" w:cs="仿宋_GB2312"/>
          <w:b/>
          <w:bCs/>
          <w:kern w:val="0"/>
          <w:sz w:val="32"/>
          <w:szCs w:val="21"/>
        </w:rPr>
        <w:t>一是</w:t>
      </w:r>
      <w:bookmarkEnd w:id="3"/>
      <w:r>
        <w:rPr>
          <w:rFonts w:hint="eastAsia" w:ascii="Times New Roman" w:hAnsi="Times New Roman" w:eastAsia="仿宋_GB2312" w:cs="仿宋_GB2312"/>
          <w:kern w:val="0"/>
          <w:sz w:val="32"/>
          <w:szCs w:val="21"/>
        </w:rPr>
        <w:t>推广绿色施工，建立全过程绿色建造机制。</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加强闭环管理，强化全过程智能化、数字化精准计量与管控，开展建筑垃圾专项整治。</w:t>
      </w:r>
      <w:r>
        <w:rPr>
          <w:rFonts w:hint="eastAsia" w:ascii="Times New Roman" w:hAnsi="Times New Roman" w:eastAsia="仿宋_GB2312" w:cs="仿宋_GB2312"/>
          <w:b/>
          <w:bCs/>
          <w:kern w:val="0"/>
          <w:sz w:val="32"/>
          <w:szCs w:val="21"/>
        </w:rPr>
        <w:t>三是</w:t>
      </w:r>
      <w:r>
        <w:rPr>
          <w:rFonts w:hint="eastAsia" w:ascii="Times New Roman" w:hAnsi="Times New Roman" w:eastAsia="仿宋_GB2312" w:cs="仿宋_GB2312"/>
          <w:kern w:val="0"/>
          <w:sz w:val="32"/>
          <w:szCs w:val="21"/>
        </w:rPr>
        <w:t>推动资源化设施提升改造，保障建筑垃圾资源化处理能力与产生量基本匹配，打造绿色建筑垃圾循环利用示范项目。</w:t>
      </w:r>
    </w:p>
    <w:p w14:paraId="436F6347">
      <w:pPr>
        <w:spacing w:line="560" w:lineRule="exact"/>
        <w:ind w:firstLine="645"/>
        <w:rPr>
          <w:rFonts w:ascii="Times New Roman" w:hAnsi="Times New Roman" w:eastAsia="仿宋_GB2312" w:cs="仿宋_GB2312"/>
          <w:kern w:val="0"/>
          <w:sz w:val="32"/>
          <w:szCs w:val="21"/>
        </w:rPr>
      </w:pPr>
      <w:r>
        <w:rPr>
          <w:rFonts w:hint="eastAsia" w:ascii="楷体_GB2312" w:hAnsi="Calibri" w:eastAsia="楷体_GB2312" w:cs="楷体_GB2312"/>
          <w:sz w:val="32"/>
          <w:szCs w:val="32"/>
        </w:rPr>
        <w:t>第四部分，严密防控危险废物环境风险。</w:t>
      </w:r>
      <w:r>
        <w:rPr>
          <w:rFonts w:hint="eastAsia" w:ascii="Times New Roman" w:hAnsi="Times New Roman" w:eastAsia="仿宋_GB2312" w:cs="仿宋_GB2312"/>
          <w:b/>
          <w:bCs/>
          <w:kern w:val="0"/>
          <w:sz w:val="32"/>
          <w:szCs w:val="21"/>
        </w:rPr>
        <w:t>一是</w:t>
      </w:r>
      <w:r>
        <w:rPr>
          <w:rFonts w:hint="eastAsia" w:ascii="Times New Roman" w:hAnsi="Times New Roman" w:eastAsia="仿宋_GB2312" w:cs="仿宋_GB2312"/>
          <w:kern w:val="0"/>
          <w:sz w:val="32"/>
          <w:szCs w:val="21"/>
        </w:rPr>
        <w:t>降低填埋处置量占比，重点督促首钢集团积极打通危险废物非填埋路径。</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深化危险废物规范化环境管理。</w:t>
      </w:r>
      <w:r>
        <w:rPr>
          <w:rFonts w:hint="eastAsia" w:ascii="Times New Roman" w:hAnsi="Times New Roman" w:eastAsia="仿宋_GB2312" w:cs="仿宋_GB2312"/>
          <w:b/>
          <w:bCs/>
          <w:kern w:val="0"/>
          <w:sz w:val="32"/>
          <w:szCs w:val="21"/>
        </w:rPr>
        <w:t>三是</w:t>
      </w:r>
      <w:r>
        <w:rPr>
          <w:rFonts w:hint="eastAsia" w:ascii="Times New Roman" w:hAnsi="Times New Roman" w:eastAsia="仿宋_GB2312" w:cs="仿宋_GB2312"/>
          <w:kern w:val="0"/>
          <w:sz w:val="32"/>
          <w:szCs w:val="21"/>
        </w:rPr>
        <w:t>提升信息化管理水平，依托“城市大脑”等系统，探索开展危险废物产生端“五即一码”规范化试点工作，力争完成25个汽修行业和2个重点行业企业“五即一码”示范点建设。</w:t>
      </w:r>
    </w:p>
    <w:p w14:paraId="5BC3F205">
      <w:pPr>
        <w:spacing w:line="560" w:lineRule="exact"/>
        <w:ind w:firstLine="645"/>
        <w:rPr>
          <w:rFonts w:hint="eastAsia" w:ascii="Times New Roman" w:hAnsi="Times New Roman" w:eastAsia="仿宋_GB2312" w:cs="仿宋_GB2312"/>
          <w:kern w:val="0"/>
          <w:sz w:val="32"/>
          <w:szCs w:val="21"/>
        </w:rPr>
      </w:pPr>
      <w:r>
        <w:rPr>
          <w:rFonts w:hint="eastAsia" w:ascii="楷体_GB2312" w:hAnsi="Calibri" w:eastAsia="楷体_GB2312" w:cs="楷体_GB2312"/>
          <w:sz w:val="32"/>
          <w:szCs w:val="32"/>
        </w:rPr>
        <w:t>第五部分，完善其他固废资源化利用。</w:t>
      </w:r>
      <w:r>
        <w:rPr>
          <w:rFonts w:hint="eastAsia" w:ascii="Times New Roman" w:hAnsi="Times New Roman" w:eastAsia="仿宋_GB2312" w:cs="仿宋_GB2312"/>
          <w:b/>
          <w:bCs/>
          <w:kern w:val="0"/>
          <w:sz w:val="32"/>
          <w:szCs w:val="21"/>
        </w:rPr>
        <w:t>一是</w:t>
      </w:r>
      <w:r>
        <w:rPr>
          <w:rFonts w:hint="eastAsia" w:ascii="Times New Roman" w:hAnsi="Times New Roman" w:eastAsia="仿宋_GB2312" w:cs="仿宋_GB2312"/>
          <w:kern w:val="0"/>
          <w:sz w:val="32"/>
          <w:szCs w:val="21"/>
        </w:rPr>
        <w:t>推动园林绿化废弃物全量利用，完善园林绿化废弃物收集转运体系建设</w:t>
      </w:r>
      <w:r>
        <w:rPr>
          <w:rFonts w:hint="eastAsia" w:ascii="楷体_GB2312" w:hAnsi="Calibri" w:eastAsia="楷体_GB2312" w:cs="楷体_GB2312"/>
          <w:sz w:val="32"/>
          <w:szCs w:val="32"/>
        </w:rPr>
        <w:t>。</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强化污泥监督管理，落实污泥转运联单跟踪制度。</w:t>
      </w:r>
    </w:p>
    <w:p w14:paraId="7A160AAE">
      <w:pPr>
        <w:spacing w:line="560" w:lineRule="exact"/>
        <w:ind w:firstLine="645"/>
        <w:rPr>
          <w:rFonts w:hint="eastAsia" w:ascii="Times New Roman" w:hAnsi="Times New Roman" w:eastAsia="仿宋_GB2312" w:cs="仿宋_GB2312"/>
          <w:kern w:val="0"/>
          <w:sz w:val="32"/>
          <w:szCs w:val="21"/>
        </w:rPr>
      </w:pPr>
      <w:r>
        <w:rPr>
          <w:rFonts w:hint="eastAsia" w:ascii="楷体_GB2312" w:hAnsi="Calibri" w:eastAsia="楷体_GB2312" w:cs="楷体_GB2312"/>
          <w:sz w:val="32"/>
          <w:szCs w:val="32"/>
        </w:rPr>
        <w:t>第六部分，保障措施</w:t>
      </w:r>
      <w:r>
        <w:rPr>
          <w:rFonts w:hint="eastAsia" w:ascii="Times New Roman" w:hAnsi="Times New Roman" w:eastAsia="仿宋_GB2312" w:cs="仿宋_GB2312"/>
          <w:kern w:val="0"/>
          <w:sz w:val="32"/>
          <w:szCs w:val="21"/>
        </w:rPr>
        <w:t>。</w:t>
      </w:r>
      <w:r>
        <w:rPr>
          <w:rFonts w:hint="eastAsia" w:ascii="Times New Roman" w:hAnsi="Times New Roman" w:eastAsia="仿宋_GB2312" w:cs="仿宋_GB2312"/>
          <w:b/>
          <w:bCs/>
          <w:kern w:val="0"/>
          <w:sz w:val="32"/>
          <w:szCs w:val="21"/>
        </w:rPr>
        <w:t>一是</w:t>
      </w:r>
      <w:r>
        <w:rPr>
          <w:rFonts w:hint="eastAsia" w:ascii="Times New Roman" w:hAnsi="Times New Roman" w:eastAsia="仿宋_GB2312" w:cs="仿宋_GB2312"/>
          <w:kern w:val="0"/>
          <w:sz w:val="32"/>
          <w:szCs w:val="21"/>
        </w:rPr>
        <w:t>将“无废城市”建设纳入美丽石景山建设考核体系。</w:t>
      </w:r>
      <w:r>
        <w:rPr>
          <w:rFonts w:hint="eastAsia" w:ascii="Times New Roman" w:hAnsi="Times New Roman" w:eastAsia="仿宋_GB2312" w:cs="仿宋_GB2312"/>
          <w:b/>
          <w:bCs/>
          <w:kern w:val="0"/>
          <w:sz w:val="32"/>
          <w:szCs w:val="21"/>
        </w:rPr>
        <w:t>二是</w:t>
      </w:r>
      <w:r>
        <w:rPr>
          <w:rFonts w:hint="eastAsia" w:ascii="Times New Roman" w:hAnsi="Times New Roman" w:eastAsia="仿宋_GB2312" w:cs="仿宋_GB2312"/>
          <w:kern w:val="0"/>
          <w:sz w:val="32"/>
          <w:szCs w:val="21"/>
        </w:rPr>
        <w:t>着力推进数智化建设，构建监测数据自动汇集、建设成效动态核算的智慧管理机制。</w:t>
      </w:r>
      <w:r>
        <w:rPr>
          <w:rFonts w:hint="eastAsia" w:ascii="Times New Roman" w:hAnsi="Times New Roman" w:eastAsia="仿宋_GB2312" w:cs="仿宋_GB2312"/>
          <w:b/>
          <w:bCs/>
          <w:kern w:val="0"/>
          <w:sz w:val="32"/>
          <w:szCs w:val="21"/>
        </w:rPr>
        <w:t>三是</w:t>
      </w:r>
      <w:r>
        <w:rPr>
          <w:rFonts w:hint="eastAsia" w:ascii="Times New Roman" w:hAnsi="Times New Roman" w:eastAsia="仿宋_GB2312" w:cs="仿宋_GB2312"/>
          <w:kern w:val="0"/>
          <w:sz w:val="32"/>
          <w:szCs w:val="21"/>
        </w:rPr>
        <w:t>加大转移支付资金对无废城市建设相关项目、工程的支持力度。</w:t>
      </w:r>
      <w:r>
        <w:rPr>
          <w:rFonts w:hint="eastAsia" w:ascii="Times New Roman" w:hAnsi="Times New Roman" w:eastAsia="仿宋_GB2312" w:cs="仿宋_GB2312"/>
          <w:b/>
          <w:bCs/>
          <w:kern w:val="0"/>
          <w:sz w:val="32"/>
          <w:szCs w:val="21"/>
        </w:rPr>
        <w:t>四是</w:t>
      </w:r>
      <w:r>
        <w:rPr>
          <w:rFonts w:hint="eastAsia" w:ascii="Times New Roman" w:hAnsi="Times New Roman" w:eastAsia="仿宋_GB2312" w:cs="仿宋_GB2312"/>
          <w:kern w:val="0"/>
          <w:sz w:val="32"/>
          <w:szCs w:val="21"/>
        </w:rPr>
        <w:t>加强“无废”理念的宣传引导</w:t>
      </w:r>
      <w:bookmarkEnd w:id="1"/>
      <w:r>
        <w:rPr>
          <w:rFonts w:hint="eastAsia" w:ascii="Times New Roman" w:hAnsi="Times New Roman" w:eastAsia="仿宋_GB2312" w:cs="仿宋_GB2312"/>
          <w:kern w:val="0"/>
          <w:sz w:val="32"/>
          <w:szCs w:val="21"/>
        </w:rPr>
        <w:t>。</w:t>
      </w:r>
    </w:p>
    <w:p w14:paraId="3AF32A34">
      <w:pPr>
        <w:rPr>
          <w:rFonts w:hint="eastAsia"/>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8419">
    <w:pPr>
      <w:pStyle w:val="12"/>
      <w:wordWrap w:val="0"/>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0" r="0" b="7620"/>
              <wp:wrapNone/>
              <wp:docPr id="3" name="文本框 4"/>
              <wp:cNvGraphicFramePr/>
              <a:graphic xmlns:a="http://schemas.openxmlformats.org/drawingml/2006/main">
                <a:graphicData uri="http://schemas.microsoft.com/office/word/2010/wordprocessingShape">
                  <wps:wsp>
                    <wps:cNvSpPr txBox="1"/>
                    <wps:spPr>
                      <a:xfrm>
                        <a:off x="0" y="0"/>
                        <a:ext cx="800735" cy="230505"/>
                      </a:xfrm>
                      <a:prstGeom prst="rect">
                        <a:avLst/>
                      </a:prstGeom>
                      <a:noFill/>
                      <a:ln>
                        <a:noFill/>
                      </a:ln>
                      <a:effectLst/>
                    </wps:spPr>
                    <wps:txbx>
                      <w:txbxContent>
                        <w:p w14:paraId="1202B11E">
                          <w:pPr>
                            <w:pStyle w:val="12"/>
                            <w:wordWrap w:val="0"/>
                            <w:ind w:right="28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zvCR0QAAAAQBAAAPAAAAAAAAAAEAIAAA&#10;ACIAAABkcnMvZG93bnJldi54bWxQSwECFAAUAAAACACHTuJAZHfgfdoBAACwAwAADgAAAAAAAAAB&#10;ACAAAAAgAQAAZHJzL2Uyb0RvYy54bWxQSwUGAAAAAAYABgBZAQAAbAUAAAAA&#10;">
              <v:fill on="f" focussize="0,0"/>
              <v:stroke on="f"/>
              <v:imagedata o:title=""/>
              <o:lock v:ext="edit" aspectratio="f"/>
              <v:textbox inset="0mm,0mm,0mm,0mm" style="mso-fit-shape-to-text:t;">
                <w:txbxContent>
                  <w:p w14:paraId="1202B11E">
                    <w:pPr>
                      <w:pStyle w:val="12"/>
                      <w:wordWrap w:val="0"/>
                      <w:ind w:right="28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A3E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A7880"/>
    <w:multiLevelType w:val="multilevel"/>
    <w:tmpl w:val="61FA7880"/>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DE"/>
    <w:rsid w:val="000C2E4E"/>
    <w:rsid w:val="0011330D"/>
    <w:rsid w:val="0015552C"/>
    <w:rsid w:val="0017461A"/>
    <w:rsid w:val="001B4D8A"/>
    <w:rsid w:val="001B78EB"/>
    <w:rsid w:val="001D0E54"/>
    <w:rsid w:val="00256985"/>
    <w:rsid w:val="00257FBF"/>
    <w:rsid w:val="00271708"/>
    <w:rsid w:val="00284364"/>
    <w:rsid w:val="002C5E12"/>
    <w:rsid w:val="00347F0B"/>
    <w:rsid w:val="004D429F"/>
    <w:rsid w:val="00506DA2"/>
    <w:rsid w:val="005403C0"/>
    <w:rsid w:val="005573FF"/>
    <w:rsid w:val="00572C05"/>
    <w:rsid w:val="00575248"/>
    <w:rsid w:val="005B5C5B"/>
    <w:rsid w:val="005D48DF"/>
    <w:rsid w:val="00650B38"/>
    <w:rsid w:val="00686856"/>
    <w:rsid w:val="006B4A10"/>
    <w:rsid w:val="006C41ED"/>
    <w:rsid w:val="006D0BA5"/>
    <w:rsid w:val="006E6B8C"/>
    <w:rsid w:val="00772848"/>
    <w:rsid w:val="00785820"/>
    <w:rsid w:val="00790FF3"/>
    <w:rsid w:val="007C525C"/>
    <w:rsid w:val="007C5BEF"/>
    <w:rsid w:val="007E6194"/>
    <w:rsid w:val="00825B7F"/>
    <w:rsid w:val="008367E3"/>
    <w:rsid w:val="00871D01"/>
    <w:rsid w:val="00875E41"/>
    <w:rsid w:val="00893D56"/>
    <w:rsid w:val="008E353D"/>
    <w:rsid w:val="0091436D"/>
    <w:rsid w:val="00931C74"/>
    <w:rsid w:val="00943D6D"/>
    <w:rsid w:val="009B7F75"/>
    <w:rsid w:val="00A32DD3"/>
    <w:rsid w:val="00A53A6F"/>
    <w:rsid w:val="00B06D2E"/>
    <w:rsid w:val="00B60235"/>
    <w:rsid w:val="00B616FB"/>
    <w:rsid w:val="00BB1DBA"/>
    <w:rsid w:val="00C1032D"/>
    <w:rsid w:val="00C10CE5"/>
    <w:rsid w:val="00C67FDC"/>
    <w:rsid w:val="00CB29DE"/>
    <w:rsid w:val="00CC5B24"/>
    <w:rsid w:val="00CF1267"/>
    <w:rsid w:val="00D24230"/>
    <w:rsid w:val="00DB7D58"/>
    <w:rsid w:val="00DD7C3C"/>
    <w:rsid w:val="00DE3F29"/>
    <w:rsid w:val="00E10796"/>
    <w:rsid w:val="00E40402"/>
    <w:rsid w:val="00E759B5"/>
    <w:rsid w:val="00E85624"/>
    <w:rsid w:val="00EF07AA"/>
    <w:rsid w:val="00F04456"/>
    <w:rsid w:val="00F57BC4"/>
    <w:rsid w:val="00F85333"/>
    <w:rsid w:val="00F954EF"/>
    <w:rsid w:val="07470D2A"/>
    <w:rsid w:val="B7E74B35"/>
    <w:rsid w:val="EA6FB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unhideWhenUsed/>
    <w:qFormat/>
    <w:uiPriority w:val="9"/>
    <w:pPr>
      <w:keepNext/>
      <w:keepLines/>
      <w:numPr>
        <w:ilvl w:val="3"/>
        <w:numId w:val="1"/>
      </w:numPr>
      <w:adjustRightInd w:val="0"/>
      <w:snapToGrid w:val="0"/>
      <w:spacing w:line="360" w:lineRule="auto"/>
      <w:outlineLvl w:val="3"/>
    </w:pPr>
    <w:rPr>
      <w:rFonts w:ascii="Times New Roman" w:hAnsi="Times New Roman" w:eastAsia="宋体" w:cs="Times New Roman"/>
      <w:b/>
      <w:bCs/>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38"/>
    <w:unhideWhenUsed/>
    <w:qFormat/>
    <w:uiPriority w:val="99"/>
    <w:pPr>
      <w:spacing w:line="560" w:lineRule="exact"/>
      <w:ind w:firstLine="640" w:firstLineChars="200"/>
    </w:pPr>
    <w:rPr>
      <w:rFonts w:ascii="Times New Roman" w:hAnsi="Times New Roman" w:eastAsia="仿宋_GB2312" w:cs="Times New Roman"/>
      <w:kern w:val="0"/>
      <w:sz w:val="32"/>
      <w:szCs w:val="24"/>
    </w:rPr>
  </w:style>
  <w:style w:type="paragraph" w:styleId="12">
    <w:name w:val="footer"/>
    <w:basedOn w:val="1"/>
    <w:link w:val="36"/>
    <w:semiHidden/>
    <w:unhideWhenUsed/>
    <w:qFormat/>
    <w:uiPriority w:val="99"/>
    <w:pPr>
      <w:tabs>
        <w:tab w:val="center" w:pos="4153"/>
        <w:tab w:val="right" w:pos="8306"/>
      </w:tabs>
      <w:snapToGrid w:val="0"/>
      <w:jc w:val="left"/>
    </w:pPr>
    <w:rPr>
      <w:sz w:val="18"/>
      <w:szCs w:val="18"/>
    </w:rPr>
  </w:style>
  <w:style w:type="paragraph" w:styleId="13">
    <w:name w:val="header"/>
    <w:basedOn w:val="1"/>
    <w:link w:val="37"/>
    <w:semiHidden/>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4 字符"/>
    <w:basedOn w:val="17"/>
    <w:link w:val="5"/>
    <w:qFormat/>
    <w:uiPriority w:val="9"/>
    <w:rPr>
      <w:rFonts w:ascii="Times New Roman" w:hAnsi="Times New Roman" w:eastAsia="宋体" w:cs="Times New Roman"/>
      <w:b/>
      <w:bCs/>
      <w:sz w:val="28"/>
      <w:szCs w:val="28"/>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14:ligatures w14:val="none"/>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14:ligatures w14:val="none"/>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14:ligatures w14:val="none"/>
    </w:rPr>
  </w:style>
  <w:style w:type="character" w:customStyle="1" w:styleId="22">
    <w:name w:val="标题 5 字符"/>
    <w:basedOn w:val="17"/>
    <w:link w:val="6"/>
    <w:semiHidden/>
    <w:qFormat/>
    <w:uiPriority w:val="9"/>
    <w:rPr>
      <w:rFonts w:cstheme="majorBidi"/>
      <w:color w:val="2F5597" w:themeColor="accent1" w:themeShade="BF"/>
      <w:sz w:val="24"/>
      <w:szCs w:val="24"/>
      <w14:ligatures w14:val="none"/>
    </w:rPr>
  </w:style>
  <w:style w:type="character" w:customStyle="1" w:styleId="23">
    <w:name w:val="标题 6 字符"/>
    <w:basedOn w:val="17"/>
    <w:link w:val="7"/>
    <w:semiHidden/>
    <w:qFormat/>
    <w:uiPriority w:val="9"/>
    <w:rPr>
      <w:rFonts w:cstheme="majorBidi"/>
      <w:b/>
      <w:bCs/>
      <w:color w:val="2F5597" w:themeColor="accent1" w:themeShade="BF"/>
      <w14:ligatures w14:val="none"/>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14:ligatures w14:val="none"/>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14:ligatures w14:val="none"/>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14:ligatures w14:val="none"/>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14:ligatures w14:val="none"/>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14:ligatures w14:val="none"/>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14:ligatures w14:val="none"/>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脚 字符"/>
    <w:basedOn w:val="17"/>
    <w:link w:val="12"/>
    <w:semiHidden/>
    <w:qFormat/>
    <w:uiPriority w:val="99"/>
    <w:rPr>
      <w:sz w:val="18"/>
      <w:szCs w:val="18"/>
      <w14:ligatures w14:val="none"/>
    </w:rPr>
  </w:style>
  <w:style w:type="character" w:customStyle="1" w:styleId="37">
    <w:name w:val="页眉 字符"/>
    <w:basedOn w:val="17"/>
    <w:link w:val="13"/>
    <w:semiHidden/>
    <w:qFormat/>
    <w:uiPriority w:val="99"/>
    <w:rPr>
      <w:sz w:val="18"/>
      <w:szCs w:val="18"/>
      <w14:ligatures w14:val="none"/>
    </w:rPr>
  </w:style>
  <w:style w:type="character" w:customStyle="1" w:styleId="38">
    <w:name w:val="正文文本 字符"/>
    <w:basedOn w:val="17"/>
    <w:link w:val="11"/>
    <w:qFormat/>
    <w:uiPriority w:val="99"/>
    <w:rPr>
      <w:rFonts w:ascii="Times New Roman" w:hAnsi="Times New Roman" w:eastAsia="仿宋_GB2312" w:cs="Times New Roman"/>
      <w:kern w:val="0"/>
      <w:sz w:val="32"/>
      <w:szCs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1551</Words>
  <Characters>1616</Characters>
  <Lines>11</Lines>
  <Paragraphs>3</Paragraphs>
  <TotalTime>91</TotalTime>
  <ScaleCrop>false</ScaleCrop>
  <LinksUpToDate>false</LinksUpToDate>
  <CharactersWithSpaces>1616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2026-02-28T01:06:00Z</dcterms:created>
  <dc:creator>竞 梁</dc:creator>
  <cp:lastModifiedBy>uos</cp:lastModifiedBy>
  <dcterms:modified xsi:type="dcterms:W3CDTF">2026-03-02T14:40:56Z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eyJoZGlkIjoiZjE2MThkM2M3ZjNkMGJkNzVjMDQ5YTI0YTNjODdiNGEiLCJ1c2VySWQiOiIxMDY0MjkxNjM0In0=</vt:lpwstr>
  </property>
  <property fmtid="{D5CDD505-2E9C-101B-9397-08002B2CF9AE}" pid="3" name="KSOProductBuildVer">
    <vt:lpwstr>2052-12.8.2.1119</vt:lpwstr>
  </property>
  <property fmtid="{D5CDD505-2E9C-101B-9397-08002B2CF9AE}" pid="4" name="ICV">
    <vt:lpwstr>0C29D9A3C3AD44A49162BB70F6FC285B_12</vt:lpwstr>
  </property>
</Properties>
</file>