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93CD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小标宋简体" w:cs="Times New Roman"/>
          <w:color w:val="auto"/>
          <w:sz w:val="44"/>
          <w:szCs w:val="44"/>
          <w:lang w:val="en-US" w:eastAsia="zh-CN"/>
        </w:rPr>
      </w:pPr>
    </w:p>
    <w:p w14:paraId="3D08FB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w:t>
      </w:r>
      <w:r>
        <w:rPr>
          <w:rFonts w:hint="eastAsia" w:ascii="Times New Roman" w:hAnsi="Times New Roman" w:eastAsia="方正小标宋简体" w:cs="Times New Roman"/>
          <w:color w:val="auto"/>
          <w:sz w:val="44"/>
          <w:szCs w:val="44"/>
          <w:lang w:val="en-US" w:eastAsia="zh-CN"/>
        </w:rPr>
        <w:t>对</w:t>
      </w:r>
      <w:r>
        <w:rPr>
          <w:rFonts w:hint="default" w:ascii="Times New Roman" w:hAnsi="Times New Roman" w:eastAsia="方正小标宋简体" w:cs="Times New Roman"/>
          <w:color w:val="auto"/>
          <w:sz w:val="44"/>
          <w:szCs w:val="44"/>
          <w:lang w:val="en-US" w:eastAsia="zh-CN"/>
        </w:rPr>
        <w:t>《北京城市副中心促进游戏电竞行业高质量发展的若干措施》</w:t>
      </w:r>
      <w:r>
        <w:rPr>
          <w:rFonts w:hint="eastAsia" w:ascii="Times New Roman" w:hAnsi="Times New Roman" w:eastAsia="方正小标宋简体" w:cs="Times New Roman"/>
          <w:color w:val="auto"/>
          <w:sz w:val="44"/>
          <w:szCs w:val="44"/>
          <w:lang w:val="en-US" w:eastAsia="zh-CN"/>
        </w:rPr>
        <w:t>的起草说明</w:t>
      </w:r>
    </w:p>
    <w:p w14:paraId="437072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59344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一、起草背景</w:t>
      </w:r>
    </w:p>
    <w:p w14:paraId="359B697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2"/>
          <w:szCs w:val="32"/>
          <w:lang w:val="en-US" w:eastAsia="zh-CN" w:bidi="ar"/>
        </w:rPr>
        <w:t>为贯彻落实《国务院关于支持北京城市副中心高质量发展的意见》、《关于促进北京市游戏电竞行业高质量发展的支持办法（暂行）》，加快发展文化领域新质生产力，大力培育新业态，构建特色鲜明、业态完善、充满活力的“游戏电竞+文旅”产业生态，服务全国文化中心建设，</w:t>
      </w:r>
      <w:r>
        <w:rPr>
          <w:rFonts w:hint="default" w:ascii="Times New Roman" w:hAnsi="Times New Roman" w:eastAsia="仿宋_GB2312" w:cs="Times New Roman"/>
          <w:color w:val="auto"/>
          <w:kern w:val="0"/>
          <w:sz w:val="31"/>
          <w:szCs w:val="31"/>
          <w:lang w:val="en-US" w:eastAsia="zh-CN" w:bidi="ar"/>
        </w:rPr>
        <w:t>制定本措施。</w:t>
      </w:r>
    </w:p>
    <w:p w14:paraId="759C2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二、起草过程</w:t>
      </w:r>
    </w:p>
    <w:p w14:paraId="77F3F4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一是对标对表其他省市和北京各区</w:t>
      </w:r>
      <w:r>
        <w:rPr>
          <w:rFonts w:hint="default" w:ascii="Times New Roman" w:hAnsi="Times New Roman" w:eastAsia="仿宋_GB2312" w:cs="Times New Roman"/>
          <w:color w:val="auto"/>
          <w:sz w:val="32"/>
          <w:szCs w:val="32"/>
          <w:lang w:val="en-US" w:eastAsia="zh-CN"/>
        </w:rPr>
        <w:t>“游戏电竞+文旅”相关产业资源情况，</w:t>
      </w:r>
      <w:r>
        <w:rPr>
          <w:rFonts w:hint="eastAsia" w:ascii="仿宋_GB2312" w:hAnsi="仿宋_GB2312" w:eastAsia="仿宋_GB2312" w:cs="仿宋_GB2312"/>
          <w:color w:val="auto"/>
          <w:sz w:val="32"/>
          <w:szCs w:val="32"/>
          <w:lang w:val="en-US" w:eastAsia="zh-CN"/>
        </w:rPr>
        <w:t>为副中心政策制定提供参考依据。</w:t>
      </w:r>
      <w:r>
        <w:rPr>
          <w:rFonts w:hint="eastAsia" w:ascii="Times New Roman" w:hAnsi="Times New Roman" w:eastAsia="仿宋_GB2312" w:cs="Times New Roman"/>
          <w:color w:val="auto"/>
          <w:sz w:val="32"/>
          <w:szCs w:val="32"/>
          <w:lang w:val="en-US" w:eastAsia="zh-CN"/>
        </w:rPr>
        <w:t>研究了海淀区、经开区相关政策文件，</w:t>
      </w:r>
      <w:r>
        <w:rPr>
          <w:rFonts w:hint="eastAsia" w:ascii="仿宋_GB2312" w:hAnsi="仿宋_GB2312" w:eastAsia="仿宋_GB2312" w:cs="仿宋_GB2312"/>
          <w:color w:val="auto"/>
          <w:sz w:val="32"/>
          <w:szCs w:val="32"/>
          <w:lang w:val="en-US" w:eastAsia="zh-CN"/>
        </w:rPr>
        <w:t>确保政策符合国家及北京市整体发展方向，充分体现副中心的特色与优势。</w:t>
      </w:r>
    </w:p>
    <w:p w14:paraId="60541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w:t>
      </w:r>
      <w:r>
        <w:rPr>
          <w:rFonts w:hint="eastAsia" w:ascii="仿宋_GB2312" w:hAnsi="仿宋_GB2312" w:eastAsia="仿宋_GB2312" w:cs="仿宋_GB2312"/>
          <w:color w:val="auto"/>
          <w:sz w:val="32"/>
          <w:szCs w:val="32"/>
          <w:lang w:val="en-US" w:eastAsia="zh-CN"/>
        </w:rPr>
        <w:t>开展系统深入的调研工作。</w:t>
      </w:r>
      <w:r>
        <w:rPr>
          <w:rFonts w:hint="default" w:ascii="Times New Roman" w:hAnsi="Times New Roman" w:eastAsia="仿宋_GB2312" w:cs="Times New Roman"/>
          <w:color w:val="auto"/>
          <w:sz w:val="32"/>
          <w:szCs w:val="32"/>
          <w:lang w:val="en-US" w:eastAsia="zh-CN"/>
        </w:rPr>
        <w:t>在区大文旅专班的统筹下，区文旅局协同区经信局、体育局、两区办，中关村通州园管委会及</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lang w:val="en-US" w:eastAsia="zh-CN"/>
        </w:rPr>
        <w:t>，摸底区内“游戏电竞+文旅”相关产业资源情况，通过</w:t>
      </w:r>
      <w:r>
        <w:rPr>
          <w:rFonts w:hint="eastAsia" w:ascii="Times New Roman" w:hAnsi="Times New Roman" w:eastAsia="仿宋_GB2312" w:cs="Times New Roman"/>
          <w:color w:val="auto"/>
          <w:sz w:val="32"/>
          <w:szCs w:val="32"/>
          <w:lang w:val="en-US" w:eastAsia="zh-CN"/>
        </w:rPr>
        <w:t>实地调研、</w:t>
      </w:r>
      <w:r>
        <w:rPr>
          <w:rFonts w:hint="default" w:ascii="Times New Roman" w:hAnsi="Times New Roman" w:eastAsia="仿宋_GB2312" w:cs="Times New Roman"/>
          <w:color w:val="auto"/>
          <w:sz w:val="32"/>
          <w:szCs w:val="32"/>
          <w:lang w:val="en-US" w:eastAsia="zh-CN"/>
        </w:rPr>
        <w:t>问卷</w:t>
      </w:r>
      <w:r>
        <w:rPr>
          <w:rFonts w:hint="eastAsia" w:ascii="Times New Roman" w:hAnsi="Times New Roman" w:eastAsia="仿宋_GB2312" w:cs="Times New Roman"/>
          <w:color w:val="auto"/>
          <w:sz w:val="32"/>
          <w:szCs w:val="32"/>
          <w:lang w:val="en-US" w:eastAsia="zh-CN"/>
        </w:rPr>
        <w:t>调研、电话访谈50</w:t>
      </w:r>
      <w:r>
        <w:rPr>
          <w:rFonts w:hint="default" w:ascii="Times New Roman" w:hAnsi="Times New Roman" w:eastAsia="仿宋_GB2312" w:cs="Times New Roman"/>
          <w:color w:val="auto"/>
          <w:sz w:val="32"/>
          <w:szCs w:val="32"/>
          <w:lang w:val="en-US" w:eastAsia="zh-CN"/>
        </w:rPr>
        <w:t>余家</w:t>
      </w:r>
      <w:r>
        <w:rPr>
          <w:rFonts w:hint="eastAsia" w:ascii="Times New Roman" w:hAnsi="Times New Roman" w:eastAsia="仿宋_GB2312" w:cs="Times New Roman"/>
          <w:color w:val="auto"/>
          <w:sz w:val="32"/>
          <w:szCs w:val="32"/>
          <w:lang w:val="en-US" w:eastAsia="zh-CN"/>
        </w:rPr>
        <w:t>区内外</w:t>
      </w:r>
      <w:r>
        <w:rPr>
          <w:rFonts w:hint="default" w:ascii="Times New Roman" w:hAnsi="Times New Roman" w:eastAsia="仿宋_GB2312" w:cs="Times New Roman"/>
          <w:color w:val="auto"/>
          <w:sz w:val="32"/>
          <w:szCs w:val="32"/>
          <w:lang w:val="en-US" w:eastAsia="zh-CN"/>
        </w:rPr>
        <w:t>企业，梳理</w:t>
      </w:r>
      <w:r>
        <w:rPr>
          <w:rFonts w:hint="eastAsia" w:ascii="Times New Roman" w:hAnsi="Times New Roman" w:eastAsia="仿宋_GB2312" w:cs="Times New Roman"/>
          <w:color w:val="auto"/>
          <w:sz w:val="32"/>
          <w:szCs w:val="32"/>
          <w:lang w:val="en-US" w:eastAsia="zh-CN"/>
        </w:rPr>
        <w:t>了15</w:t>
      </w:r>
      <w:r>
        <w:rPr>
          <w:rFonts w:hint="default" w:ascii="Times New Roman" w:hAnsi="Times New Roman" w:eastAsia="仿宋_GB2312" w:cs="Times New Roman"/>
          <w:color w:val="auto"/>
          <w:sz w:val="32"/>
          <w:szCs w:val="32"/>
          <w:lang w:val="en-US" w:eastAsia="zh-CN"/>
        </w:rPr>
        <w:t>个重点储备项目</w:t>
      </w:r>
      <w:r>
        <w:rPr>
          <w:rFonts w:hint="eastAsia" w:ascii="Times New Roman" w:hAnsi="Times New Roman" w:eastAsia="仿宋_GB2312" w:cs="Times New Roman"/>
          <w:color w:val="auto"/>
          <w:sz w:val="32"/>
          <w:szCs w:val="32"/>
          <w:lang w:val="en-US" w:eastAsia="zh-CN"/>
        </w:rPr>
        <w:t>。</w:t>
      </w:r>
    </w:p>
    <w:p w14:paraId="696C7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三是广泛征求和吸纳相关部门意见，与相关行业组织开展多轮研讨。</w:t>
      </w:r>
      <w:r>
        <w:rPr>
          <w:rFonts w:hint="eastAsia" w:ascii="Times New Roman" w:hAnsi="Times New Roman" w:eastAsia="仿宋_GB2312" w:cs="Times New Roman"/>
          <w:color w:val="auto"/>
          <w:sz w:val="32"/>
          <w:szCs w:val="32"/>
          <w:lang w:val="en-US" w:eastAsia="zh-CN"/>
        </w:rPr>
        <w:t>基于我区产业实际发展情况，</w:t>
      </w:r>
      <w:r>
        <w:rPr>
          <w:rFonts w:hint="default" w:ascii="Times New Roman" w:hAnsi="Times New Roman" w:eastAsia="仿宋_GB2312" w:cs="Times New Roman"/>
          <w:color w:val="auto"/>
          <w:sz w:val="32"/>
          <w:szCs w:val="32"/>
          <w:lang w:val="en-US" w:eastAsia="zh-CN"/>
        </w:rPr>
        <w:t>征求</w:t>
      </w:r>
      <w:r>
        <w:rPr>
          <w:rFonts w:hint="eastAsia" w:ascii="Times New Roman" w:hAnsi="Times New Roman" w:eastAsia="仿宋_GB2312" w:cs="Times New Roman"/>
          <w:color w:val="auto"/>
          <w:sz w:val="32"/>
          <w:szCs w:val="32"/>
          <w:lang w:val="en-US" w:eastAsia="zh-CN"/>
        </w:rPr>
        <w:t>北京</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文化和旅游</w:t>
      </w:r>
      <w:bookmarkStart w:id="0" w:name="_GoBack"/>
      <w:bookmarkEnd w:id="0"/>
      <w:r>
        <w:rPr>
          <w:rFonts w:hint="default" w:ascii="Times New Roman" w:hAnsi="Times New Roman" w:eastAsia="仿宋_GB2312" w:cs="Times New Roman"/>
          <w:color w:val="auto"/>
          <w:sz w:val="32"/>
          <w:szCs w:val="32"/>
          <w:lang w:val="en-US" w:eastAsia="zh-CN"/>
        </w:rPr>
        <w:t>局、</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行业专家</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意见建议</w:t>
      </w:r>
      <w:r>
        <w:rPr>
          <w:rFonts w:hint="eastAsia" w:ascii="仿宋_GB2312" w:hAnsi="仿宋_GB2312" w:eastAsia="仿宋_GB2312" w:cs="仿宋_GB2312"/>
          <w:color w:val="auto"/>
          <w:sz w:val="32"/>
          <w:szCs w:val="32"/>
          <w:lang w:val="en-US" w:eastAsia="zh-CN"/>
        </w:rPr>
        <w:t>经过反复修改完善,</w:t>
      </w:r>
      <w:r>
        <w:rPr>
          <w:rFonts w:hint="default" w:ascii="Times New Roman" w:hAnsi="Times New Roman" w:eastAsia="仿宋_GB2312" w:cs="Times New Roman"/>
          <w:color w:val="auto"/>
          <w:sz w:val="32"/>
          <w:szCs w:val="32"/>
          <w:lang w:val="en-US" w:eastAsia="zh-CN"/>
        </w:rPr>
        <w:t>编制</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《北京城市副中心促进游戏电竞行业高质量发展的若干措施》</w:t>
      </w:r>
      <w:r>
        <w:rPr>
          <w:rFonts w:hint="eastAsia" w:ascii="仿宋_GB2312" w:hAnsi="仿宋_GB2312" w:eastAsia="仿宋_GB2312" w:cs="仿宋_GB2312"/>
          <w:color w:val="auto"/>
          <w:sz w:val="32"/>
          <w:szCs w:val="32"/>
          <w:lang w:val="en-US" w:eastAsia="zh-CN"/>
        </w:rPr>
        <w:t>。</w:t>
      </w:r>
    </w:p>
    <w:p w14:paraId="70585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14:paraId="28D28D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措施从支持</w:t>
      </w:r>
      <w:r>
        <w:rPr>
          <w:rFonts w:hint="default" w:ascii="Times New Roman" w:hAnsi="Times New Roman" w:eastAsia="仿宋_GB2312" w:cs="Times New Roman"/>
          <w:color w:val="auto"/>
          <w:sz w:val="32"/>
          <w:szCs w:val="32"/>
          <w:lang w:val="en-US" w:eastAsia="zh-CN"/>
        </w:rPr>
        <w:t>产业集聚、</w:t>
      </w:r>
      <w:r>
        <w:rPr>
          <w:rFonts w:hint="eastAsia" w:ascii="Times New Roman" w:hAnsi="Times New Roman" w:eastAsia="仿宋_GB2312" w:cs="Times New Roman"/>
          <w:color w:val="auto"/>
          <w:sz w:val="32"/>
          <w:szCs w:val="32"/>
          <w:lang w:val="en-US" w:eastAsia="zh-CN"/>
        </w:rPr>
        <w:t>游戏创作</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电竞</w:t>
      </w:r>
      <w:r>
        <w:rPr>
          <w:rFonts w:hint="default" w:ascii="Times New Roman" w:hAnsi="Times New Roman" w:eastAsia="仿宋_GB2312" w:cs="Times New Roman"/>
          <w:color w:val="auto"/>
          <w:sz w:val="32"/>
          <w:szCs w:val="32"/>
          <w:lang w:val="en-US" w:eastAsia="zh-CN"/>
        </w:rPr>
        <w:t>赛事、</w:t>
      </w:r>
      <w:r>
        <w:rPr>
          <w:rFonts w:hint="eastAsia" w:ascii="Times New Roman" w:hAnsi="Times New Roman" w:eastAsia="仿宋_GB2312" w:cs="Times New Roman"/>
          <w:color w:val="auto"/>
          <w:sz w:val="32"/>
          <w:szCs w:val="32"/>
          <w:lang w:val="en-US" w:eastAsia="zh-CN"/>
        </w:rPr>
        <w:t>电竞</w:t>
      </w:r>
      <w:r>
        <w:rPr>
          <w:rFonts w:hint="default" w:ascii="Times New Roman" w:hAnsi="Times New Roman" w:eastAsia="仿宋_GB2312" w:cs="Times New Roman"/>
          <w:color w:val="auto"/>
          <w:sz w:val="32"/>
          <w:szCs w:val="32"/>
          <w:lang w:val="en-US" w:eastAsia="zh-CN"/>
        </w:rPr>
        <w:t>场馆</w:t>
      </w:r>
      <w:r>
        <w:rPr>
          <w:rFonts w:hint="eastAsia" w:ascii="Times New Roman" w:hAnsi="Times New Roman" w:eastAsia="仿宋_GB2312" w:cs="Times New Roman"/>
          <w:color w:val="auto"/>
          <w:sz w:val="32"/>
          <w:szCs w:val="32"/>
          <w:lang w:val="en-US" w:eastAsia="zh-CN"/>
        </w:rPr>
        <w:t>建设和运营</w:t>
      </w:r>
      <w:r>
        <w:rPr>
          <w:rFonts w:hint="default" w:ascii="Times New Roman" w:hAnsi="Times New Roman" w:eastAsia="仿宋_GB2312" w:cs="Times New Roman"/>
          <w:color w:val="auto"/>
          <w:sz w:val="32"/>
          <w:szCs w:val="32"/>
          <w:lang w:val="en-US" w:eastAsia="zh-CN"/>
        </w:rPr>
        <w:t>、人才</w:t>
      </w:r>
      <w:r>
        <w:rPr>
          <w:rFonts w:hint="eastAsia"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lang w:val="en-US" w:eastAsia="zh-CN"/>
        </w:rPr>
        <w:t>等</w:t>
      </w:r>
      <w:r>
        <w:rPr>
          <w:rFonts w:hint="eastAsia" w:ascii="仿宋_GB2312" w:hAnsi="仿宋_GB2312" w:eastAsia="仿宋_GB2312" w:cs="仿宋_GB2312"/>
          <w:color w:val="auto"/>
          <w:sz w:val="32"/>
          <w:szCs w:val="32"/>
          <w:lang w:val="en-US" w:eastAsia="zh-CN"/>
        </w:rPr>
        <w:t>六个方面进行资金奖励和配套支持。</w:t>
      </w:r>
    </w:p>
    <w:p w14:paraId="6BECFF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一是支持产业集聚发展。鼓励国际、全国职业电竞赛事俱乐部主场落户北京城市副中心并常态化开展赛事活动，支持俱乐部在重大赛事中争创佳绩。</w:t>
      </w:r>
    </w:p>
    <w:p w14:paraId="411CC5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二是支持申报游戏版号。强化国产网络游戏申报辅导与专家审读力量，提升审核质效，推动版号申报事项纳入北京城市副中心综合窗口，优化政务服务流程。</w:t>
      </w:r>
    </w:p>
    <w:p w14:paraId="01565B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三是支持创作精品游戏。鼓励创作弘扬主流价值、具备国际竞争力的游戏作品，对上线运营且符合条件的精品及优质项目给予研发费用支持，对获国际级、国家级奖项作品予以额外奖励。</w:t>
      </w:r>
    </w:p>
    <w:p w14:paraId="5CCD0B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四是支持举办电竞赛事。引进国际顶级赛事，培育自有品牌赛事体系，推动赛事与副中心文旅资源深度融合，发展“观赛+游览+消费”票根经济，联动景区、酒店、街区拓展消费新场景。</w:t>
      </w:r>
    </w:p>
    <w:p w14:paraId="3705B4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五是支持建设运营场馆。支持新建或改建符合国家标准的电竞专业场馆，鼓励场馆承办职业赛事，提升运营与服务效能。</w:t>
      </w:r>
    </w:p>
    <w:p w14:paraId="3741FD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六是加强产业人才保障。将游戏电竞重点企业纳入市级人才引进保障目录，企业创始人及核心团队直接纳入“运河英才”政策体系，在资金奖励、安居保障、创新服务等方面提供全方位支持。</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60"/>
      </w:pPr>
      <w:r>
        <w:separator/>
      </w:r>
    </w:p>
  </w:footnote>
  <w:footnote w:type="continuationSeparator" w:id="1">
    <w:p>
      <w:pPr>
        <w:spacing w:line="240" w:lineRule="auto"/>
        <w:ind w:firstLine="3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15777AB"/>
    <w:rsid w:val="00FB2882"/>
    <w:rsid w:val="015777AB"/>
    <w:rsid w:val="087C13B7"/>
    <w:rsid w:val="0AD318BF"/>
    <w:rsid w:val="0DD73F08"/>
    <w:rsid w:val="48346892"/>
    <w:rsid w:val="50C3182D"/>
    <w:rsid w:val="6BFD6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Arial" w:hAnsi="Arial" w:eastAsia="宋体" w:cs="Arial"/>
      <w:kern w:val="2"/>
      <w:sz w:val="18"/>
      <w:szCs w:val="1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990</Words>
  <Characters>993</Characters>
  <Lines>0</Lines>
  <Paragraphs>0</Paragraphs>
  <TotalTime>5</TotalTime>
  <ScaleCrop>false</ScaleCrop>
  <LinksUpToDate>false</LinksUpToDate>
  <CharactersWithSpaces>993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2026-02-09T06:21:00Z</dcterms:created>
  <dc:creator>高众</dc:creator>
  <cp:lastModifiedBy>孙彤</cp:lastModifiedBy>
  <dcterms:modified xsi:type="dcterms:W3CDTF">2026-02-28T02:04:48Z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7AD9BDF3EF7944BB9D430021F0DB8AEF_11</vt:lpwstr>
  </property>
  <property fmtid="{D5CDD505-2E9C-101B-9397-08002B2CF9AE}" pid="4" name="KSOTemplateDocerSaveRecord">
    <vt:lpwstr>eyJoZGlkIjoiMGI5OTFlMmRhMjZjZDY2N2EyNjdmZjE3MDk1OWFmYzkiLCJ1c2VySWQiOiIyNTIzNTYzNjQifQ==</vt:lpwstr>
  </property>
</Properties>
</file>