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密云水库水源保护渔民规范捕捞和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配套管理政策调整工作方案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  <w:lang w:val="en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为深入落实密云水库水源保护工作，有效落实《中华人民共和国渔业法》关于渔民转产转业扶持等新规定，严格遵循《密云水库水源保护条例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要求，坚持“以水为大、以水为先、以水为底线”工作要求，结合密云水库作为首都重要饮用水源地的核心定位，以及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密云水库渔业捕捞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实际情况，调整优化捕捞增收政策，提升渔业净水能力，促进渔民稳定增收，以高水平保护实现高质量发展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结合工作实际，特制定本工作方案。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5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</w:rPr>
        <w:t>一、</w:t>
      </w:r>
      <w:r>
        <w:rPr>
          <w:rFonts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</w:rPr>
        <w:t>现状分析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（一）渔船现状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区农业农村局登记密云水库渔船共212条，其中，溪翁庄镇50条、石城镇24条、冯家峪镇2条、不老屯镇36条、高岭镇4条、太师屯镇47条、穆家峪镇34条、十里堡镇3条、西田各庄镇12条。现有渔船均不符合规范要求，无法办理正规渔业船舶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  <w:lang w:val="en-US" w:eastAsia="zh-CN"/>
        </w:rPr>
        <w:t>（二）渔民现状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2025-2026年度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捕捞期，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密云水库办理捕捞许可证渔民共计424人，其中，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u w:val="none"/>
        </w:rPr>
        <w:t>男性共计391人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，50岁以上193人，50岁以下198人；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u w:val="none"/>
        </w:rPr>
        <w:t>女性共计33人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，50岁以上12人，40-50岁9人，40岁以下12人。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）渔业合作社现状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按照《密云水库“渔业净水、生物保水，净水渔业、生态富民”工作方案》（密政发〔2021〕24号），由区农业农村局牵头，区供销社负责组建了“密云水库渔业产销合作社联社”，由水库周边5个捕鱼重点镇组建了5个“密云水库渔业产销合作社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分社”，部分渔民加入分社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/>
        </w:rPr>
        <w:t>二</w:t>
      </w:r>
      <w:r>
        <w:rPr>
          <w:rFonts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</w:rPr>
        <w:t>、工作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1.合法合规。以《中华人民共和国渔业法》</w:t>
      </w:r>
      <w:r>
        <w:rPr>
          <w:rFonts w:hint="eastAsia" w:ascii="仿宋_GB2312" w:hAnsi="仿宋_GB2312" w:eastAsia="仿宋_GB2312" w:cs="仿宋_GB2312"/>
          <w:color w:val="FF0000"/>
          <w:spacing w:val="0"/>
          <w:sz w:val="32"/>
          <w:szCs w:val="32"/>
          <w:u w:val="none"/>
        </w:rPr>
        <w:t>第三十七条、七十二条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规定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《密云水库水源保护条例》等法律法规及政策文件为遵循，健全配套制度，确保部署于法有据、程序规范。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2.安全公正。强化高水位运行安全管控措施，化解渔船作业安全隐患。渔船退出、安置工作全程公开、公平、公正，规范流程、透明操作，主动接受监督。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3.权益保障。坚持以渔民利益为核心，保障渔民就业与稳定增收。引导渔民从传统捕捞向水源保护、生态管护等岗位转型，健全转岗培训、就业帮扶，实现渔民生计与水源保护双向共赢。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4.系统管理。强化科学监测，规范捕捞管理，落实捕营分开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机制。统筹生态保护、产业转型与民生保障，实现高水平保护。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</w:rPr>
        <w:t>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（一）退出补偿对象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根据《中华人民共和国渔业法》等相关法律法规的规定，本次退出仅针对2025年区农业农村局登记的密云水库渔业船舶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及已取得2025-2026年度密云水库捕捞许可证的渔民。具体渔业船舶及人员以区农业农村局核准的名录为准。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（二）退出内容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退捕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渔民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不可在密云水库从事捕捞等任何渔业作业，应将渔业捕捞许可证交回发证机关，并办理渔业捕捞许可证注销手续。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2.渔民应将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补偿的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渔船网具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全部交付给补偿机关，并办理渔业船网工具指标的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收回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（三）退出补偿方式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退出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一船两人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模式退出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退出标准。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《关于进一步规范密云水库捕捞船只管理的通知》（密政发〔2018〕32号）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，每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条渔船及其网具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补贴4.4万元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；每人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增设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退捕转产奖励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退出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安置。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已享受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退捕转产奖励的，不纳入就业安置范围；未享受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退捕转产奖励且符合条件及岗位要求的（已享受养老保险待遇的人员除外），可通过企业吸纳、公益性岗位安置、社会救助渠道安置，也可参与集中捕捞。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退出时限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本方案自发布之日起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施行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有效期至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2026年3月31日。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/>
        </w:rPr>
        <w:t>）退出补偿程序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各镇依据区农业农村局核准的名录，组织渔民签署《自愿退出确认书》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（见附件）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，经审核无异议后，由区农业农村局完成渔业捕捞许可证注销及船网工具指标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收回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渔船网具收回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，落实补偿奖励资金发放及人员安置工作。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50" w:lineRule="exact"/>
        <w:ind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/>
        </w:rPr>
        <w:t>四</w:t>
      </w:r>
      <w:r>
        <w:rPr>
          <w:rFonts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强化部门协同联动，各部门明确工作职责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健全配套管理规定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严厉打击涉水涉环境违法行为；强化管理责任，建立科学配额捕捞制度，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建立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捕营分开、利益共享、相互监督的运行机制，实现科学捕捞、长效净水；强化资金统筹保障，以《中华人民共和国渔业法》修订、《密云水库水源保护条例》出台为契机，积极向上级部门争取专项补助政策和资金，加强资金使用全过程监管与审计监督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强化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社会稳定，切实保障退捕渔民合法权益，结合渔民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实际情况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精准制定安置方案，统筹开展转岗培训，拓宽就业安置与帮扶渠道，加强矛盾纠纷排查化解，确保渔民退得出、稳得住、能发展，筑牢安全稳定底线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自愿退出确认书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highlight w:val="none"/>
          <w:u w:val="none" w:color="auto"/>
          <w:lang w:val="en-US" w:eastAsia="zh-CN"/>
        </w:rPr>
        <w:t>自愿退出确认书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所在乡镇：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已依法取得2025-2026年度密云水库捕捞许可证，并与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）享有船号为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 w:color="auto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的船只一艘。现本人认可《密云水库水源保护渔民规范捕捞和配套管理政策调整工作方案》，同意按照《密云水库水源保护渔民规范捕捞和配套管理政策调整工作方案》的相关规定，自愿退出密云水库捕捞工作。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本人自签订本确认书后，不在密云水库从事捕捞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等任何渔业作业，将渔业捕捞许可证交回发证机关，并办理渔业捕捞许可证注销手续；另将补偿的渔业船网全部交付给有关部门，并办理渔业船网工具指标的收回手续。本人还将配合有关部门办理本次退出所涉的全部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特此确认！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eastAsia="zh-CN"/>
        </w:rPr>
        <w:t>2026年 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F5B28"/>
    <w:rsid w:val="00005820"/>
    <w:rsid w:val="000173A5"/>
    <w:rsid w:val="000329D7"/>
    <w:rsid w:val="000431DE"/>
    <w:rsid w:val="00044752"/>
    <w:rsid w:val="000451F8"/>
    <w:rsid w:val="00057FF6"/>
    <w:rsid w:val="000719F9"/>
    <w:rsid w:val="00085B36"/>
    <w:rsid w:val="00093E33"/>
    <w:rsid w:val="000944C3"/>
    <w:rsid w:val="00097B47"/>
    <w:rsid w:val="000B16CC"/>
    <w:rsid w:val="000F07C5"/>
    <w:rsid w:val="000F3957"/>
    <w:rsid w:val="000F4DAC"/>
    <w:rsid w:val="00104C20"/>
    <w:rsid w:val="00124FB3"/>
    <w:rsid w:val="001850E9"/>
    <w:rsid w:val="00211C25"/>
    <w:rsid w:val="00213A4A"/>
    <w:rsid w:val="00222622"/>
    <w:rsid w:val="002239C1"/>
    <w:rsid w:val="0022793F"/>
    <w:rsid w:val="00240F5E"/>
    <w:rsid w:val="00284138"/>
    <w:rsid w:val="002853AF"/>
    <w:rsid w:val="0028540F"/>
    <w:rsid w:val="002937CB"/>
    <w:rsid w:val="002C7985"/>
    <w:rsid w:val="002F6A75"/>
    <w:rsid w:val="003061AD"/>
    <w:rsid w:val="0032119E"/>
    <w:rsid w:val="003646C0"/>
    <w:rsid w:val="00366A7E"/>
    <w:rsid w:val="003726CB"/>
    <w:rsid w:val="00373455"/>
    <w:rsid w:val="003A247F"/>
    <w:rsid w:val="003A24A8"/>
    <w:rsid w:val="003A36E5"/>
    <w:rsid w:val="003B66DF"/>
    <w:rsid w:val="003F69B1"/>
    <w:rsid w:val="004075DA"/>
    <w:rsid w:val="00452BA4"/>
    <w:rsid w:val="00460C50"/>
    <w:rsid w:val="00460CE8"/>
    <w:rsid w:val="00460CF5"/>
    <w:rsid w:val="00470A8E"/>
    <w:rsid w:val="00472A3A"/>
    <w:rsid w:val="00474E13"/>
    <w:rsid w:val="004A4424"/>
    <w:rsid w:val="004D6457"/>
    <w:rsid w:val="004E2AA9"/>
    <w:rsid w:val="0054190D"/>
    <w:rsid w:val="00552969"/>
    <w:rsid w:val="005B29C2"/>
    <w:rsid w:val="005E1C0F"/>
    <w:rsid w:val="005E5EBE"/>
    <w:rsid w:val="00604B07"/>
    <w:rsid w:val="00656DA2"/>
    <w:rsid w:val="00665E72"/>
    <w:rsid w:val="00670405"/>
    <w:rsid w:val="006746D2"/>
    <w:rsid w:val="0068521E"/>
    <w:rsid w:val="006B5923"/>
    <w:rsid w:val="006C0647"/>
    <w:rsid w:val="006E53A0"/>
    <w:rsid w:val="006F2E9F"/>
    <w:rsid w:val="00743EA0"/>
    <w:rsid w:val="00767A7D"/>
    <w:rsid w:val="007800FF"/>
    <w:rsid w:val="007976E5"/>
    <w:rsid w:val="007F3B58"/>
    <w:rsid w:val="00803762"/>
    <w:rsid w:val="00812342"/>
    <w:rsid w:val="00840DEB"/>
    <w:rsid w:val="008572D5"/>
    <w:rsid w:val="008857D1"/>
    <w:rsid w:val="008A6353"/>
    <w:rsid w:val="008A730C"/>
    <w:rsid w:val="008E3DD3"/>
    <w:rsid w:val="009610C1"/>
    <w:rsid w:val="00966233"/>
    <w:rsid w:val="0099534F"/>
    <w:rsid w:val="009E09C4"/>
    <w:rsid w:val="00A31D66"/>
    <w:rsid w:val="00A51AC5"/>
    <w:rsid w:val="00A619BF"/>
    <w:rsid w:val="00A63D97"/>
    <w:rsid w:val="00AC6A53"/>
    <w:rsid w:val="00AD191F"/>
    <w:rsid w:val="00AD54EC"/>
    <w:rsid w:val="00AE7133"/>
    <w:rsid w:val="00AF2B06"/>
    <w:rsid w:val="00B00CE7"/>
    <w:rsid w:val="00B33102"/>
    <w:rsid w:val="00B379CB"/>
    <w:rsid w:val="00BC7402"/>
    <w:rsid w:val="00BE774E"/>
    <w:rsid w:val="00C13FA4"/>
    <w:rsid w:val="00C26BD9"/>
    <w:rsid w:val="00C35944"/>
    <w:rsid w:val="00C656D4"/>
    <w:rsid w:val="00C954DA"/>
    <w:rsid w:val="00CB32CB"/>
    <w:rsid w:val="00CB617E"/>
    <w:rsid w:val="00CC1FC7"/>
    <w:rsid w:val="00CD2A8A"/>
    <w:rsid w:val="00CD4F9D"/>
    <w:rsid w:val="00D512E9"/>
    <w:rsid w:val="00D8389F"/>
    <w:rsid w:val="00D86F05"/>
    <w:rsid w:val="00DA43EC"/>
    <w:rsid w:val="00DA5A1D"/>
    <w:rsid w:val="00DC6571"/>
    <w:rsid w:val="00DF0B58"/>
    <w:rsid w:val="00E011C8"/>
    <w:rsid w:val="00E03BF5"/>
    <w:rsid w:val="00E05671"/>
    <w:rsid w:val="00E063B1"/>
    <w:rsid w:val="00E35599"/>
    <w:rsid w:val="00E70753"/>
    <w:rsid w:val="00E7397E"/>
    <w:rsid w:val="00E76D14"/>
    <w:rsid w:val="00E91E05"/>
    <w:rsid w:val="00E94263"/>
    <w:rsid w:val="00E9496C"/>
    <w:rsid w:val="00E97245"/>
    <w:rsid w:val="00EA3B42"/>
    <w:rsid w:val="00EE2E4C"/>
    <w:rsid w:val="00EE60F5"/>
    <w:rsid w:val="00F24744"/>
    <w:rsid w:val="00F52C1A"/>
    <w:rsid w:val="00F533A6"/>
    <w:rsid w:val="00F61B63"/>
    <w:rsid w:val="00F862B5"/>
    <w:rsid w:val="0350093E"/>
    <w:rsid w:val="0AD22265"/>
    <w:rsid w:val="0E8F73F2"/>
    <w:rsid w:val="166044E5"/>
    <w:rsid w:val="1AEB7175"/>
    <w:rsid w:val="1FFE9FFD"/>
    <w:rsid w:val="238530D9"/>
    <w:rsid w:val="26CD738A"/>
    <w:rsid w:val="26FB472D"/>
    <w:rsid w:val="352C084C"/>
    <w:rsid w:val="37E74AC0"/>
    <w:rsid w:val="3A7D023D"/>
    <w:rsid w:val="3BF9904A"/>
    <w:rsid w:val="3FEBD694"/>
    <w:rsid w:val="4777ABB1"/>
    <w:rsid w:val="4C6B006F"/>
    <w:rsid w:val="4D3F5B28"/>
    <w:rsid w:val="4EFBE323"/>
    <w:rsid w:val="4F7F9D76"/>
    <w:rsid w:val="4FD7551E"/>
    <w:rsid w:val="566F9CA6"/>
    <w:rsid w:val="57A540F9"/>
    <w:rsid w:val="59FB08B0"/>
    <w:rsid w:val="5CEA58B4"/>
    <w:rsid w:val="5D791394"/>
    <w:rsid w:val="5DB74AAF"/>
    <w:rsid w:val="5DFF5283"/>
    <w:rsid w:val="5EBDCA9A"/>
    <w:rsid w:val="5FFBE3FA"/>
    <w:rsid w:val="60EA3E87"/>
    <w:rsid w:val="674BD4E4"/>
    <w:rsid w:val="699B18D6"/>
    <w:rsid w:val="6ADD156D"/>
    <w:rsid w:val="6CB96EF4"/>
    <w:rsid w:val="6E4D6E8E"/>
    <w:rsid w:val="6F4A1B2E"/>
    <w:rsid w:val="6F5F6175"/>
    <w:rsid w:val="6F5F680B"/>
    <w:rsid w:val="721642AA"/>
    <w:rsid w:val="72BF52CB"/>
    <w:rsid w:val="73E573BF"/>
    <w:rsid w:val="77E608BE"/>
    <w:rsid w:val="78F3784E"/>
    <w:rsid w:val="79EFE76F"/>
    <w:rsid w:val="79FAF15B"/>
    <w:rsid w:val="7AFB03E7"/>
    <w:rsid w:val="7BBAC8E3"/>
    <w:rsid w:val="7BC70663"/>
    <w:rsid w:val="7BD5DDF3"/>
    <w:rsid w:val="7BF9BF67"/>
    <w:rsid w:val="7DBF9EE7"/>
    <w:rsid w:val="7EF65957"/>
    <w:rsid w:val="7F8E72E2"/>
    <w:rsid w:val="7FCD2903"/>
    <w:rsid w:val="AEFBA679"/>
    <w:rsid w:val="AFC5E98A"/>
    <w:rsid w:val="AFEF9819"/>
    <w:rsid w:val="AFFDF6A1"/>
    <w:rsid w:val="AFFE0A63"/>
    <w:rsid w:val="B3EEA5D7"/>
    <w:rsid w:val="B3FB7F52"/>
    <w:rsid w:val="BBF77FB4"/>
    <w:rsid w:val="BC3683A9"/>
    <w:rsid w:val="BCBA9858"/>
    <w:rsid w:val="BDF98B15"/>
    <w:rsid w:val="BEFF69C4"/>
    <w:rsid w:val="BEFFCD39"/>
    <w:rsid w:val="BF7FB67E"/>
    <w:rsid w:val="CBF7E03A"/>
    <w:rsid w:val="CD3B2E0B"/>
    <w:rsid w:val="D5FEB6C2"/>
    <w:rsid w:val="D7E489C2"/>
    <w:rsid w:val="D9F6E1A1"/>
    <w:rsid w:val="DAFF104F"/>
    <w:rsid w:val="DCF33168"/>
    <w:rsid w:val="DE75D9A2"/>
    <w:rsid w:val="DFF399C0"/>
    <w:rsid w:val="DFFB979A"/>
    <w:rsid w:val="E778D1EF"/>
    <w:rsid w:val="E77F8759"/>
    <w:rsid w:val="E7FD1BAA"/>
    <w:rsid w:val="EE7FDFFD"/>
    <w:rsid w:val="F2FC3209"/>
    <w:rsid w:val="F3FD5983"/>
    <w:rsid w:val="F75FFF84"/>
    <w:rsid w:val="FBBD797B"/>
    <w:rsid w:val="FDABCDB4"/>
    <w:rsid w:val="FE7FF851"/>
    <w:rsid w:val="FF5C02E7"/>
    <w:rsid w:val="FF5F9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annotation text"/>
    <w:basedOn w:val="1"/>
    <w:link w:val="16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6"/>
    <w:next w:val="6"/>
    <w:link w:val="17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1684</Words>
  <Characters>1759</Characters>
  <Lines>91</Lines>
  <Paragraphs>66</Paragraphs>
  <TotalTime>0</TotalTime>
  <ScaleCrop>false</ScaleCrop>
  <LinksUpToDate>false</LinksUpToDate>
  <CharactersWithSpaces>1759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2026-01-20T14:30:00Z</dcterms:created>
  <dc:creator>王冕卿</dc:creator>
  <cp:lastModifiedBy>user</cp:lastModifiedBy>
  <cp:lastPrinted>2026-02-26T19:35:00Z</cp:lastPrinted>
  <dcterms:modified xsi:type="dcterms:W3CDTF">2026-02-25T16:06:12Z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B8F043F714C14270A93A055B4ECC2B04_13</vt:lpwstr>
  </property>
  <property fmtid="{D5CDD505-2E9C-101B-9397-08002B2CF9AE}" pid="4" name="KSOTemplateDocerSaveRecord">
    <vt:lpwstr>eyJoZGlkIjoiMjU4ZjRhZTAzY2E2MTNmZTI3MmNhOTQ3Nzg4OTUxNjQiLCJ1c2VySWQiOiIyMDM0ODE3MDgifQ==</vt:lpwstr>
  </property>
</Properties>
</file>