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"/>
        </w:rPr>
        <w:t>平谷区促进直播电商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" w:eastAsia="zh-CN"/>
        </w:rPr>
        <w:t>产业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"/>
        </w:rPr>
        <w:t>高质量发展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"/>
        </w:rPr>
        <w:t>若干措施</w:t>
      </w:r>
    </w:p>
    <w:p>
      <w:pPr>
        <w:pStyle w:val="2"/>
        <w:jc w:val="center"/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" w:eastAsia="zh-CN"/>
        </w:rPr>
        <w:t>（征求意见稿）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jc w:val="both"/>
        <w:textAlignment w:val="auto"/>
        <w:rPr>
          <w:rFonts w:hint="eastAsia" w:ascii="文星标宋" w:eastAsia="文星标宋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right="0" w:rightChars="0"/>
        <w:jc w:val="center"/>
        <w:textAlignment w:val="auto"/>
        <w:outlineLvl w:val="0"/>
        <w:rPr>
          <w:rFonts w:hint="eastAsia"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  <w:lang w:eastAsia="zh-CN"/>
        </w:rPr>
        <w:t>第一章</w:t>
      </w:r>
      <w:r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黑体" w:eastAsia="黑体"/>
          <w:color w:val="auto"/>
          <w:sz w:val="32"/>
          <w:szCs w:val="32"/>
          <w:highlight w:val="none"/>
        </w:rPr>
        <w:t>总则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20" w:lineRule="exact"/>
        <w:textAlignment w:val="auto"/>
        <w:rPr>
          <w:rFonts w:hint="eastAsia"/>
          <w:color w:val="auto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楷体_GB2312" w:hAnsi="黑体" w:eastAsia="楷体_GB2312" w:cs="仿宋_GB2312"/>
          <w:b/>
          <w:color w:val="auto"/>
          <w:kern w:val="2"/>
          <w:sz w:val="32"/>
          <w:szCs w:val="32"/>
          <w:lang w:val="en-US" w:eastAsia="zh-CN" w:bidi="zh-CN"/>
        </w:rPr>
        <w:t>第一条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为加快建设北京（平谷）直播电商产业功能区，推动电商模式创新、业态创新、场景创新，实现以开放营造高质量生态、以服务引导高质量供给、以创新驱动高质量发展，特制定本措施。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楷体_GB2312" w:hAnsi="黑体" w:eastAsia="楷体_GB2312" w:cs="仿宋_GB2312"/>
          <w:b/>
          <w:color w:val="auto"/>
          <w:kern w:val="2"/>
          <w:sz w:val="32"/>
          <w:szCs w:val="32"/>
          <w:lang w:val="en-US" w:eastAsia="zh-CN" w:bidi="zh-CN"/>
        </w:rPr>
        <w:t>第二条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本措施适用于依法进行工商注册，在平谷区从事直播电商相关领域经营、服务、管理的企业、其他市场主体及优秀人才。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right="0" w:rightChars="0"/>
        <w:jc w:val="center"/>
        <w:textAlignment w:val="auto"/>
        <w:outlineLvl w:val="0"/>
        <w:rPr>
          <w:rFonts w:hint="eastAsia" w:asci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  <w:lang w:eastAsia="zh-CN"/>
        </w:rPr>
        <w:t>第二章</w:t>
      </w:r>
      <w:r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黑体" w:eastAsia="黑体"/>
          <w:color w:val="auto"/>
          <w:sz w:val="32"/>
          <w:szCs w:val="32"/>
          <w:highlight w:val="none"/>
          <w:lang w:eastAsia="zh-CN"/>
        </w:rPr>
        <w:t>支持方向与内容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 w:right="0" w:rightChars="0"/>
        <w:jc w:val="center"/>
        <w:textAlignment w:val="auto"/>
        <w:outlineLvl w:val="0"/>
        <w:rPr>
          <w:rFonts w:hint="eastAsia" w:ascii="黑体" w:eastAsia="黑体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3" w:firstLineChars="200"/>
        <w:jc w:val="left"/>
        <w:textAlignment w:val="auto"/>
        <w:outlineLvl w:val="0"/>
        <w:rPr>
          <w:rFonts w:hint="eastAsia" w:ascii="Times New Roman" w:hAnsi="Times New Roman"/>
          <w:sz w:val="32"/>
          <w:lang w:val="en-US" w:eastAsia="zh-CN"/>
        </w:rPr>
      </w:pPr>
      <w:r>
        <w:rPr>
          <w:rFonts w:hint="eastAsia" w:ascii="楷体_GB2312" w:hAnsi="黑体" w:eastAsia="楷体_GB2312" w:cs="仿宋_GB2312"/>
          <w:b/>
          <w:color w:val="auto"/>
          <w:kern w:val="2"/>
          <w:sz w:val="32"/>
          <w:szCs w:val="32"/>
          <w:lang w:val="en-US" w:eastAsia="zh-CN" w:bidi="zh-CN"/>
        </w:rPr>
        <w:t>第三条</w:t>
      </w:r>
      <w:r>
        <w:rPr>
          <w:rFonts w:hint="eastAsia" w:ascii="Times New Roman" w:hAnsi="Times New Roman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做强直播电商产业集群。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（一）建设直播电商园区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支持市场主体打造主题鲜明、特色突出的直播电商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园区，对电商园区（基地）实际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使用面积达3000平米以上，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且年网络零售额5亿元以上、投资额不少于200万元的，按照园区投资额的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0%给予一次性资金扶持，最高不超过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00万元。</w:t>
      </w:r>
      <w:bookmarkStart w:id="0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（二）培育产业示范基地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对获得市级特色直播电商示范基地认定的，按照实际发生的房屋租赁、装修、购置设施设备等费用的30%给予扶持，单个企业最高不超过30万元；对获得商务部认定称号的，在上述条款基础上再给予一次性20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eastAsia="zh-CN" w:bidi="ar"/>
        </w:rPr>
        <w:t>（三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bidi="ar"/>
        </w:rPr>
        <w:t>招引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eastAsia="zh-CN" w:bidi="ar"/>
        </w:rPr>
        <w:t>挖潜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bidi="ar"/>
        </w:rPr>
        <w:t>优质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eastAsia="zh-CN" w:bidi="ar"/>
        </w:rPr>
        <w:t>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。围绕“人、货、场”核心要素，鼓励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直播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电商产业化发展，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对通过网络平台开展自营销售业务的企业，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网络零售额超过2000万元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当年同比增速不低于全市平均增速的，给予30万元的一次性奖励，每增加1000万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再奖励5万元，最高不超过50万元。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Times New Roman" w:hAnsi="Times New Roman"/>
          <w:color w:val="auto"/>
          <w:sz w:val="32"/>
          <w:lang w:val="en-US" w:eastAsia="zh-CN"/>
        </w:rPr>
      </w:pPr>
      <w:r>
        <w:rPr>
          <w:rFonts w:hint="eastAsia" w:ascii="楷体_GB2312" w:hAnsi="黑体" w:eastAsia="楷体_GB2312" w:cs="仿宋_GB2312"/>
          <w:b/>
          <w:color w:val="auto"/>
          <w:kern w:val="2"/>
          <w:sz w:val="32"/>
          <w:szCs w:val="32"/>
          <w:lang w:val="en-US" w:eastAsia="zh-CN" w:bidi="zh-CN"/>
        </w:rPr>
        <w:t>第四条</w:t>
      </w:r>
      <w:r>
        <w:rPr>
          <w:rFonts w:hint="eastAsia" w:ascii="Times New Roman" w:hAnsi="Times New Roman"/>
          <w:color w:val="auto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创新直播电商应用场景。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（一）链入“高大尚产业+产地直播”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。鼓励电商企业立足平谷区产业基础，通过溯源直播销售平谷产品。对年网络零售额500万元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以上，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实现平谷农产品上行、工业品下行的企业，搭建直播间、完善冷链仓储等按投资额的40%进行补贴，最高不超过50万元。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对开展“平谷好物”专场直播，且实际成交额不低于100万元的企业，给予每场成交额1%的活动补贴，单场最高不超过5万元，单个企业年度累计不超过30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（二）融入“数字科技+智能直播”。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鼓励数字化场景应用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培育数字人主播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创建数字直播基地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等途径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，加快数字赋能促进消费升级。对企业应用新技术开发沉浸式消费场景、促进消费成效突出并具有可推广价值的，按其实际投资额的20%给予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补贴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单个企业年度最高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不超过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50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楷体_GB2312" w:hAnsi="黑体" w:eastAsia="楷体_GB2312" w:cs="仿宋_GB2312"/>
          <w:b/>
          <w:color w:val="auto"/>
          <w:kern w:val="2"/>
          <w:sz w:val="32"/>
          <w:szCs w:val="32"/>
          <w:lang w:val="en-US" w:eastAsia="zh-CN" w:bidi="zh-CN"/>
        </w:rPr>
        <w:t>第五条</w:t>
      </w:r>
      <w:r>
        <w:rPr>
          <w:rFonts w:hint="eastAsia" w:ascii="Times New Roman" w:hAnsi="Times New Roman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培育直播电商产业生态。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（一）聚集引进MCN机构。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积极培育引进熟悉市场运作、选品包装、引流获客等服务的MCN服务商。对带动5家以上本地企业年度累计实际成交额1000万元以上的电商服务企业，按照不超过实际成交额的1%给予奖励，单家企业奖励最高不超过100万元。</w:t>
      </w:r>
    </w:p>
    <w:p>
      <w:pPr>
        <w:adjustRightInd w:val="0"/>
        <w:snapToGrid w:val="0"/>
        <w:spacing w:after="0" w:line="52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（二）</w:t>
      </w:r>
      <w:bookmarkStart w:id="1" w:name="OLE_LINK2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孵化平谷品牌。</w:t>
      </w:r>
      <w:bookmarkEnd w:id="1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鼓励企业通过直播电商孵化新产品、新品牌，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农业中关村现代食品营养谷食品企业打造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适合直播电商渠道的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热销产品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对通过直播渠道推出的创新产品年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成交额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首次超1000万元的，给予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0万元的品牌孵化奖励。</w:t>
      </w:r>
    </w:p>
    <w:p>
      <w:pPr>
        <w:adjustRightInd w:val="0"/>
        <w:snapToGrid w:val="0"/>
        <w:spacing w:after="0" w:line="520" w:lineRule="exact"/>
        <w:ind w:firstLine="643" w:firstLineChars="200"/>
        <w:rPr>
          <w:rFonts w:hint="eastAsia" w:ascii="Times New Roman" w:hAnsi="Times New Roman"/>
          <w:sz w:val="32"/>
          <w:lang w:val="en-US" w:eastAsia="zh-CN"/>
        </w:rPr>
      </w:pPr>
      <w:r>
        <w:rPr>
          <w:rFonts w:hint="eastAsia" w:ascii="楷体_GB2312" w:hAnsi="黑体" w:eastAsia="楷体_GB2312" w:cs="仿宋_GB2312"/>
          <w:b/>
          <w:color w:val="auto"/>
          <w:kern w:val="2"/>
          <w:sz w:val="32"/>
          <w:szCs w:val="32"/>
          <w:lang w:val="en-US" w:eastAsia="zh-CN" w:bidi="zh-CN"/>
        </w:rPr>
        <w:t>第六条</w:t>
      </w:r>
      <w:r>
        <w:rPr>
          <w:rFonts w:hint="eastAsia" w:ascii="Times New Roman" w:hAnsi="Times New Roman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激活直播电商发展动能。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（一）开展技能培训。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依托区内园区基地、培训机构等开展电商人才培育，推广“主播带教+实战实训”等模式。每年培训电商人才500人次以上，建立完整的培训档案，培训后3个月内，参训人员实现电商相关就业（如主播、运营、场控）或自主开设直播店铺的比例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20%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以上，给予培训主体最高不超过1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万元一次性补贴。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（二）举办特色活动。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对具有公共性、基础性、服务性的电商产业活动给予经费支持，包括线上线下专业会展、创业创新大赛、宣传推广等，单个项目按实际费用的50%给予承办单位最高不超过30万元的一次性资金扶持。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rPr>
          <w:rFonts w:hint="eastAsia" w:ascii="Times New Roman" w:hAnsi="Times New Roman"/>
          <w:sz w:val="32"/>
          <w:lang w:val="en-US" w:eastAsia="zh-CN"/>
        </w:rPr>
      </w:pPr>
      <w:r>
        <w:rPr>
          <w:rFonts w:hint="eastAsia" w:ascii="楷体_GB2312" w:hAnsi="黑体" w:eastAsia="楷体_GB2312" w:cs="仿宋_GB2312"/>
          <w:b/>
          <w:color w:val="auto"/>
          <w:kern w:val="2"/>
          <w:sz w:val="32"/>
          <w:szCs w:val="32"/>
          <w:lang w:val="en-US" w:eastAsia="zh-CN" w:bidi="zh-CN"/>
        </w:rPr>
        <w:t>第七条</w:t>
      </w:r>
      <w:r>
        <w:rPr>
          <w:rFonts w:hint="eastAsia" w:ascii="Times New Roman" w:hAnsi="Times New Roman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集成直播电商支撑体系</w:t>
      </w:r>
      <w:r>
        <w:rPr>
          <w:rFonts w:hint="eastAsia" w:ascii="Times New Roman" w:hAnsi="Times New Roman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（一）强化物流服务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。支持建设改造一批区级物流配送中心和乡镇街道快递物流站点，对设施设备购置、软硬件建设升级等按照不超过项目审定实际投资额的50%进行支持，最高不超过50万元。对销售平谷区特色农产品的企业，年度快递业务量超10万单的，给予10万元奖励，每增加1万单再奖励3000元，最高不超过30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（二）强化金融支持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。对符合资质认定的直播电商企业发展壮大提供融资支持，年网络零售额达到500万元（纳统企业）以上、增速在10%以上的电商企业获得的自用发展经营（设备、人员、拓展业务等）的商业贷款，经第三方评审机构认定后，可享受基准利率50%的贴息补助，每家每年最多不超过20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黑体" w:eastAsia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right="0" w:rightChars="0"/>
        <w:jc w:val="center"/>
        <w:textAlignment w:val="auto"/>
        <w:outlineLvl w:val="0"/>
        <w:rPr>
          <w:rFonts w:hint="eastAsia"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第三章</w:t>
      </w:r>
      <w:r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黑体" w:eastAsia="黑体"/>
          <w:color w:val="auto"/>
          <w:sz w:val="32"/>
          <w:szCs w:val="32"/>
          <w:highlight w:val="none"/>
        </w:rPr>
        <w:t>资金使用与管理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20" w:lineRule="exact"/>
        <w:ind w:leftChars="0"/>
        <w:textAlignment w:val="auto"/>
        <w:rPr>
          <w:rFonts w:hint="eastAsia" w:ascii="楷体_GB2312" w:hAnsi="黑体" w:eastAsia="楷体_GB2312" w:cs="仿宋_GB2312"/>
          <w:b/>
          <w:color w:val="auto"/>
          <w:kern w:val="2"/>
          <w:sz w:val="32"/>
          <w:szCs w:val="32"/>
          <w:lang w:val="en-US" w:eastAsia="zh-CN" w:bidi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20" w:lineRule="exact"/>
        <w:ind w:leftChars="0" w:firstLine="643" w:firstLineChars="200"/>
        <w:textAlignment w:val="auto"/>
        <w:rPr>
          <w:rFonts w:hint="eastAsia"/>
          <w:color w:val="auto"/>
        </w:rPr>
      </w:pPr>
      <w:r>
        <w:rPr>
          <w:rFonts w:hint="eastAsia" w:ascii="楷体_GB2312" w:hAnsi="黑体" w:eastAsia="楷体_GB2312" w:cs="仿宋_GB2312"/>
          <w:b/>
          <w:color w:val="auto"/>
          <w:kern w:val="2"/>
          <w:sz w:val="32"/>
          <w:szCs w:val="32"/>
          <w:lang w:val="en-US" w:eastAsia="zh-CN" w:bidi="zh-CN"/>
        </w:rPr>
        <w:t xml:space="preserve">第八条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bidi="ar"/>
        </w:rPr>
        <w:t>本措施扶持项目由区商务局负责组织项目申报、评审工作，提出绩效目标。扶持项目所需资金由区级财政负担，并根据财政资金使用管理有关规定履行资金审批程序。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3" w:firstLineChars="200"/>
        <w:textAlignment w:val="auto"/>
        <w:rPr>
          <w:rFonts w:hint="eastAsia" w:ascii="仿宋_GB2312" w:hAnsi="仿宋" w:eastAsia="仿宋_GB2312"/>
          <w:color w:val="auto"/>
          <w:sz w:val="32"/>
          <w:highlight w:val="none"/>
          <w:lang w:eastAsia="zh-CN"/>
        </w:rPr>
      </w:pPr>
      <w:r>
        <w:rPr>
          <w:rFonts w:hint="eastAsia" w:ascii="楷体_GB2312" w:hAnsi="黑体" w:eastAsia="楷体_GB2312" w:cs="仿宋_GB2312"/>
          <w:b/>
          <w:color w:val="auto"/>
          <w:kern w:val="2"/>
          <w:sz w:val="32"/>
          <w:szCs w:val="32"/>
          <w:lang w:val="en-US" w:eastAsia="zh-CN" w:bidi="zh-CN"/>
        </w:rPr>
        <w:t xml:space="preserve">第九条  </w:t>
      </w:r>
      <w:r>
        <w:rPr>
          <w:rFonts w:hint="eastAsia" w:ascii="仿宋_GB2312" w:hAnsi="仿宋" w:eastAsia="仿宋_GB2312"/>
          <w:color w:val="auto"/>
          <w:sz w:val="32"/>
          <w:highlight w:val="none"/>
          <w:lang w:eastAsia="zh-CN"/>
        </w:rPr>
        <w:t>申报</w:t>
      </w:r>
      <w:r>
        <w:rPr>
          <w:rFonts w:hint="eastAsia" w:ascii="仿宋_GB2312" w:hAnsi="仿宋" w:eastAsia="仿宋_GB2312"/>
          <w:color w:val="auto"/>
          <w:sz w:val="32"/>
          <w:highlight w:val="none"/>
          <w:lang w:val="en-US" w:eastAsia="zh-CN"/>
        </w:rPr>
        <w:t>主体</w:t>
      </w:r>
      <w:r>
        <w:rPr>
          <w:rFonts w:hint="eastAsia" w:ascii="仿宋_GB2312" w:hAnsi="仿宋" w:eastAsia="仿宋_GB2312"/>
          <w:color w:val="auto"/>
          <w:sz w:val="32"/>
          <w:highlight w:val="none"/>
          <w:lang w:eastAsia="zh-CN"/>
        </w:rPr>
        <w:t>应确保申报材料真实、准确、完整，保证项目各项建设手续合规、按时间进度推进，不得擅自篡改相关报表信息。对于伪造、提供虚假材料的项目申报</w:t>
      </w:r>
      <w:r>
        <w:rPr>
          <w:rFonts w:hint="eastAsia" w:ascii="仿宋_GB2312" w:hAnsi="仿宋" w:eastAsia="仿宋_GB2312"/>
          <w:color w:val="auto"/>
          <w:sz w:val="32"/>
          <w:highlight w:val="none"/>
          <w:lang w:val="en-US" w:eastAsia="zh-CN"/>
        </w:rPr>
        <w:t>主体</w:t>
      </w:r>
      <w:r>
        <w:rPr>
          <w:rFonts w:hint="eastAsia" w:ascii="仿宋_GB2312" w:hAnsi="仿宋" w:eastAsia="仿宋_GB2312"/>
          <w:color w:val="auto"/>
          <w:sz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highlight w:val="none"/>
          <w:lang w:val="en-US" w:eastAsia="zh-CN"/>
        </w:rPr>
        <w:t>一经查实，应</w:t>
      </w:r>
      <w:r>
        <w:rPr>
          <w:rFonts w:hint="eastAsia" w:ascii="仿宋_GB2312" w:hAnsi="仿宋" w:eastAsia="仿宋_GB2312"/>
          <w:color w:val="auto"/>
          <w:sz w:val="32"/>
          <w:highlight w:val="none"/>
          <w:lang w:eastAsia="zh-CN"/>
        </w:rPr>
        <w:t>退回已获得的扶持资金。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outlineLvl w:val="9"/>
        <w:rPr>
          <w:rFonts w:hint="eastAsia" w:ascii="仿宋_GB2312" w:hAnsi="仿宋" w:eastAsia="仿宋_GB2312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eastAsia" w:ascii="楷体_GB2312" w:hAnsi="黑体" w:eastAsia="楷体_GB2312" w:cs="仿宋_GB2312"/>
          <w:b/>
          <w:color w:val="auto"/>
          <w:kern w:val="2"/>
          <w:sz w:val="32"/>
          <w:szCs w:val="32"/>
          <w:lang w:val="en-US" w:eastAsia="zh-CN" w:bidi="zh-CN"/>
        </w:rPr>
        <w:t>第十条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highlight w:val="none"/>
          <w:lang w:val="en-US" w:eastAsia="zh-CN"/>
        </w:rPr>
        <w:t xml:space="preserve">  有下列情形的不予支持：被列入《北京市新增产业的禁止和限制目录》禁止类和限制类范围的；发生重大生产安全事故或重大火灾事故的；经审议具有其他不予支持情形的。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rPr>
          <w:rFonts w:hint="eastAsia" w:ascii="黑体" w:eastAsia="黑体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right="0" w:rightChars="0"/>
        <w:jc w:val="center"/>
        <w:textAlignment w:val="auto"/>
        <w:outlineLvl w:val="0"/>
        <w:rPr>
          <w:rFonts w:hint="eastAsia"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  <w:t xml:space="preserve">第四章  </w:t>
      </w:r>
      <w:r>
        <w:rPr>
          <w:rFonts w:hint="eastAsia" w:ascii="黑体" w:eastAsia="黑体"/>
          <w:color w:val="auto"/>
          <w:sz w:val="32"/>
          <w:szCs w:val="32"/>
          <w:highlight w:val="none"/>
        </w:rPr>
        <w:t>附则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20" w:lineRule="exact"/>
        <w:ind w:leftChars="0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3" w:firstLineChars="200"/>
        <w:textAlignment w:val="auto"/>
        <w:rPr>
          <w:rFonts w:hint="eastAsia" w:ascii="仿宋_GB2312" w:hAnsi="仿宋" w:eastAsia="仿宋_GB2312"/>
          <w:color w:val="auto"/>
          <w:sz w:val="32"/>
          <w:highlight w:val="none"/>
        </w:rPr>
      </w:pPr>
      <w:r>
        <w:rPr>
          <w:rFonts w:hint="eastAsia" w:ascii="楷体_GB2312" w:hAnsi="黑体" w:eastAsia="楷体_GB2312" w:cs="仿宋_GB2312"/>
          <w:b/>
          <w:color w:val="auto"/>
          <w:kern w:val="2"/>
          <w:sz w:val="32"/>
          <w:szCs w:val="32"/>
          <w:lang w:val="en-US" w:eastAsia="zh-CN" w:bidi="zh-CN"/>
        </w:rPr>
        <w:t>第</w:t>
      </w:r>
      <w:r>
        <w:rPr>
          <w:rFonts w:hint="eastAsia" w:ascii="楷体_GB2312" w:hAnsi="黑体" w:eastAsia="楷体_GB2312" w:cs="仿宋_GB2312"/>
          <w:b/>
          <w:color w:val="auto"/>
          <w:kern w:val="2"/>
          <w:sz w:val="32"/>
          <w:szCs w:val="32"/>
          <w:highlight w:val="none"/>
          <w:lang w:val="en-US" w:eastAsia="zh-CN" w:bidi="zh-CN"/>
        </w:rPr>
        <w:t xml:space="preserve">十一条  </w:t>
      </w:r>
      <w:r>
        <w:rPr>
          <w:rFonts w:hint="eastAsia" w:ascii="仿宋_GB2312" w:hAnsi="仿宋" w:eastAsia="仿宋_GB2312"/>
          <w:color w:val="auto"/>
          <w:sz w:val="32"/>
          <w:highlight w:val="none"/>
        </w:rPr>
        <w:t>本</w:t>
      </w:r>
      <w:r>
        <w:rPr>
          <w:rFonts w:hint="eastAsia" w:ascii="仿宋_GB2312" w:hAnsi="仿宋" w:eastAsia="仿宋_GB2312"/>
          <w:color w:val="auto"/>
          <w:sz w:val="32"/>
          <w:highlight w:val="none"/>
          <w:lang w:eastAsia="zh-CN"/>
        </w:rPr>
        <w:t>措施</w:t>
      </w:r>
      <w:r>
        <w:rPr>
          <w:rFonts w:hint="eastAsia" w:ascii="仿宋_GB2312" w:hAnsi="仿宋" w:eastAsia="仿宋_GB2312"/>
          <w:color w:val="auto"/>
          <w:sz w:val="32"/>
          <w:highlight w:val="none"/>
        </w:rPr>
        <w:t>中的财政支持政策与</w:t>
      </w:r>
      <w:r>
        <w:rPr>
          <w:rFonts w:hint="eastAsia" w:ascii="仿宋_GB2312" w:hAnsi="仿宋" w:eastAsia="仿宋_GB2312"/>
          <w:color w:val="auto"/>
          <w:sz w:val="32"/>
          <w:highlight w:val="none"/>
          <w:lang w:val="en-US" w:eastAsia="zh-CN"/>
        </w:rPr>
        <w:t>平谷</w:t>
      </w:r>
      <w:r>
        <w:rPr>
          <w:rFonts w:hint="eastAsia" w:ascii="仿宋_GB2312" w:hAnsi="仿宋" w:eastAsia="仿宋_GB2312"/>
          <w:color w:val="auto"/>
          <w:sz w:val="32"/>
          <w:highlight w:val="none"/>
        </w:rPr>
        <w:t>区现行相关财政政策不能重复享受。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20" w:lineRule="exact"/>
        <w:rPr>
          <w:rFonts w:hint="eastAsia" w:ascii="仿宋_GB2312" w:hAnsi="仿宋" w:eastAsia="仿宋_GB2312"/>
          <w:color w:val="auto"/>
          <w:sz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highlight w:val="none"/>
          <w:lang w:val="en-US" w:eastAsia="zh-CN"/>
        </w:rPr>
        <w:t xml:space="preserve">    </w:t>
      </w:r>
      <w:r>
        <w:rPr>
          <w:rFonts w:hint="eastAsia" w:ascii="楷体_GB2312" w:hAnsi="黑体" w:eastAsia="楷体_GB2312" w:cs="仿宋_GB2312"/>
          <w:b/>
          <w:color w:val="auto"/>
          <w:kern w:val="2"/>
          <w:sz w:val="32"/>
          <w:szCs w:val="32"/>
          <w:highlight w:val="none"/>
          <w:lang w:val="en-US" w:eastAsia="zh-CN" w:bidi="zh-CN"/>
        </w:rPr>
        <w:t>第十二条</w:t>
      </w:r>
      <w:r>
        <w:rPr>
          <w:rFonts w:hint="eastAsia" w:ascii="仿宋_GB2312" w:hAnsi="仿宋" w:eastAsia="仿宋_GB2312"/>
          <w:color w:val="auto"/>
          <w:sz w:val="32"/>
          <w:highlight w:val="none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highlight w:val="none"/>
        </w:rPr>
        <w:t>本</w:t>
      </w:r>
      <w:r>
        <w:rPr>
          <w:rFonts w:hint="eastAsia" w:ascii="仿宋_GB2312" w:hAnsi="仿宋" w:eastAsia="仿宋_GB2312"/>
          <w:color w:val="auto"/>
          <w:sz w:val="32"/>
          <w:highlight w:val="none"/>
          <w:lang w:eastAsia="zh-CN"/>
        </w:rPr>
        <w:t>措施</w:t>
      </w:r>
      <w:r>
        <w:rPr>
          <w:rFonts w:hint="eastAsia" w:ascii="仿宋_GB2312" w:hAnsi="仿宋" w:eastAsia="仿宋_GB2312"/>
          <w:color w:val="auto"/>
          <w:sz w:val="32"/>
          <w:highlight w:val="none"/>
        </w:rPr>
        <w:t>未尽事宜，按照法律法规和规章等有关</w:t>
      </w:r>
      <w:r>
        <w:rPr>
          <w:rFonts w:hint="eastAsia" w:ascii="仿宋_GB2312" w:hAnsi="仿宋" w:eastAsia="仿宋_GB2312"/>
          <w:color w:val="auto"/>
          <w:sz w:val="32"/>
          <w:highlight w:val="none"/>
          <w:lang w:eastAsia="zh-CN"/>
        </w:rPr>
        <w:t>办法</w:t>
      </w:r>
      <w:r>
        <w:rPr>
          <w:rFonts w:hint="eastAsia" w:ascii="仿宋_GB2312" w:hAnsi="仿宋" w:eastAsia="仿宋_GB2312"/>
          <w:color w:val="auto"/>
          <w:sz w:val="32"/>
          <w:highlight w:val="none"/>
        </w:rPr>
        <w:t>执行。遇国家和北京市政策发生较大调整时，本</w:t>
      </w:r>
      <w:r>
        <w:rPr>
          <w:rFonts w:hint="eastAsia" w:ascii="仿宋_GB2312" w:hAnsi="仿宋" w:eastAsia="仿宋_GB2312"/>
          <w:color w:val="auto"/>
          <w:sz w:val="32"/>
          <w:highlight w:val="none"/>
          <w:lang w:eastAsia="zh-CN"/>
        </w:rPr>
        <w:t>措施</w:t>
      </w:r>
      <w:r>
        <w:rPr>
          <w:rFonts w:hint="eastAsia" w:ascii="仿宋_GB2312" w:hAnsi="仿宋" w:eastAsia="仿宋_GB2312"/>
          <w:color w:val="auto"/>
          <w:sz w:val="32"/>
          <w:highlight w:val="none"/>
        </w:rPr>
        <w:t>将进行相应调整</w:t>
      </w:r>
      <w:r>
        <w:rPr>
          <w:rFonts w:hint="eastAsia" w:ascii="仿宋_GB2312" w:hAnsi="仿宋" w:eastAsia="仿宋_GB2312"/>
          <w:color w:val="auto"/>
          <w:sz w:val="32"/>
          <w:highlight w:val="none"/>
          <w:lang w:eastAsia="zh-CN"/>
        </w:rPr>
        <w:t>，并按调整后的相关规定执行</w:t>
      </w:r>
      <w:r>
        <w:rPr>
          <w:rFonts w:hint="eastAsia" w:ascii="仿宋_GB2312" w:hAnsi="仿宋" w:eastAsia="仿宋_GB2312"/>
          <w:color w:val="auto"/>
          <w:sz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textAlignment w:val="auto"/>
        <w:rPr>
          <w:rFonts w:hint="default" w:ascii="仿宋_GB2312" w:hAnsi="仿宋" w:eastAsia="仿宋_GB2312"/>
          <w:color w:val="auto"/>
          <w:sz w:val="32"/>
          <w:highlight w:val="none"/>
        </w:rPr>
      </w:pPr>
      <w:r>
        <w:rPr>
          <w:rFonts w:hint="eastAsia" w:ascii="楷体_GB2312" w:hAnsi="黑体" w:eastAsia="楷体_GB2312" w:cs="仿宋_GB2312"/>
          <w:b/>
          <w:color w:val="auto"/>
          <w:kern w:val="2"/>
          <w:sz w:val="32"/>
          <w:szCs w:val="32"/>
          <w:highlight w:val="none"/>
          <w:lang w:val="en-US" w:eastAsia="zh-CN" w:bidi="zh-CN"/>
        </w:rPr>
        <w:t>第十三条</w:t>
      </w:r>
      <w:r>
        <w:rPr>
          <w:rFonts w:hint="eastAsia" w:ascii="仿宋_GB2312" w:hAnsi="仿宋" w:eastAsia="仿宋_GB2312"/>
          <w:color w:val="auto"/>
          <w:sz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" w:eastAsia="仿宋_GB2312"/>
          <w:color w:val="auto"/>
          <w:sz w:val="32"/>
          <w:highlight w:val="none"/>
        </w:rPr>
        <w:t>企业、</w:t>
      </w:r>
      <w:r>
        <w:rPr>
          <w:rFonts w:hint="eastAsia" w:ascii="仿宋_GB2312" w:hAnsi="仿宋" w:eastAsia="仿宋_GB2312"/>
          <w:color w:val="auto"/>
          <w:sz w:val="32"/>
          <w:highlight w:val="none"/>
          <w:lang w:eastAsia="zh-CN"/>
        </w:rPr>
        <w:t>个人</w:t>
      </w:r>
      <w:r>
        <w:rPr>
          <w:rFonts w:hint="default" w:ascii="仿宋_GB2312" w:hAnsi="仿宋" w:eastAsia="仿宋_GB2312"/>
          <w:color w:val="auto"/>
          <w:sz w:val="32"/>
          <w:highlight w:val="none"/>
        </w:rPr>
        <w:t>在取得本</w:t>
      </w:r>
      <w:r>
        <w:rPr>
          <w:rFonts w:hint="eastAsia" w:ascii="仿宋_GB2312" w:hAnsi="仿宋" w:eastAsia="仿宋_GB2312"/>
          <w:color w:val="auto"/>
          <w:sz w:val="32"/>
          <w:highlight w:val="none"/>
          <w:lang w:val="en-US" w:eastAsia="zh-CN"/>
        </w:rPr>
        <w:t>措施</w:t>
      </w:r>
      <w:r>
        <w:rPr>
          <w:rFonts w:hint="default" w:ascii="仿宋_GB2312" w:hAnsi="仿宋" w:eastAsia="仿宋_GB2312"/>
          <w:color w:val="auto"/>
          <w:sz w:val="32"/>
          <w:highlight w:val="none"/>
        </w:rPr>
        <w:t>的相关支持后，被发现存在虚报</w:t>
      </w:r>
      <w:r>
        <w:rPr>
          <w:rFonts w:hint="eastAsia" w:ascii="仿宋_GB2312" w:hAnsi="仿宋" w:eastAsia="仿宋_GB2312"/>
          <w:color w:val="auto"/>
          <w:sz w:val="32"/>
          <w:highlight w:val="none"/>
          <w:lang w:eastAsia="zh-CN"/>
        </w:rPr>
        <w:t>数据</w:t>
      </w:r>
      <w:r>
        <w:rPr>
          <w:rFonts w:hint="default" w:ascii="仿宋_GB2312" w:hAnsi="仿宋" w:eastAsia="仿宋_GB2312"/>
          <w:color w:val="auto"/>
          <w:sz w:val="32"/>
          <w:highlight w:val="none"/>
        </w:rPr>
        <w:t>、伪造申请材料、违规转让补贴资金等不当行为</w:t>
      </w:r>
      <w:r>
        <w:rPr>
          <w:rFonts w:hint="eastAsia" w:ascii="仿宋_GB2312" w:hAnsi="仿宋" w:eastAsia="仿宋_GB2312"/>
          <w:color w:val="auto"/>
          <w:sz w:val="32"/>
          <w:highlight w:val="none"/>
          <w:lang w:eastAsia="zh-CN"/>
        </w:rPr>
        <w:t>或其他重大违法违规</w:t>
      </w:r>
      <w:r>
        <w:rPr>
          <w:rFonts w:hint="default" w:ascii="仿宋_GB2312" w:hAnsi="仿宋" w:eastAsia="仿宋_GB2312"/>
          <w:color w:val="auto"/>
          <w:sz w:val="32"/>
          <w:highlight w:val="none"/>
        </w:rPr>
        <w:t>行为</w:t>
      </w:r>
      <w:r>
        <w:rPr>
          <w:rFonts w:hint="eastAsia" w:ascii="仿宋_GB2312" w:hAnsi="仿宋" w:eastAsia="仿宋_GB2312"/>
          <w:color w:val="auto"/>
          <w:sz w:val="32"/>
          <w:highlight w:val="none"/>
          <w:lang w:eastAsia="zh-CN"/>
        </w:rPr>
        <w:t>，平谷区</w:t>
      </w:r>
      <w:r>
        <w:rPr>
          <w:rFonts w:hint="eastAsia" w:ascii="仿宋_GB2312" w:hAnsi="仿宋" w:eastAsia="仿宋_GB2312"/>
          <w:color w:val="auto"/>
          <w:sz w:val="32"/>
          <w:highlight w:val="none"/>
        </w:rPr>
        <w:t>有关部门</w:t>
      </w:r>
      <w:r>
        <w:rPr>
          <w:rFonts w:hint="default" w:ascii="仿宋_GB2312" w:hAnsi="仿宋" w:eastAsia="仿宋_GB2312"/>
          <w:color w:val="auto"/>
          <w:sz w:val="32"/>
          <w:highlight w:val="none"/>
        </w:rPr>
        <w:t>有权停止政策支持，并保留相应的追索权。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highlight w:val="none"/>
          <w:u w:val="none"/>
        </w:rPr>
      </w:pPr>
      <w:r>
        <w:rPr>
          <w:rFonts w:hint="eastAsia" w:ascii="楷体_GB2312" w:hAnsi="黑体" w:eastAsia="楷体_GB2312" w:cs="仿宋_GB2312"/>
          <w:b/>
          <w:color w:val="auto"/>
          <w:kern w:val="2"/>
          <w:sz w:val="32"/>
          <w:szCs w:val="32"/>
          <w:highlight w:val="none"/>
          <w:lang w:val="en-US" w:eastAsia="zh-CN" w:bidi="zh-CN"/>
        </w:rPr>
        <w:t xml:space="preserve">第十四条  </w:t>
      </w:r>
      <w:r>
        <w:rPr>
          <w:rFonts w:hint="eastAsia" w:ascii="仿宋_GB2312" w:hAnsi="仿宋" w:eastAsia="仿宋_GB2312"/>
          <w:color w:val="auto"/>
          <w:sz w:val="32"/>
          <w:highlight w:val="none"/>
        </w:rPr>
        <w:t>本</w:t>
      </w:r>
      <w:r>
        <w:rPr>
          <w:rFonts w:hint="eastAsia" w:ascii="仿宋_GB2312" w:hAnsi="仿宋" w:eastAsia="仿宋_GB2312"/>
          <w:color w:val="auto"/>
          <w:sz w:val="32"/>
          <w:highlight w:val="none"/>
          <w:lang w:eastAsia="zh-CN"/>
        </w:rPr>
        <w:t>措施</w:t>
      </w:r>
      <w:r>
        <w:rPr>
          <w:rFonts w:hint="eastAsia" w:ascii="仿宋_GB2312" w:hAnsi="仿宋" w:eastAsia="仿宋_GB2312"/>
          <w:color w:val="auto"/>
          <w:sz w:val="32"/>
          <w:highlight w:val="none"/>
        </w:rPr>
        <w:t>自</w:t>
      </w:r>
      <w:r>
        <w:rPr>
          <w:rFonts w:hint="eastAsia" w:ascii="仿宋_GB2312" w:hAnsi="仿宋" w:eastAsia="仿宋_GB2312"/>
          <w:color w:val="auto"/>
          <w:sz w:val="32"/>
          <w:highlight w:val="none"/>
          <w:lang w:eastAsia="zh-CN"/>
        </w:rPr>
        <w:t>发布之日</w:t>
      </w:r>
      <w:r>
        <w:rPr>
          <w:rFonts w:hint="eastAsia" w:ascii="仿宋_GB2312" w:hAnsi="仿宋" w:eastAsia="仿宋_GB2312"/>
          <w:color w:val="auto"/>
          <w:sz w:val="32"/>
          <w:highlight w:val="none"/>
        </w:rPr>
        <w:t>起施行</w:t>
      </w:r>
      <w:r>
        <w:rPr>
          <w:rFonts w:hint="eastAsia" w:ascii="仿宋_GB2312" w:hAnsi="仿宋" w:eastAsia="仿宋_GB2312"/>
          <w:color w:val="auto"/>
          <w:sz w:val="32"/>
          <w:highlight w:val="none"/>
          <w:u w:val="none"/>
        </w:rPr>
        <w:t>，</w:t>
      </w:r>
      <w:r>
        <w:rPr>
          <w:rFonts w:hint="eastAsia" w:ascii="仿宋_GB2312" w:hAnsi="仿宋" w:eastAsia="仿宋_GB2312"/>
          <w:color w:val="auto"/>
          <w:sz w:val="32"/>
          <w:highlight w:val="none"/>
          <w:u w:val="none"/>
          <w:lang w:eastAsia="zh-CN"/>
        </w:rPr>
        <w:t>有效期</w:t>
      </w:r>
      <w:r>
        <w:rPr>
          <w:rFonts w:hint="eastAsia" w:ascii="仿宋_GB2312" w:hAnsi="仿宋" w:eastAsia="仿宋_GB2312"/>
          <w:color w:val="auto"/>
          <w:sz w:val="32"/>
          <w:highlight w:val="none"/>
          <w:u w:val="none"/>
          <w:lang w:val="en-US" w:eastAsia="zh-CN"/>
        </w:rPr>
        <w:t>两</w:t>
      </w:r>
      <w:r>
        <w:rPr>
          <w:rFonts w:hint="eastAsia" w:ascii="仿宋_GB2312" w:hAnsi="仿宋" w:eastAsia="仿宋_GB2312"/>
          <w:color w:val="auto"/>
          <w:sz w:val="32"/>
          <w:highlight w:val="none"/>
          <w:u w:val="none"/>
        </w:rPr>
        <w:t>年。</w:t>
      </w:r>
    </w:p>
    <w:p>
      <w:pPr>
        <w:pStyle w:val="2"/>
        <w:ind w:firstLine="643" w:firstLineChars="200"/>
        <w:rPr>
          <w:rFonts w:hint="eastAsia"/>
          <w:lang w:val="en-US" w:eastAsia="zh-CN"/>
        </w:rPr>
      </w:pPr>
      <w:r>
        <w:rPr>
          <w:rFonts w:hint="eastAsia" w:ascii="楷体_GB2312" w:hAnsi="黑体" w:eastAsia="楷体_GB2312" w:cs="仿宋_GB2312"/>
          <w:b/>
          <w:color w:val="auto"/>
          <w:kern w:val="2"/>
          <w:sz w:val="32"/>
          <w:szCs w:val="32"/>
          <w:highlight w:val="none"/>
          <w:lang w:val="en-US" w:eastAsia="zh-CN" w:bidi="zh-CN"/>
        </w:rPr>
        <w:t xml:space="preserve">第十五条  </w:t>
      </w:r>
      <w:r>
        <w:rPr>
          <w:rFonts w:hint="eastAsia" w:ascii="仿宋_GB2312" w:hAnsi="仿宋" w:eastAsia="仿宋_GB2312"/>
          <w:color w:val="auto"/>
          <w:sz w:val="32"/>
          <w:highlight w:val="none"/>
        </w:rPr>
        <w:t>本</w:t>
      </w:r>
      <w:r>
        <w:rPr>
          <w:rFonts w:hint="eastAsia" w:ascii="仿宋_GB2312" w:hAnsi="仿宋" w:eastAsia="仿宋_GB2312"/>
          <w:color w:val="auto"/>
          <w:sz w:val="32"/>
          <w:highlight w:val="none"/>
          <w:lang w:val="en-US" w:eastAsia="zh-CN"/>
        </w:rPr>
        <w:t>措施</w:t>
      </w:r>
      <w:r>
        <w:rPr>
          <w:rFonts w:hint="eastAsia" w:ascii="仿宋_GB2312" w:hAnsi="仿宋" w:eastAsia="仿宋_GB2312"/>
          <w:color w:val="auto"/>
          <w:sz w:val="32"/>
          <w:highlight w:val="none"/>
        </w:rPr>
        <w:t>有关具体</w:t>
      </w:r>
      <w:r>
        <w:rPr>
          <w:rFonts w:hint="eastAsia" w:ascii="仿宋_GB2312" w:hAnsi="仿宋" w:eastAsia="仿宋_GB2312"/>
          <w:color w:val="auto"/>
          <w:sz w:val="32"/>
          <w:highlight w:val="none"/>
          <w:lang w:eastAsia="zh-CN"/>
        </w:rPr>
        <w:t>规定</w:t>
      </w:r>
      <w:r>
        <w:rPr>
          <w:rFonts w:hint="eastAsia" w:ascii="仿宋_GB2312" w:hAnsi="仿宋" w:eastAsia="仿宋_GB2312"/>
          <w:color w:val="auto"/>
          <w:sz w:val="32"/>
          <w:highlight w:val="none"/>
        </w:rPr>
        <w:t>由</w:t>
      </w:r>
      <w:r>
        <w:rPr>
          <w:rFonts w:hint="eastAsia" w:ascii="仿宋_GB2312" w:hAnsi="仿宋" w:eastAsia="仿宋_GB2312"/>
          <w:color w:val="auto"/>
          <w:sz w:val="32"/>
          <w:highlight w:val="none"/>
          <w:lang w:val="en-US" w:eastAsia="zh-CN"/>
        </w:rPr>
        <w:t>平谷</w:t>
      </w:r>
      <w:r>
        <w:rPr>
          <w:rFonts w:hint="eastAsia" w:ascii="仿宋_GB2312" w:hAnsi="仿宋" w:eastAsia="仿宋_GB2312"/>
          <w:color w:val="auto"/>
          <w:sz w:val="32"/>
          <w:highlight w:val="none"/>
        </w:rPr>
        <w:t>区商务</w:t>
      </w:r>
      <w:r>
        <w:rPr>
          <w:rFonts w:hint="eastAsia" w:ascii="仿宋_GB2312" w:hAnsi="仿宋" w:eastAsia="仿宋_GB2312"/>
          <w:color w:val="auto"/>
          <w:sz w:val="32"/>
          <w:highlight w:val="none"/>
          <w:lang w:eastAsia="zh-CN"/>
        </w:rPr>
        <w:t>局</w:t>
      </w:r>
      <w:r>
        <w:rPr>
          <w:rFonts w:hint="eastAsia" w:ascii="仿宋_GB2312" w:hAnsi="仿宋" w:eastAsia="仿宋_GB2312"/>
          <w:color w:val="auto"/>
          <w:sz w:val="32"/>
          <w:highlight w:val="none"/>
          <w:lang w:val="en-US" w:eastAsia="zh-CN"/>
        </w:rPr>
        <w:t>会</w:t>
      </w:r>
      <w:r>
        <w:rPr>
          <w:rFonts w:hint="eastAsia" w:ascii="仿宋_GB2312" w:hAnsi="仿宋" w:eastAsia="仿宋_GB2312"/>
          <w:color w:val="auto"/>
          <w:sz w:val="32"/>
          <w:highlight w:val="none"/>
        </w:rPr>
        <w:t>同有关部门负责解释</w:t>
      </w:r>
      <w:r>
        <w:rPr>
          <w:rFonts w:hint="eastAsia" w:ascii="仿宋_GB2312" w:hAnsi="仿宋" w:eastAsia="仿宋_GB2312"/>
          <w:color w:val="auto"/>
          <w:sz w:val="32"/>
          <w:highlight w:val="none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b4oDrRAAAA&#10;AgEAAA8AAAAAAAAAAQAgAAAAIgAAAGRycy9kb3ducmV2LnhtbFBLAQIUABQAAAAIAIdO4kB3zlGF&#10;sgEAAFkDAAAOAAAAAAAAAAEAIAAAACA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219A"/>
    <w:rsid w:val="000D0EF4"/>
    <w:rsid w:val="001B15CD"/>
    <w:rsid w:val="001D0838"/>
    <w:rsid w:val="001D6CBA"/>
    <w:rsid w:val="00217181"/>
    <w:rsid w:val="00637152"/>
    <w:rsid w:val="006B0179"/>
    <w:rsid w:val="007D643B"/>
    <w:rsid w:val="00833526"/>
    <w:rsid w:val="00867E7F"/>
    <w:rsid w:val="008B2CA2"/>
    <w:rsid w:val="009663C8"/>
    <w:rsid w:val="009D6E05"/>
    <w:rsid w:val="00A41F7F"/>
    <w:rsid w:val="00AE1E3F"/>
    <w:rsid w:val="00BD34FC"/>
    <w:rsid w:val="00D4B223"/>
    <w:rsid w:val="00F64603"/>
    <w:rsid w:val="00FB79F9"/>
    <w:rsid w:val="00FD1735"/>
    <w:rsid w:val="00FF1BD5"/>
    <w:rsid w:val="01172AD2"/>
    <w:rsid w:val="019A6F2A"/>
    <w:rsid w:val="019D6B23"/>
    <w:rsid w:val="02221BA9"/>
    <w:rsid w:val="02B91CDD"/>
    <w:rsid w:val="03142DB9"/>
    <w:rsid w:val="039A2B0D"/>
    <w:rsid w:val="03A74512"/>
    <w:rsid w:val="03F32E1D"/>
    <w:rsid w:val="0434117A"/>
    <w:rsid w:val="046A5B12"/>
    <w:rsid w:val="05157603"/>
    <w:rsid w:val="0554F13F"/>
    <w:rsid w:val="05681C08"/>
    <w:rsid w:val="05DA1DEA"/>
    <w:rsid w:val="05E075C5"/>
    <w:rsid w:val="05ED519D"/>
    <w:rsid w:val="06067F44"/>
    <w:rsid w:val="062925D6"/>
    <w:rsid w:val="0651B6E4"/>
    <w:rsid w:val="065F5178"/>
    <w:rsid w:val="06936E42"/>
    <w:rsid w:val="06C6013F"/>
    <w:rsid w:val="06CF054B"/>
    <w:rsid w:val="072726E4"/>
    <w:rsid w:val="073C31C4"/>
    <w:rsid w:val="074728D8"/>
    <w:rsid w:val="0752170C"/>
    <w:rsid w:val="076F6178"/>
    <w:rsid w:val="077C0DD9"/>
    <w:rsid w:val="07802B66"/>
    <w:rsid w:val="07806889"/>
    <w:rsid w:val="07A27256"/>
    <w:rsid w:val="08646DF0"/>
    <w:rsid w:val="087877A7"/>
    <w:rsid w:val="0903154E"/>
    <w:rsid w:val="092F131E"/>
    <w:rsid w:val="09575D66"/>
    <w:rsid w:val="099D2816"/>
    <w:rsid w:val="09DD09D0"/>
    <w:rsid w:val="0A166C73"/>
    <w:rsid w:val="0A1A7238"/>
    <w:rsid w:val="0A47414B"/>
    <w:rsid w:val="0A7B3393"/>
    <w:rsid w:val="0AFE623C"/>
    <w:rsid w:val="0B0A71DD"/>
    <w:rsid w:val="0B231A0D"/>
    <w:rsid w:val="0B3C4E34"/>
    <w:rsid w:val="0B53577E"/>
    <w:rsid w:val="0B657384"/>
    <w:rsid w:val="0B6A4C6A"/>
    <w:rsid w:val="0B894033"/>
    <w:rsid w:val="0BC35C62"/>
    <w:rsid w:val="0C216677"/>
    <w:rsid w:val="0C5B720C"/>
    <w:rsid w:val="0C5E608C"/>
    <w:rsid w:val="0C716B91"/>
    <w:rsid w:val="0C784838"/>
    <w:rsid w:val="0C7E629C"/>
    <w:rsid w:val="0D3A3585"/>
    <w:rsid w:val="0DD3105B"/>
    <w:rsid w:val="0E361C5F"/>
    <w:rsid w:val="0E736081"/>
    <w:rsid w:val="0EED45B7"/>
    <w:rsid w:val="0F010FE2"/>
    <w:rsid w:val="0F07AA7C"/>
    <w:rsid w:val="0F12089D"/>
    <w:rsid w:val="0F28749F"/>
    <w:rsid w:val="0F544A02"/>
    <w:rsid w:val="0F603211"/>
    <w:rsid w:val="0F6A495E"/>
    <w:rsid w:val="0FC07A08"/>
    <w:rsid w:val="104C2A14"/>
    <w:rsid w:val="107549CB"/>
    <w:rsid w:val="10BB10F7"/>
    <w:rsid w:val="10BC774A"/>
    <w:rsid w:val="11055E17"/>
    <w:rsid w:val="116CA3F3"/>
    <w:rsid w:val="117B1B87"/>
    <w:rsid w:val="118F2404"/>
    <w:rsid w:val="11A7756A"/>
    <w:rsid w:val="11AC7B0F"/>
    <w:rsid w:val="11C00E72"/>
    <w:rsid w:val="1219356A"/>
    <w:rsid w:val="12659C50"/>
    <w:rsid w:val="12AF1362"/>
    <w:rsid w:val="12CC6224"/>
    <w:rsid w:val="12DD274A"/>
    <w:rsid w:val="12F40447"/>
    <w:rsid w:val="133440AE"/>
    <w:rsid w:val="1351399F"/>
    <w:rsid w:val="13963BFA"/>
    <w:rsid w:val="13E10145"/>
    <w:rsid w:val="142B0F8F"/>
    <w:rsid w:val="1457136E"/>
    <w:rsid w:val="1463735C"/>
    <w:rsid w:val="149C5646"/>
    <w:rsid w:val="14E8517F"/>
    <w:rsid w:val="15234AB2"/>
    <w:rsid w:val="15AC363D"/>
    <w:rsid w:val="160379EF"/>
    <w:rsid w:val="16236BE7"/>
    <w:rsid w:val="16431852"/>
    <w:rsid w:val="16564059"/>
    <w:rsid w:val="16566E9F"/>
    <w:rsid w:val="165908A5"/>
    <w:rsid w:val="16973D57"/>
    <w:rsid w:val="16B56BCA"/>
    <w:rsid w:val="170562F0"/>
    <w:rsid w:val="17857A25"/>
    <w:rsid w:val="17914BFF"/>
    <w:rsid w:val="17A55E6E"/>
    <w:rsid w:val="17B06533"/>
    <w:rsid w:val="18091DE8"/>
    <w:rsid w:val="18564C0B"/>
    <w:rsid w:val="18A82217"/>
    <w:rsid w:val="18FC3DE4"/>
    <w:rsid w:val="196A76D2"/>
    <w:rsid w:val="19906C2F"/>
    <w:rsid w:val="199A2386"/>
    <w:rsid w:val="19ED659F"/>
    <w:rsid w:val="19F059A0"/>
    <w:rsid w:val="1A287A40"/>
    <w:rsid w:val="1A290ACB"/>
    <w:rsid w:val="1AA71FD3"/>
    <w:rsid w:val="1ABF2E7C"/>
    <w:rsid w:val="1AC9152E"/>
    <w:rsid w:val="1B3758EF"/>
    <w:rsid w:val="1B7F3FD3"/>
    <w:rsid w:val="1B814D90"/>
    <w:rsid w:val="1B887F57"/>
    <w:rsid w:val="1BA05364"/>
    <w:rsid w:val="1BC111FA"/>
    <w:rsid w:val="1C87697D"/>
    <w:rsid w:val="1CAB7005"/>
    <w:rsid w:val="1D0458FC"/>
    <w:rsid w:val="1D4570B9"/>
    <w:rsid w:val="1D670873"/>
    <w:rsid w:val="1E03386C"/>
    <w:rsid w:val="1E0F495F"/>
    <w:rsid w:val="1E926344"/>
    <w:rsid w:val="1EA85528"/>
    <w:rsid w:val="1EEDB650"/>
    <w:rsid w:val="1F5578D8"/>
    <w:rsid w:val="1F6B02D0"/>
    <w:rsid w:val="1FAF14AB"/>
    <w:rsid w:val="1FFEF43A"/>
    <w:rsid w:val="201C190E"/>
    <w:rsid w:val="2084464E"/>
    <w:rsid w:val="20B160F9"/>
    <w:rsid w:val="218F44AF"/>
    <w:rsid w:val="219D02BD"/>
    <w:rsid w:val="21C862A9"/>
    <w:rsid w:val="21F07732"/>
    <w:rsid w:val="21F444D8"/>
    <w:rsid w:val="22157D40"/>
    <w:rsid w:val="2247415E"/>
    <w:rsid w:val="225E75D1"/>
    <w:rsid w:val="22B4466B"/>
    <w:rsid w:val="22DA3DE7"/>
    <w:rsid w:val="23226871"/>
    <w:rsid w:val="23544D5A"/>
    <w:rsid w:val="23736762"/>
    <w:rsid w:val="23831385"/>
    <w:rsid w:val="23A942DA"/>
    <w:rsid w:val="23D82119"/>
    <w:rsid w:val="243F5C4A"/>
    <w:rsid w:val="24950686"/>
    <w:rsid w:val="24AC25D8"/>
    <w:rsid w:val="24EB5085"/>
    <w:rsid w:val="250F33E1"/>
    <w:rsid w:val="252737A3"/>
    <w:rsid w:val="252D67E3"/>
    <w:rsid w:val="25431D38"/>
    <w:rsid w:val="254B31DD"/>
    <w:rsid w:val="25C44AC4"/>
    <w:rsid w:val="25F4420C"/>
    <w:rsid w:val="25FD7456"/>
    <w:rsid w:val="2613183F"/>
    <w:rsid w:val="26D35569"/>
    <w:rsid w:val="270E1997"/>
    <w:rsid w:val="27221238"/>
    <w:rsid w:val="273E430D"/>
    <w:rsid w:val="277D730A"/>
    <w:rsid w:val="27C17B1A"/>
    <w:rsid w:val="27CD0299"/>
    <w:rsid w:val="27EB19D4"/>
    <w:rsid w:val="280C0A5E"/>
    <w:rsid w:val="286B2373"/>
    <w:rsid w:val="28931383"/>
    <w:rsid w:val="28966875"/>
    <w:rsid w:val="28AB4699"/>
    <w:rsid w:val="28C368A7"/>
    <w:rsid w:val="28DA225B"/>
    <w:rsid w:val="29586763"/>
    <w:rsid w:val="295A0616"/>
    <w:rsid w:val="29A93C07"/>
    <w:rsid w:val="2A1C4FEF"/>
    <w:rsid w:val="2A39331E"/>
    <w:rsid w:val="2A744D42"/>
    <w:rsid w:val="2AC976DE"/>
    <w:rsid w:val="2ADD0BEB"/>
    <w:rsid w:val="2AFF1EF3"/>
    <w:rsid w:val="2B25125C"/>
    <w:rsid w:val="2B6A5388"/>
    <w:rsid w:val="2C08760A"/>
    <w:rsid w:val="2C0A778E"/>
    <w:rsid w:val="2C4D28A8"/>
    <w:rsid w:val="2D5C0627"/>
    <w:rsid w:val="2DA01696"/>
    <w:rsid w:val="2E2E6E0F"/>
    <w:rsid w:val="2E391098"/>
    <w:rsid w:val="2E4D53BD"/>
    <w:rsid w:val="2E666261"/>
    <w:rsid w:val="2EA069E0"/>
    <w:rsid w:val="2EA347A0"/>
    <w:rsid w:val="2F065EDC"/>
    <w:rsid w:val="2F95348E"/>
    <w:rsid w:val="2FAF0A73"/>
    <w:rsid w:val="2FC0031A"/>
    <w:rsid w:val="304971FD"/>
    <w:rsid w:val="309133D0"/>
    <w:rsid w:val="30971327"/>
    <w:rsid w:val="30B63004"/>
    <w:rsid w:val="30FD4782"/>
    <w:rsid w:val="31293FEB"/>
    <w:rsid w:val="315855AA"/>
    <w:rsid w:val="319F42EE"/>
    <w:rsid w:val="327C5609"/>
    <w:rsid w:val="32AA5698"/>
    <w:rsid w:val="32CD0C12"/>
    <w:rsid w:val="32F8014C"/>
    <w:rsid w:val="33275B07"/>
    <w:rsid w:val="335FC12C"/>
    <w:rsid w:val="33703106"/>
    <w:rsid w:val="337E13A2"/>
    <w:rsid w:val="339A03D1"/>
    <w:rsid w:val="3422536C"/>
    <w:rsid w:val="346223D2"/>
    <w:rsid w:val="348919AA"/>
    <w:rsid w:val="34F271E5"/>
    <w:rsid w:val="34FC2144"/>
    <w:rsid w:val="353510CF"/>
    <w:rsid w:val="35482FFC"/>
    <w:rsid w:val="3557723F"/>
    <w:rsid w:val="356165D5"/>
    <w:rsid w:val="35625C7E"/>
    <w:rsid w:val="35856A3E"/>
    <w:rsid w:val="35A46AAA"/>
    <w:rsid w:val="35BB3EC2"/>
    <w:rsid w:val="35DA7973"/>
    <w:rsid w:val="36802C3C"/>
    <w:rsid w:val="36842314"/>
    <w:rsid w:val="368B0A52"/>
    <w:rsid w:val="37307EB3"/>
    <w:rsid w:val="37AE46BD"/>
    <w:rsid w:val="38686183"/>
    <w:rsid w:val="38CF27E9"/>
    <w:rsid w:val="38F06F6D"/>
    <w:rsid w:val="39003AB5"/>
    <w:rsid w:val="394144E6"/>
    <w:rsid w:val="39C03419"/>
    <w:rsid w:val="39D32BEC"/>
    <w:rsid w:val="39E402D6"/>
    <w:rsid w:val="3A655083"/>
    <w:rsid w:val="3A7A4B70"/>
    <w:rsid w:val="3B37620B"/>
    <w:rsid w:val="3B7048AC"/>
    <w:rsid w:val="3BC45774"/>
    <w:rsid w:val="3BC45ECF"/>
    <w:rsid w:val="3C6F4592"/>
    <w:rsid w:val="3C914BF9"/>
    <w:rsid w:val="3CE678C4"/>
    <w:rsid w:val="3CFC6D1E"/>
    <w:rsid w:val="3DEC6DCE"/>
    <w:rsid w:val="3DF96F1A"/>
    <w:rsid w:val="3E3B65C7"/>
    <w:rsid w:val="3E3C528E"/>
    <w:rsid w:val="3EA62C12"/>
    <w:rsid w:val="3ED4194D"/>
    <w:rsid w:val="3F141705"/>
    <w:rsid w:val="3F2535C0"/>
    <w:rsid w:val="3F2B6C75"/>
    <w:rsid w:val="3F681666"/>
    <w:rsid w:val="3F9114AE"/>
    <w:rsid w:val="3F9133A5"/>
    <w:rsid w:val="3F993660"/>
    <w:rsid w:val="3FD92126"/>
    <w:rsid w:val="3FE7DDBE"/>
    <w:rsid w:val="3FF9469F"/>
    <w:rsid w:val="403E5ADC"/>
    <w:rsid w:val="407D46B7"/>
    <w:rsid w:val="40F63E08"/>
    <w:rsid w:val="418A4C40"/>
    <w:rsid w:val="418C5378"/>
    <w:rsid w:val="41BD6917"/>
    <w:rsid w:val="42344DB2"/>
    <w:rsid w:val="42A858CF"/>
    <w:rsid w:val="42B6356C"/>
    <w:rsid w:val="42CD9923"/>
    <w:rsid w:val="4318F0CE"/>
    <w:rsid w:val="433C77F8"/>
    <w:rsid w:val="435757B2"/>
    <w:rsid w:val="436B2C30"/>
    <w:rsid w:val="4383394D"/>
    <w:rsid w:val="438A555E"/>
    <w:rsid w:val="438D67FD"/>
    <w:rsid w:val="43A772D5"/>
    <w:rsid w:val="440B54BC"/>
    <w:rsid w:val="44545153"/>
    <w:rsid w:val="44B01D5F"/>
    <w:rsid w:val="44D22496"/>
    <w:rsid w:val="44E86101"/>
    <w:rsid w:val="44E872F2"/>
    <w:rsid w:val="44FF65B8"/>
    <w:rsid w:val="45243EA0"/>
    <w:rsid w:val="452C1911"/>
    <w:rsid w:val="454F54D2"/>
    <w:rsid w:val="456A6B00"/>
    <w:rsid w:val="458115B6"/>
    <w:rsid w:val="45A31665"/>
    <w:rsid w:val="464E05BF"/>
    <w:rsid w:val="465D2233"/>
    <w:rsid w:val="468073A2"/>
    <w:rsid w:val="472332B7"/>
    <w:rsid w:val="479B2B22"/>
    <w:rsid w:val="47B14A78"/>
    <w:rsid w:val="47E92611"/>
    <w:rsid w:val="47F23221"/>
    <w:rsid w:val="48214C25"/>
    <w:rsid w:val="482C40A2"/>
    <w:rsid w:val="484C67D9"/>
    <w:rsid w:val="488F26CA"/>
    <w:rsid w:val="49656B5A"/>
    <w:rsid w:val="499B7765"/>
    <w:rsid w:val="49B72DCE"/>
    <w:rsid w:val="49CE37F1"/>
    <w:rsid w:val="49FE0C7C"/>
    <w:rsid w:val="4A1211B2"/>
    <w:rsid w:val="4A394E26"/>
    <w:rsid w:val="4A5175BB"/>
    <w:rsid w:val="4A8E086C"/>
    <w:rsid w:val="4BB65ACF"/>
    <w:rsid w:val="4BB7A61C"/>
    <w:rsid w:val="4CE96B4B"/>
    <w:rsid w:val="4D0C6761"/>
    <w:rsid w:val="4D64133A"/>
    <w:rsid w:val="4D731E1D"/>
    <w:rsid w:val="4D874D7C"/>
    <w:rsid w:val="4D9A0E78"/>
    <w:rsid w:val="4DB726C3"/>
    <w:rsid w:val="4DD63537"/>
    <w:rsid w:val="4DE714E3"/>
    <w:rsid w:val="4E174B54"/>
    <w:rsid w:val="4E2E5FE9"/>
    <w:rsid w:val="4E745E3A"/>
    <w:rsid w:val="4EB606FB"/>
    <w:rsid w:val="4F695EF6"/>
    <w:rsid w:val="4F9923A0"/>
    <w:rsid w:val="4FB258B3"/>
    <w:rsid w:val="4FB66F1D"/>
    <w:rsid w:val="4FE8EAFF"/>
    <w:rsid w:val="509C1CF8"/>
    <w:rsid w:val="50E377D9"/>
    <w:rsid w:val="5140146D"/>
    <w:rsid w:val="514633F9"/>
    <w:rsid w:val="514E58E8"/>
    <w:rsid w:val="51A37D01"/>
    <w:rsid w:val="5249746D"/>
    <w:rsid w:val="5256517E"/>
    <w:rsid w:val="52642949"/>
    <w:rsid w:val="52D148A6"/>
    <w:rsid w:val="5322219A"/>
    <w:rsid w:val="534E6674"/>
    <w:rsid w:val="53662B45"/>
    <w:rsid w:val="538719AC"/>
    <w:rsid w:val="54085DA0"/>
    <w:rsid w:val="54C94F38"/>
    <w:rsid w:val="54D9001D"/>
    <w:rsid w:val="55968B4E"/>
    <w:rsid w:val="55CC085C"/>
    <w:rsid w:val="55EE6F75"/>
    <w:rsid w:val="56716ADE"/>
    <w:rsid w:val="567474B1"/>
    <w:rsid w:val="567B4477"/>
    <w:rsid w:val="56936147"/>
    <w:rsid w:val="56CA77FC"/>
    <w:rsid w:val="57120E67"/>
    <w:rsid w:val="573F1AB2"/>
    <w:rsid w:val="5762544E"/>
    <w:rsid w:val="57CB6F6D"/>
    <w:rsid w:val="580D4F21"/>
    <w:rsid w:val="58182AD8"/>
    <w:rsid w:val="582F28AA"/>
    <w:rsid w:val="58590D0F"/>
    <w:rsid w:val="58BB308E"/>
    <w:rsid w:val="58E7477E"/>
    <w:rsid w:val="590943FA"/>
    <w:rsid w:val="59725B9E"/>
    <w:rsid w:val="5A585731"/>
    <w:rsid w:val="5AA302D4"/>
    <w:rsid w:val="5AFD803E"/>
    <w:rsid w:val="5B1971E9"/>
    <w:rsid w:val="5B561785"/>
    <w:rsid w:val="5B562AEB"/>
    <w:rsid w:val="5BD5406C"/>
    <w:rsid w:val="5BF64D98"/>
    <w:rsid w:val="5C1270F7"/>
    <w:rsid w:val="5C184373"/>
    <w:rsid w:val="5C533CF0"/>
    <w:rsid w:val="5C621129"/>
    <w:rsid w:val="5DF47492"/>
    <w:rsid w:val="5E4745FA"/>
    <w:rsid w:val="5E5E00A6"/>
    <w:rsid w:val="5EA07B55"/>
    <w:rsid w:val="5F6E5B2C"/>
    <w:rsid w:val="5F776C9E"/>
    <w:rsid w:val="5F9C19F2"/>
    <w:rsid w:val="5FED6C9B"/>
    <w:rsid w:val="60326D30"/>
    <w:rsid w:val="604062E9"/>
    <w:rsid w:val="60BB4C9D"/>
    <w:rsid w:val="60EE0A45"/>
    <w:rsid w:val="60EE2050"/>
    <w:rsid w:val="612A7D83"/>
    <w:rsid w:val="613E4DC6"/>
    <w:rsid w:val="613E5663"/>
    <w:rsid w:val="6170571E"/>
    <w:rsid w:val="618461B4"/>
    <w:rsid w:val="61A92285"/>
    <w:rsid w:val="61AD72D9"/>
    <w:rsid w:val="61F730E4"/>
    <w:rsid w:val="62766FE7"/>
    <w:rsid w:val="62B74F0E"/>
    <w:rsid w:val="62C40CF2"/>
    <w:rsid w:val="636D2008"/>
    <w:rsid w:val="638D49AC"/>
    <w:rsid w:val="63F61DA5"/>
    <w:rsid w:val="63FA525D"/>
    <w:rsid w:val="642507D0"/>
    <w:rsid w:val="64683578"/>
    <w:rsid w:val="64F306B1"/>
    <w:rsid w:val="65453FB4"/>
    <w:rsid w:val="656B0878"/>
    <w:rsid w:val="657C797A"/>
    <w:rsid w:val="658D6177"/>
    <w:rsid w:val="65F40063"/>
    <w:rsid w:val="66216982"/>
    <w:rsid w:val="663B17CC"/>
    <w:rsid w:val="665347F3"/>
    <w:rsid w:val="66A44E1A"/>
    <w:rsid w:val="66C16F6E"/>
    <w:rsid w:val="66C62168"/>
    <w:rsid w:val="66D07141"/>
    <w:rsid w:val="66D74651"/>
    <w:rsid w:val="67245833"/>
    <w:rsid w:val="67EB5ABB"/>
    <w:rsid w:val="68321EB2"/>
    <w:rsid w:val="68564BAB"/>
    <w:rsid w:val="686A06D9"/>
    <w:rsid w:val="6A002D52"/>
    <w:rsid w:val="6A04223C"/>
    <w:rsid w:val="6A722205"/>
    <w:rsid w:val="6ACC906F"/>
    <w:rsid w:val="6B59054D"/>
    <w:rsid w:val="6B6132B9"/>
    <w:rsid w:val="6B7F232B"/>
    <w:rsid w:val="6B8061D6"/>
    <w:rsid w:val="6BAF1964"/>
    <w:rsid w:val="6BD0A7CB"/>
    <w:rsid w:val="6BFE13B2"/>
    <w:rsid w:val="6D217EA6"/>
    <w:rsid w:val="6D46519F"/>
    <w:rsid w:val="6D475B23"/>
    <w:rsid w:val="6D8B0EBC"/>
    <w:rsid w:val="6DA81DFD"/>
    <w:rsid w:val="6DFC00CB"/>
    <w:rsid w:val="6E0B6FFC"/>
    <w:rsid w:val="6E4A2F2C"/>
    <w:rsid w:val="6E584699"/>
    <w:rsid w:val="6E8610F9"/>
    <w:rsid w:val="6EC03FA9"/>
    <w:rsid w:val="6ED662E8"/>
    <w:rsid w:val="6EE3448D"/>
    <w:rsid w:val="6EEC2487"/>
    <w:rsid w:val="6F13210A"/>
    <w:rsid w:val="6F9B7D24"/>
    <w:rsid w:val="6FC54F79"/>
    <w:rsid w:val="6FD919E3"/>
    <w:rsid w:val="6FEB6502"/>
    <w:rsid w:val="6FF6FB36"/>
    <w:rsid w:val="703B12E2"/>
    <w:rsid w:val="705D4A5A"/>
    <w:rsid w:val="709D12FB"/>
    <w:rsid w:val="712D64F7"/>
    <w:rsid w:val="71FD007B"/>
    <w:rsid w:val="7202419A"/>
    <w:rsid w:val="723788FC"/>
    <w:rsid w:val="723A066B"/>
    <w:rsid w:val="729F6672"/>
    <w:rsid w:val="72B72F4C"/>
    <w:rsid w:val="72BF37AA"/>
    <w:rsid w:val="72E31FBB"/>
    <w:rsid w:val="73315066"/>
    <w:rsid w:val="735D4632"/>
    <w:rsid w:val="736D2B34"/>
    <w:rsid w:val="7377084B"/>
    <w:rsid w:val="73B0629B"/>
    <w:rsid w:val="73E159A2"/>
    <w:rsid w:val="73E46EE9"/>
    <w:rsid w:val="73ED0D7D"/>
    <w:rsid w:val="73FE47A6"/>
    <w:rsid w:val="744241D9"/>
    <w:rsid w:val="747704FE"/>
    <w:rsid w:val="74C8566D"/>
    <w:rsid w:val="74FD7EC1"/>
    <w:rsid w:val="759F19AF"/>
    <w:rsid w:val="75B6751D"/>
    <w:rsid w:val="75E82750"/>
    <w:rsid w:val="75EA000A"/>
    <w:rsid w:val="75ED1416"/>
    <w:rsid w:val="76243AFE"/>
    <w:rsid w:val="764B50FE"/>
    <w:rsid w:val="76777AC1"/>
    <w:rsid w:val="7698245A"/>
    <w:rsid w:val="76B118AB"/>
    <w:rsid w:val="77572535"/>
    <w:rsid w:val="77933457"/>
    <w:rsid w:val="779B0694"/>
    <w:rsid w:val="77A74FE1"/>
    <w:rsid w:val="77AD55B0"/>
    <w:rsid w:val="77BF8278"/>
    <w:rsid w:val="78B94FB0"/>
    <w:rsid w:val="78CB427D"/>
    <w:rsid w:val="78EB7AA7"/>
    <w:rsid w:val="796D0918"/>
    <w:rsid w:val="7A0B3117"/>
    <w:rsid w:val="7A2D54D0"/>
    <w:rsid w:val="7A5E57B1"/>
    <w:rsid w:val="7AA65886"/>
    <w:rsid w:val="7AAC5052"/>
    <w:rsid w:val="7AC31534"/>
    <w:rsid w:val="7B713AB0"/>
    <w:rsid w:val="7B77303B"/>
    <w:rsid w:val="7BBFA29F"/>
    <w:rsid w:val="7BC3751F"/>
    <w:rsid w:val="7BC73C63"/>
    <w:rsid w:val="7BFD6C81"/>
    <w:rsid w:val="7C1959CA"/>
    <w:rsid w:val="7C6B2ADE"/>
    <w:rsid w:val="7C8B3973"/>
    <w:rsid w:val="7C9724E0"/>
    <w:rsid w:val="7CAA1832"/>
    <w:rsid w:val="7CAC18A0"/>
    <w:rsid w:val="7D1750BF"/>
    <w:rsid w:val="7D561754"/>
    <w:rsid w:val="7D5A59A9"/>
    <w:rsid w:val="7D800276"/>
    <w:rsid w:val="7DA3361C"/>
    <w:rsid w:val="7DFD65DD"/>
    <w:rsid w:val="7E504102"/>
    <w:rsid w:val="7EBB7AF8"/>
    <w:rsid w:val="7EFF69F6"/>
    <w:rsid w:val="7EFF88AD"/>
    <w:rsid w:val="7FBFC58D"/>
    <w:rsid w:val="802F9998"/>
    <w:rsid w:val="80A8063F"/>
    <w:rsid w:val="80D9A3A7"/>
    <w:rsid w:val="84692FE9"/>
    <w:rsid w:val="850D50A0"/>
    <w:rsid w:val="857F8C7B"/>
    <w:rsid w:val="89542665"/>
    <w:rsid w:val="8AA8A9D9"/>
    <w:rsid w:val="8BF85C7E"/>
    <w:rsid w:val="8DA6F6B4"/>
    <w:rsid w:val="916F6357"/>
    <w:rsid w:val="928E974E"/>
    <w:rsid w:val="9398B42F"/>
    <w:rsid w:val="979BD49F"/>
    <w:rsid w:val="97C7F8D5"/>
    <w:rsid w:val="9A0ACC32"/>
    <w:rsid w:val="9A27CEE9"/>
    <w:rsid w:val="9A3052C1"/>
    <w:rsid w:val="9A3AD87F"/>
    <w:rsid w:val="9C63925F"/>
    <w:rsid w:val="9F31ECF8"/>
    <w:rsid w:val="9F7FB767"/>
    <w:rsid w:val="A0DEEFEA"/>
    <w:rsid w:val="A7EC4C2F"/>
    <w:rsid w:val="A9BBE89A"/>
    <w:rsid w:val="ABA850C8"/>
    <w:rsid w:val="ABD040C6"/>
    <w:rsid w:val="ADDDA831"/>
    <w:rsid w:val="AE747402"/>
    <w:rsid w:val="AF785B03"/>
    <w:rsid w:val="B9C1875B"/>
    <w:rsid w:val="BE2B420C"/>
    <w:rsid w:val="BEF6FFC9"/>
    <w:rsid w:val="BF7F8121"/>
    <w:rsid w:val="BFE739A7"/>
    <w:rsid w:val="C78FDFB7"/>
    <w:rsid w:val="C83188DC"/>
    <w:rsid w:val="C8705D45"/>
    <w:rsid w:val="C9ABC7CA"/>
    <w:rsid w:val="CB87F0F6"/>
    <w:rsid w:val="CBD8D927"/>
    <w:rsid w:val="CC4924D2"/>
    <w:rsid w:val="D0DB7273"/>
    <w:rsid w:val="D53CCA8D"/>
    <w:rsid w:val="D5D67297"/>
    <w:rsid w:val="D7FBFC98"/>
    <w:rsid w:val="DAFDDB1F"/>
    <w:rsid w:val="DBDFCA5B"/>
    <w:rsid w:val="DCFC7168"/>
    <w:rsid w:val="DFBF90F2"/>
    <w:rsid w:val="DFC9469B"/>
    <w:rsid w:val="DFDF988E"/>
    <w:rsid w:val="DFE85210"/>
    <w:rsid w:val="DFFF99BE"/>
    <w:rsid w:val="E58F79C5"/>
    <w:rsid w:val="E64B699C"/>
    <w:rsid w:val="E7D680CB"/>
    <w:rsid w:val="E97B348D"/>
    <w:rsid w:val="EBFC4FDA"/>
    <w:rsid w:val="ECFF6DCC"/>
    <w:rsid w:val="EF3D3852"/>
    <w:rsid w:val="EF7402AE"/>
    <w:rsid w:val="EFEF4443"/>
    <w:rsid w:val="F15810C6"/>
    <w:rsid w:val="F16FD1F8"/>
    <w:rsid w:val="F19F42D5"/>
    <w:rsid w:val="F355E3C6"/>
    <w:rsid w:val="F3D1A78C"/>
    <w:rsid w:val="F536246F"/>
    <w:rsid w:val="F6D210D0"/>
    <w:rsid w:val="F90FC6FD"/>
    <w:rsid w:val="FD157821"/>
    <w:rsid w:val="FDCB99DB"/>
    <w:rsid w:val="FDEECE0E"/>
    <w:rsid w:val="FF6F83F3"/>
    <w:rsid w:val="FF7F8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adjustRightInd w:val="0"/>
      <w:snapToGrid w:val="0"/>
      <w:spacing w:line="560" w:lineRule="exact"/>
      <w:ind w:firstLine="643" w:firstLineChars="200"/>
      <w:outlineLvl w:val="1"/>
    </w:pPr>
    <w:rPr>
      <w:rFonts w:ascii="楷体_GB2312" w:hAnsi="黑体" w:eastAsia="楷体_GB2312" w:cs="Times New Roman"/>
      <w:b/>
      <w:bCs/>
      <w:color w:val="000000"/>
      <w:sz w:val="32"/>
      <w:szCs w:val="32"/>
      <w:shd w:val="clear" w:color="auto" w:fill="FFFFFF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12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1">
    <w:name w:val="Normal Table"/>
    <w:qFormat/>
    <w:uiPriority w:val="0"/>
    <w:rPr>
      <w:rFonts w:ascii="Times New Roman" w:hAnsi="Times New Roman" w:eastAsia="宋体" w:cs="Times New Roman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仿宋_GB2312" w:hAnsi="Times New Roman" w:eastAsia="仿宋_GB2312" w:cs="Times New Roman"/>
    </w:rPr>
  </w:style>
  <w:style w:type="paragraph" w:styleId="3">
    <w:name w:val="Body Text"/>
    <w:basedOn w:val="1"/>
    <w:next w:val="2"/>
    <w:qFormat/>
    <w:uiPriority w:val="0"/>
    <w:pPr>
      <w:spacing w:before="0" w:after="140" w:line="276" w:lineRule="auto"/>
    </w:pPr>
    <w:rPr>
      <w:rFonts w:ascii="Times New Roman" w:hAnsi="Times New Roman" w:eastAsia="宋体" w:cs="Times New Roman"/>
    </w:rPr>
  </w:style>
  <w:style w:type="paragraph" w:styleId="6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7">
    <w:name w:val="toc 3"/>
    <w:basedOn w:val="1"/>
    <w:next w:val="1"/>
    <w:qFormat/>
    <w:uiPriority w:val="0"/>
    <w:pPr>
      <w:ind w:left="400" w:leftChars="400"/>
    </w:pPr>
    <w:rPr>
      <w:rFonts w:ascii="Times New Roman" w:hAnsi="Times New Roman" w:eastAsia="仿宋_GB2312" w:cs="Times New Roman"/>
      <w:sz w:val="32"/>
      <w:szCs w:val="32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rFonts w:ascii="Times New Roman" w:hAnsi="Times New Roman" w:eastAsia="宋体" w:cs="Times New Roman"/>
      <w:b/>
    </w:rPr>
  </w:style>
  <w:style w:type="character" w:styleId="14">
    <w:name w:val="Emphasis"/>
    <w:basedOn w:val="12"/>
    <w:qFormat/>
    <w:uiPriority w:val="0"/>
    <w:rPr>
      <w:rFonts w:ascii="Times New Roman" w:hAnsi="Times New Roman" w:eastAsia="宋体" w:cs="Times New Roman"/>
      <w:i/>
    </w:rPr>
  </w:style>
  <w:style w:type="paragraph" w:customStyle="1" w:styleId="15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6">
    <w:name w:val="普通(网站) Char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 China</Company>
  <Pages>9</Pages>
  <Words>3675</Words>
  <Characters>3798</Characters>
  <Lines>23</Lines>
  <Paragraphs>6</Paragraphs>
  <TotalTime>18</TotalTime>
  <ScaleCrop>false</ScaleCrop>
  <LinksUpToDate>false</LinksUpToDate>
  <CharactersWithSpaces>3798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CHEN</dc:creator>
  <cp:lastModifiedBy>CHEN</cp:lastModifiedBy>
  <cp:lastPrinted>2026-02-04T01:23:00Z</cp:lastPrinted>
  <dcterms:modified xsi:type="dcterms:W3CDTF">2026-02-13T00:59:51Z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9DDAF28AD0A146FE9793625CD532FEDC_13</vt:lpwstr>
  </property>
</Properties>
</file>