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3E445">
      <w:pPr>
        <w:jc w:val="center"/>
        <w:rPr>
          <w:rFonts w:ascii="楷体_GB2312" w:eastAsia="楷体_GB2312"/>
          <w:b/>
          <w:sz w:val="32"/>
          <w:szCs w:val="32"/>
        </w:rPr>
      </w:pPr>
      <w:bookmarkStart w:id="0" w:name="_GoBack"/>
      <w:r>
        <w:rPr>
          <w:rFonts w:hint="eastAsia" w:ascii="楷体_GB2312" w:eastAsia="楷体_GB2312"/>
          <w:b/>
          <w:sz w:val="32"/>
          <w:szCs w:val="32"/>
        </w:rPr>
        <w:t>《北京市海淀区雪茄烟专业店零售点合理布局规定</w:t>
      </w:r>
    </w:p>
    <w:p w14:paraId="0DDB9965">
      <w:pPr>
        <w:jc w:val="center"/>
        <w:rPr>
          <w:rFonts w:ascii="楷体_GB2312" w:eastAsia="楷体_GB2312"/>
          <w:b/>
          <w:sz w:val="32"/>
          <w:szCs w:val="32"/>
        </w:rPr>
      </w:pPr>
      <w:r>
        <w:rPr>
          <w:rFonts w:hint="eastAsia" w:ascii="楷体_GB2312" w:eastAsia="楷体_GB2312"/>
          <w:b/>
          <w:sz w:val="32"/>
          <w:szCs w:val="32"/>
        </w:rPr>
        <w:t>（征求意见稿）》起草说明</w:t>
      </w:r>
    </w:p>
    <w:bookmarkEnd w:id="0"/>
    <w:p w14:paraId="14182B50">
      <w:pPr>
        <w:ind w:firstLine="425" w:firstLineChars="133"/>
        <w:jc w:val="left"/>
        <w:rPr>
          <w:rFonts w:ascii="楷体_GB2312" w:eastAsia="楷体_GB2312"/>
          <w:b/>
          <w:sz w:val="32"/>
          <w:szCs w:val="32"/>
        </w:rPr>
      </w:pPr>
      <w:r>
        <w:rPr>
          <w:rFonts w:ascii="仿宋_GB2312" w:eastAsia="仿宋_GB2312"/>
          <w:sz w:val="32"/>
          <w:szCs w:val="32"/>
        </w:rPr>
        <w:t>为规范本区雪茄烟零售市场秩序，引导业态专业化、规范化发展，北京市海淀区烟草专卖局根据《中华人民共和国烟草专卖法》及其实施条例、《烟草专卖许可证管理办法》等法律法规，以及国家烟草专卖局、北京市烟草专卖局相关政策文件精神，结合本区实际，起草了《北京市海淀区雪茄烟专业店零售点合理布局规定（征求意见稿）》（以下简称《规定》）。现将起草情况说明如下：</w:t>
      </w:r>
    </w:p>
    <w:p w14:paraId="60D1ECFE">
      <w:pPr>
        <w:ind w:firstLine="425" w:firstLineChars="133"/>
        <w:jc w:val="left"/>
        <w:rPr>
          <w:rFonts w:ascii="楷体_GB2312" w:eastAsia="楷体_GB2312"/>
          <w:b/>
          <w:sz w:val="32"/>
          <w:szCs w:val="32"/>
        </w:rPr>
      </w:pPr>
      <w:r>
        <w:rPr>
          <w:rFonts w:ascii="黑体" w:hAnsi="黑体" w:eastAsia="黑体"/>
          <w:sz w:val="32"/>
          <w:szCs w:val="32"/>
        </w:rPr>
        <w:t>一、起草背景与总体考量</w:t>
      </w:r>
    </w:p>
    <w:p w14:paraId="7F89DF42">
      <w:pPr>
        <w:ind w:firstLine="427" w:firstLineChars="133"/>
        <w:rPr>
          <w:rFonts w:ascii="仿宋_GB2312" w:eastAsia="仿宋_GB2312"/>
          <w:sz w:val="32"/>
          <w:szCs w:val="32"/>
        </w:rPr>
      </w:pPr>
      <w:r>
        <w:rPr>
          <w:rFonts w:ascii="仿宋" w:hAnsi="仿宋" w:eastAsia="仿宋"/>
          <w:b/>
          <w:sz w:val="32"/>
          <w:szCs w:val="32"/>
        </w:rPr>
        <w:t>（一）顺应雪茄烟消费市场专业化发展趋势。</w:t>
      </w:r>
      <w:r>
        <w:rPr>
          <w:rFonts w:ascii="仿宋_GB2312" w:eastAsia="仿宋_GB2312"/>
          <w:sz w:val="32"/>
          <w:szCs w:val="32"/>
        </w:rPr>
        <w:t>当前，雪茄烟消费需求持续增长，其产品特性、储存条件和经营服务模式具有显著的专业化特点。制定专门布局规定，有利于促进该细分业态健康发展，满足市场对专业服务的进阶需求。</w:t>
      </w:r>
    </w:p>
    <w:p w14:paraId="4A9DC1E9">
      <w:pPr>
        <w:ind w:firstLine="427" w:firstLineChars="133"/>
        <w:rPr>
          <w:rFonts w:ascii="仿宋_GB2312" w:eastAsia="仿宋_GB2312"/>
          <w:sz w:val="32"/>
          <w:szCs w:val="32"/>
        </w:rPr>
      </w:pPr>
      <w:r>
        <w:rPr>
          <w:rFonts w:ascii="仿宋" w:hAnsi="仿宋" w:eastAsia="仿宋"/>
          <w:b/>
          <w:sz w:val="32"/>
          <w:szCs w:val="32"/>
        </w:rPr>
        <w:t>（二）贯彻落实国家政策并借鉴实践经验。</w:t>
      </w:r>
      <w:r>
        <w:rPr>
          <w:rFonts w:ascii="仿宋_GB2312" w:eastAsia="仿宋_GB2312"/>
          <w:sz w:val="32"/>
          <w:szCs w:val="32"/>
        </w:rPr>
        <w:t>2024年，国家烟草专卖局明确各地可结合实际制定雪茄烟零售点差异化布局要求。本《规定》是对国家政策的积极响应，同时参考了</w:t>
      </w:r>
      <w:r>
        <w:rPr>
          <w:rFonts w:hint="eastAsia" w:ascii="仿宋_GB2312" w:eastAsia="仿宋_GB2312"/>
          <w:sz w:val="32"/>
          <w:szCs w:val="32"/>
        </w:rPr>
        <w:t>北京市烟草专卖局工作</w:t>
      </w:r>
      <w:r>
        <w:rPr>
          <w:rFonts w:ascii="仿宋_GB2312" w:eastAsia="仿宋_GB2312"/>
          <w:sz w:val="32"/>
          <w:szCs w:val="32"/>
        </w:rPr>
        <w:t>指导意见及外省市在总量控制、轮候排队等方面的有效做法。</w:t>
      </w:r>
    </w:p>
    <w:p w14:paraId="26547EBA">
      <w:pPr>
        <w:ind w:firstLine="427" w:firstLineChars="133"/>
        <w:rPr>
          <w:rFonts w:ascii="仿宋_GB2312" w:eastAsia="仿宋_GB2312"/>
          <w:sz w:val="32"/>
          <w:szCs w:val="32"/>
        </w:rPr>
      </w:pPr>
      <w:r>
        <w:rPr>
          <w:rFonts w:ascii="仿宋" w:hAnsi="仿宋" w:eastAsia="仿宋"/>
          <w:b/>
          <w:sz w:val="32"/>
          <w:szCs w:val="32"/>
        </w:rPr>
        <w:t>（三）契合海淀区功能定位与消费特点。</w:t>
      </w:r>
      <w:r>
        <w:rPr>
          <w:rFonts w:ascii="仿宋_GB2312" w:eastAsia="仿宋_GB2312"/>
          <w:sz w:val="32"/>
          <w:szCs w:val="32"/>
        </w:rPr>
        <w:t>海淀区高知高净值人群聚集，高品质消费需求旺盛。通过科学布局引导雪茄烟零售资源优化配置，有助于提升终端服务品质与文化体验，匹配区域发展定位。</w:t>
      </w:r>
    </w:p>
    <w:p w14:paraId="3A89E33B">
      <w:pPr>
        <w:ind w:firstLine="427" w:firstLineChars="133"/>
        <w:rPr>
          <w:rFonts w:ascii="仿宋_GB2312" w:eastAsia="仿宋_GB2312"/>
          <w:sz w:val="32"/>
          <w:szCs w:val="32"/>
        </w:rPr>
      </w:pPr>
      <w:r>
        <w:rPr>
          <w:rFonts w:ascii="仿宋" w:hAnsi="仿宋" w:eastAsia="仿宋"/>
          <w:b/>
          <w:sz w:val="32"/>
          <w:szCs w:val="32"/>
        </w:rPr>
        <w:t>（四）平衡科学规划、规范管理与权益保障。</w:t>
      </w:r>
      <w:r>
        <w:rPr>
          <w:rFonts w:ascii="仿宋_GB2312" w:eastAsia="仿宋_GB2312"/>
          <w:sz w:val="32"/>
          <w:szCs w:val="32"/>
        </w:rPr>
        <w:t>坚持依法行政、总量控制、均衡发展原则，通过设定准入条件与禁止性规定，保障经营安全与专业水准，保护未成年人权益，维护市场公平。同时，建立轮候与特殊情形通道，兼顾市场效率、存量权益保护及社会关怀。</w:t>
      </w:r>
    </w:p>
    <w:p w14:paraId="7FE26806">
      <w:pPr>
        <w:ind w:firstLine="425" w:firstLineChars="133"/>
        <w:rPr>
          <w:rFonts w:ascii="仿宋_GB2312" w:eastAsia="仿宋_GB2312"/>
          <w:sz w:val="32"/>
          <w:szCs w:val="32"/>
        </w:rPr>
      </w:pPr>
      <w:r>
        <w:rPr>
          <w:rFonts w:hint="eastAsia" w:ascii="黑体" w:hAnsi="黑体" w:eastAsia="黑体"/>
          <w:sz w:val="32"/>
          <w:szCs w:val="32"/>
        </w:rPr>
        <w:t>二、 主要条款内容的制定依据与说明</w:t>
      </w:r>
    </w:p>
    <w:p w14:paraId="226A592E">
      <w:pPr>
        <w:ind w:firstLine="485" w:firstLineChars="151"/>
        <w:jc w:val="left"/>
        <w:rPr>
          <w:rFonts w:ascii="仿宋" w:hAnsi="仿宋" w:eastAsia="仿宋"/>
          <w:b/>
          <w:sz w:val="32"/>
          <w:szCs w:val="32"/>
        </w:rPr>
      </w:pPr>
      <w:r>
        <w:rPr>
          <w:rFonts w:hint="eastAsia" w:ascii="仿宋" w:hAnsi="仿宋" w:eastAsia="仿宋"/>
          <w:b/>
          <w:sz w:val="32"/>
          <w:szCs w:val="32"/>
        </w:rPr>
        <w:t>（一）关于“总则”部分（第一至四条）</w:t>
      </w:r>
    </w:p>
    <w:p w14:paraId="071C3FF4">
      <w:pPr>
        <w:ind w:firstLine="483" w:firstLineChars="151"/>
        <w:jc w:val="left"/>
        <w:rPr>
          <w:rFonts w:ascii="仿宋_GB2312" w:eastAsia="仿宋_GB2312"/>
          <w:sz w:val="32"/>
          <w:szCs w:val="32"/>
        </w:rPr>
      </w:pPr>
      <w:r>
        <w:rPr>
          <w:rFonts w:ascii="仿宋_GB2312" w:eastAsia="仿宋_GB2312"/>
          <w:sz w:val="32"/>
          <w:szCs w:val="32"/>
        </w:rPr>
        <w:t>第一条（目的与依据）：明确《规定》的制定目的与上位法依据，确保合法性。</w:t>
      </w:r>
    </w:p>
    <w:p w14:paraId="4BCC8795">
      <w:pPr>
        <w:ind w:firstLine="483" w:firstLineChars="151"/>
        <w:jc w:val="left"/>
        <w:rPr>
          <w:sz w:val="32"/>
          <w:szCs w:val="32"/>
        </w:rPr>
      </w:pPr>
      <w:r>
        <w:rPr>
          <w:rFonts w:ascii="仿宋_GB2312" w:eastAsia="仿宋_GB2312"/>
          <w:sz w:val="32"/>
          <w:szCs w:val="32"/>
        </w:rPr>
        <w:t>第二条（术语定义）：精准界定“雪茄烟专业店零售点”，核心特征为持证、专营雪茄烟、固定场所并符合本标准，为后续专业化管理奠定基础。</w:t>
      </w:r>
    </w:p>
    <w:p w14:paraId="1B2E0503">
      <w:pPr>
        <w:ind w:firstLine="483" w:firstLineChars="151"/>
        <w:jc w:val="left"/>
        <w:rPr>
          <w:sz w:val="32"/>
          <w:szCs w:val="32"/>
        </w:rPr>
      </w:pPr>
      <w:r>
        <w:rPr>
          <w:rFonts w:ascii="仿宋_GB2312" w:eastAsia="仿宋_GB2312"/>
          <w:sz w:val="32"/>
          <w:szCs w:val="32"/>
        </w:rPr>
        <w:t>第三条（适用范围）：明确适用于海淀区内专业店的设立、变更及相关布局管理活动。</w:t>
      </w:r>
    </w:p>
    <w:p w14:paraId="01C70EC1">
      <w:pPr>
        <w:ind w:firstLine="483" w:firstLineChars="151"/>
        <w:jc w:val="left"/>
        <w:rPr>
          <w:rFonts w:ascii="仿宋_GB2312" w:eastAsia="仿宋_GB2312"/>
          <w:sz w:val="32"/>
          <w:szCs w:val="32"/>
        </w:rPr>
      </w:pPr>
      <w:r>
        <w:rPr>
          <w:rFonts w:ascii="仿宋_GB2312" w:eastAsia="仿宋_GB2312"/>
          <w:sz w:val="32"/>
          <w:szCs w:val="32"/>
        </w:rPr>
        <w:t>第四条（基本原则）：确立管理原则体系，特别强调专业店布局与</w:t>
      </w:r>
      <w:r>
        <w:rPr>
          <w:rFonts w:hint="eastAsia" w:ascii="仿宋_GB2312" w:eastAsia="仿宋_GB2312"/>
          <w:sz w:val="32"/>
          <w:szCs w:val="32"/>
        </w:rPr>
        <w:t>非专业店</w:t>
      </w:r>
      <w:r>
        <w:rPr>
          <w:rFonts w:ascii="仿宋_GB2312" w:eastAsia="仿宋_GB2312"/>
          <w:sz w:val="32"/>
          <w:szCs w:val="32"/>
        </w:rPr>
        <w:t>、电子烟零售点布局管理</w:t>
      </w:r>
      <w:r>
        <w:rPr>
          <w:rFonts w:hint="eastAsia" w:ascii="仿宋_GB2312" w:eastAsia="仿宋_GB2312"/>
          <w:sz w:val="32"/>
          <w:szCs w:val="32"/>
        </w:rPr>
        <w:t>“相互独立”原则，明确“互不作为参照物”，这是保障雪茄烟专业店独特定位和布局逻辑得以实现的关键，体现分类施策、精细管理。</w:t>
      </w:r>
    </w:p>
    <w:p w14:paraId="5F7D3EA4">
      <w:pPr>
        <w:ind w:firstLine="485" w:firstLineChars="151"/>
        <w:jc w:val="left"/>
        <w:rPr>
          <w:rFonts w:ascii="仿宋_GB2312" w:eastAsia="仿宋_GB2312"/>
          <w:sz w:val="32"/>
          <w:szCs w:val="32"/>
        </w:rPr>
      </w:pPr>
      <w:r>
        <w:rPr>
          <w:rFonts w:hint="eastAsia" w:ascii="仿宋" w:hAnsi="仿宋" w:eastAsia="仿宋"/>
          <w:b/>
          <w:sz w:val="32"/>
          <w:szCs w:val="32"/>
        </w:rPr>
        <w:t>（二）关于“布局标准”部分（第五至九条）</w:t>
      </w:r>
    </w:p>
    <w:p w14:paraId="476CA7BD">
      <w:pPr>
        <w:ind w:firstLine="483" w:firstLineChars="151"/>
        <w:jc w:val="left"/>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第五条（准入条件）：设定了专业店的四大基本经营条件。“主营业务”要求突出其专业性；“独立固定场所”是法定要求，“不低于60平方米”的面积要求，是基于市场调研，保障专业储存和体验空间；“专业储存设备”要求（6平方米独立雪茄房或1000升以上专用雪茄柜）依据雪茄烟购销存数据设定，是保障产品品质，区分专业店与非专业店的核心硬件要求。</w:t>
      </w:r>
    </w:p>
    <w:p w14:paraId="14DC33A1">
      <w:pPr>
        <w:ind w:firstLine="483" w:firstLineChars="151"/>
        <w:jc w:val="left"/>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第六条（不予许可情形）：综合引用并细化《烟草专卖许可证管理办法》等上位法中的禁止性规定，涵盖主体资格、经营场所安全、未成年人保护、合规记录以及外商投资限制等方面，全面设定准入“负面清单”。</w:t>
      </w:r>
    </w:p>
    <w:p w14:paraId="17A0ADC3">
      <w:pPr>
        <w:ind w:firstLine="483" w:firstLineChars="151"/>
        <w:jc w:val="left"/>
        <w:rPr>
          <w:rFonts w:ascii="仿宋_GB2312" w:eastAsia="仿宋_GB2312"/>
          <w:sz w:val="32"/>
          <w:szCs w:val="32"/>
        </w:rPr>
      </w:pPr>
      <w:r>
        <w:rPr>
          <w:rFonts w:hint="eastAsia" w:ascii="仿宋_GB2312" w:eastAsia="仿宋_GB2312"/>
          <w:sz w:val="32"/>
          <w:szCs w:val="32"/>
        </w:rPr>
        <w:t>第七条（总量控制）：规定全区专业店指导数量上限为60个，实行“退一进一”的轮候机制。</w:t>
      </w:r>
      <w:r>
        <w:rPr>
          <w:rFonts w:ascii="仿宋_GB2312" w:eastAsia="仿宋_GB2312"/>
          <w:sz w:val="32"/>
          <w:szCs w:val="32"/>
        </w:rPr>
        <w:t>总量设定基于对本区经济水平、消费市场容量及发展趋势的综合评估。为确保总量控制政策的公平、公正、公开实施，配套建立了以“申请受理时间”为唯一排序依据的轮候制度，并设计了包括书面确认、动态递补、全程公示在内的系统化管理程序。将存量合规专业店纳入总量统计，确保政策公平与平稳过渡。同时明确总量可动态评估调整，保持政策灵活性。</w:t>
      </w:r>
    </w:p>
    <w:p w14:paraId="22005E05">
      <w:pPr>
        <w:ind w:firstLine="483" w:firstLineChars="151"/>
        <w:jc w:val="left"/>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第八条（业态变更管理）：明确专业店与非专业店业态转换规则。</w:t>
      </w:r>
      <w:r>
        <w:rPr>
          <w:rFonts w:ascii="仿宋_GB2312" w:eastAsia="仿宋_GB2312"/>
          <w:sz w:val="32"/>
          <w:szCs w:val="32"/>
        </w:rPr>
        <w:t>专业店增加其他烟草制品经营即转为</w:t>
      </w:r>
      <w:r>
        <w:rPr>
          <w:rFonts w:hint="eastAsia" w:ascii="仿宋_GB2312" w:eastAsia="仿宋_GB2312"/>
          <w:sz w:val="32"/>
          <w:szCs w:val="32"/>
        </w:rPr>
        <w:t>非专业</w:t>
      </w:r>
      <w:r>
        <w:rPr>
          <w:rFonts w:ascii="仿宋_GB2312" w:eastAsia="仿宋_GB2312"/>
          <w:sz w:val="32"/>
          <w:szCs w:val="32"/>
        </w:rPr>
        <w:t>店，须符合</w:t>
      </w:r>
      <w:r>
        <w:rPr>
          <w:rFonts w:hint="eastAsia" w:ascii="仿宋_GB2312" w:eastAsia="仿宋_GB2312"/>
          <w:sz w:val="32"/>
          <w:szCs w:val="32"/>
        </w:rPr>
        <w:t>《北京市海淀区烟草制品零售店合理布局</w:t>
      </w:r>
      <w:r>
        <w:rPr>
          <w:rFonts w:ascii="仿宋_GB2312" w:eastAsia="仿宋_GB2312"/>
          <w:sz w:val="32"/>
          <w:szCs w:val="32"/>
        </w:rPr>
        <w:t>规定</w:t>
      </w:r>
      <w:r>
        <w:rPr>
          <w:rFonts w:hint="eastAsia" w:ascii="仿宋_GB2312" w:eastAsia="仿宋_GB2312"/>
          <w:sz w:val="32"/>
          <w:szCs w:val="32"/>
        </w:rPr>
        <w:t>》</w:t>
      </w:r>
      <w:r>
        <w:rPr>
          <w:rFonts w:ascii="仿宋_GB2312" w:eastAsia="仿宋_GB2312"/>
          <w:sz w:val="32"/>
          <w:szCs w:val="32"/>
        </w:rPr>
        <w:t>；非专业店转为专业店须完全符合本标准，确保业态管理清晰、公平。</w:t>
      </w:r>
    </w:p>
    <w:p w14:paraId="2BCE385D">
      <w:pPr>
        <w:ind w:firstLine="485" w:firstLineChars="151"/>
        <w:jc w:val="left"/>
        <w:rPr>
          <w:rFonts w:ascii="仿宋" w:hAnsi="仿宋" w:eastAsia="仿宋"/>
          <w:b/>
          <w:sz w:val="32"/>
          <w:szCs w:val="32"/>
        </w:rPr>
      </w:pPr>
      <w:r>
        <w:rPr>
          <w:rFonts w:hint="eastAsia" w:ascii="仿宋" w:hAnsi="仿宋" w:eastAsia="仿宋"/>
          <w:b/>
          <w:sz w:val="32"/>
          <w:szCs w:val="32"/>
        </w:rPr>
        <w:t>（三）关于“附则”部分（第九 至十二条）</w:t>
      </w:r>
    </w:p>
    <w:p w14:paraId="27D9BA7D">
      <w:pPr>
        <w:ind w:firstLine="483" w:firstLineChars="151"/>
        <w:jc w:val="left"/>
        <w:rPr>
          <w:rFonts w:ascii="仿宋_GB2312" w:eastAsia="仿宋_GB2312"/>
          <w:sz w:val="32"/>
          <w:szCs w:val="32"/>
        </w:rPr>
      </w:pPr>
      <w:r>
        <w:rPr>
          <w:rFonts w:hint="eastAsia" w:ascii="仿宋_GB2312" w:eastAsia="仿宋_GB2312"/>
          <w:sz w:val="32"/>
          <w:szCs w:val="32"/>
        </w:rPr>
        <w:t>第九到十二条：</w:t>
      </w:r>
      <w:r>
        <w:rPr>
          <w:rFonts w:ascii="仿宋_GB2312" w:eastAsia="仿宋_GB2312"/>
          <w:sz w:val="32"/>
          <w:szCs w:val="32"/>
        </w:rPr>
        <w:t>分别明确未尽事宜参照执行标准、上位法优先原则、解释权归属及施行日期，确保规定体系的完整性、严肃性和可操作性。</w:t>
      </w:r>
    </w:p>
    <w:p w14:paraId="152A784B">
      <w:pPr>
        <w:ind w:firstLine="483" w:firstLineChars="151"/>
        <w:jc w:val="left"/>
        <w:rPr>
          <w:rFonts w:ascii="仿宋_GB2312" w:eastAsia="仿宋_GB2312"/>
          <w:sz w:val="32"/>
          <w:szCs w:val="32"/>
        </w:rPr>
      </w:pPr>
      <w:r>
        <w:rPr>
          <w:rFonts w:hint="eastAsia" w:ascii="黑体" w:hAnsi="黑体" w:eastAsia="黑体"/>
          <w:sz w:val="32"/>
          <w:szCs w:val="32"/>
        </w:rPr>
        <w:t>三、关于配套实施机制</w:t>
      </w:r>
    </w:p>
    <w:p w14:paraId="5991BAC6">
      <w:pPr>
        <w:ind w:firstLine="425" w:firstLineChars="133"/>
        <w:rPr>
          <w:rFonts w:ascii="黑体" w:hAnsi="黑体" w:eastAsia="黑体"/>
          <w:sz w:val="32"/>
          <w:szCs w:val="32"/>
        </w:rPr>
      </w:pPr>
      <w:r>
        <w:rPr>
          <w:rFonts w:ascii="仿宋_GB2312" w:eastAsia="仿宋_GB2312"/>
          <w:sz w:val="32"/>
          <w:szCs w:val="32"/>
        </w:rPr>
        <w:t>为保障《规定》中总量控制、轮候管理等核心条款的有效执行，确保行政许可程序的规范、透明与高效，我局同步研究制定了相应的轮候管理配套制度。该制度严格遵循《行政许可法》精神，旨在通过确立客观排序标准、规范流程文书、实行动态管理与信息全面公开，将《规定》的实体要求转化为可操作、可监督的规范化行政程序。</w:t>
      </w:r>
    </w:p>
    <w:p w14:paraId="52BAB5B3">
      <w:pPr>
        <w:ind w:firstLine="483" w:firstLineChars="151"/>
        <w:jc w:val="left"/>
        <w:rPr>
          <w:rFonts w:ascii="仿宋_GB2312" w:eastAsia="仿宋_GB2312"/>
          <w:sz w:val="32"/>
          <w:szCs w:val="32"/>
        </w:rPr>
      </w:pPr>
      <w:r>
        <w:rPr>
          <w:rFonts w:ascii="仿宋_GB2312" w:eastAsia="仿宋_GB2312"/>
          <w:sz w:val="32"/>
          <w:szCs w:val="32"/>
        </w:rPr>
        <w:t>以上为《规定（征求意见稿）》的起草说明，现向</w:t>
      </w:r>
      <w:r>
        <w:rPr>
          <w:rFonts w:hint="eastAsia" w:ascii="仿宋_GB2312" w:eastAsia="仿宋_GB2312"/>
          <w:sz w:val="32"/>
          <w:szCs w:val="32"/>
        </w:rPr>
        <w:t>社会公开</w:t>
      </w:r>
      <w:r>
        <w:rPr>
          <w:rFonts w:ascii="仿宋_GB2312" w:eastAsia="仿宋_GB2312"/>
          <w:sz w:val="32"/>
          <w:szCs w:val="32"/>
        </w:rPr>
        <w:t>征求意见。欢迎</w:t>
      </w:r>
      <w:r>
        <w:rPr>
          <w:rFonts w:hint="eastAsia" w:ascii="仿宋_GB2312" w:eastAsia="仿宋_GB2312"/>
          <w:sz w:val="32"/>
          <w:szCs w:val="32"/>
        </w:rPr>
        <w:t>各界</w:t>
      </w:r>
      <w:r>
        <w:rPr>
          <w:rFonts w:ascii="仿宋_GB2312" w:eastAsia="仿宋_GB2312"/>
          <w:sz w:val="32"/>
          <w:szCs w:val="32"/>
        </w:rPr>
        <w:t>提出宝贵意见</w:t>
      </w:r>
      <w:r>
        <w:rPr>
          <w:rFonts w:hint="eastAsia" w:ascii="仿宋_GB2312" w:eastAsia="仿宋_GB2312"/>
          <w:sz w:val="32"/>
          <w:szCs w:val="32"/>
        </w:rPr>
        <w:t>。</w:t>
      </w:r>
    </w:p>
    <w:sectPr>
      <w:head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8694">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0345"/>
    <w:rsid w:val="00074CF2"/>
    <w:rsid w:val="000D08DB"/>
    <w:rsid w:val="000D0F1E"/>
    <w:rsid w:val="001A499A"/>
    <w:rsid w:val="001F699D"/>
    <w:rsid w:val="00304852"/>
    <w:rsid w:val="003155E8"/>
    <w:rsid w:val="0034790B"/>
    <w:rsid w:val="003A0C94"/>
    <w:rsid w:val="003A0CD3"/>
    <w:rsid w:val="004A01A2"/>
    <w:rsid w:val="005A6E41"/>
    <w:rsid w:val="00620D1C"/>
    <w:rsid w:val="006D4A9A"/>
    <w:rsid w:val="00740FB7"/>
    <w:rsid w:val="00883F25"/>
    <w:rsid w:val="008F65F2"/>
    <w:rsid w:val="00923EC0"/>
    <w:rsid w:val="00971A8C"/>
    <w:rsid w:val="009E0621"/>
    <w:rsid w:val="00A773CB"/>
    <w:rsid w:val="00B67380"/>
    <w:rsid w:val="00B90345"/>
    <w:rsid w:val="00BB508B"/>
    <w:rsid w:val="00C2491E"/>
    <w:rsid w:val="00C674AC"/>
    <w:rsid w:val="00CA3611"/>
    <w:rsid w:val="00CF0913"/>
    <w:rsid w:val="00DA2C44"/>
    <w:rsid w:val="00DB74B1"/>
    <w:rsid w:val="00DE38C4"/>
    <w:rsid w:val="00E45F14"/>
    <w:rsid w:val="00E55D4A"/>
    <w:rsid w:val="00EC64DC"/>
    <w:rsid w:val="00FB3CE3"/>
    <w:rsid w:val="12E9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F113E-0E52-4806-A9C8-365DA4B7A81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1770</Words>
  <Characters>1778</Characters>
  <Lines>12</Lines>
  <Paragraphs>3</Paragraphs>
  <TotalTime>174</TotalTime>
  <ScaleCrop>false</ScaleCrop>
  <LinksUpToDate>false</LinksUpToDate>
  <CharactersWithSpaces>1783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2026-01-06T04:49:00Z</dcterms:created>
  <dc:creator>shanzhiyong</dc:creator>
  <cp:lastModifiedBy>孙文婷</cp:lastModifiedBy>
  <cp:lastPrinted>2026-02-04T00:11:00Z</cp:lastPrinted>
  <dcterms:modified xsi:type="dcterms:W3CDTF">2026-02-10T02:14:47Z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eyJoZGlkIjoiMzFkMDY5NzA0MzU2MWZlMDRiYmEzZTQ2NmRmYjk1MGUiLCJ1c2VySWQiOiI1MTE3MjA5NzMifQ==</vt:lpwstr>
  </property>
  <property fmtid="{D5CDD505-2E9C-101B-9397-08002B2CF9AE}" pid="3" name="KSOProductBuildVer">
    <vt:lpwstr>2052-12.1.0.25225</vt:lpwstr>
  </property>
  <property fmtid="{D5CDD505-2E9C-101B-9397-08002B2CF9AE}" pid="4" name="ICV">
    <vt:lpwstr>3966D8B987D849F1ADBEA9A58658907D_12</vt:lpwstr>
  </property>
</Properties>
</file>