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4F2C" w14:textId="77777777" w:rsidR="0029462F" w:rsidRPr="00E021DF" w:rsidRDefault="0029462F" w:rsidP="0029462F">
      <w:pPr>
        <w:spacing w:line="560" w:lineRule="exact"/>
        <w:jc w:val="left"/>
        <w:outlineLvl w:val="0"/>
        <w:rPr>
          <w:rFonts w:ascii="黑体" w:eastAsia="黑体" w:hAnsi="黑体" w:cs="方正小标宋简体"/>
          <w:sz w:val="32"/>
          <w:szCs w:val="32"/>
        </w:rPr>
      </w:pPr>
      <w:r w:rsidRPr="00E021DF">
        <w:rPr>
          <w:rFonts w:ascii="黑体" w:eastAsia="黑体" w:hAnsi="黑体" w:cs="方正小标宋简体" w:hint="eastAsia"/>
          <w:sz w:val="32"/>
          <w:szCs w:val="32"/>
        </w:rPr>
        <w:t>附件2</w:t>
      </w:r>
    </w:p>
    <w:p w14:paraId="47E1D57A" w14:textId="77777777" w:rsidR="00BA098A" w:rsidRDefault="00054467" w:rsidP="00865695">
      <w:pPr>
        <w:adjustRightInd w:val="0"/>
        <w:snapToGrid w:val="0"/>
        <w:spacing w:line="560" w:lineRule="exact"/>
        <w:jc w:val="center"/>
        <w:outlineLvl w:val="0"/>
        <w:rPr>
          <w:rFonts w:ascii="仿宋_GB2312" w:eastAsia="方正小标宋简体" w:hAnsi="仿宋_GB2312" w:cs="仿宋_GB2312" w:hint="eastAsia"/>
          <w:sz w:val="32"/>
          <w:szCs w:val="32"/>
        </w:rPr>
      </w:pPr>
      <w:r>
        <w:rPr>
          <w:rFonts w:ascii="方正小标宋简体" w:eastAsia="方正小标宋简体" w:hAnsi="方正小标宋简体" w:cs="方正小标宋简体" w:hint="eastAsia"/>
          <w:sz w:val="44"/>
          <w:szCs w:val="44"/>
        </w:rPr>
        <w:t>关于《海淀区关于支持青年人才安居的若干措施》的起草说明</w:t>
      </w:r>
    </w:p>
    <w:p w14:paraId="3DC771A0" w14:textId="77777777" w:rsidR="00BA098A" w:rsidRDefault="00BA098A" w:rsidP="00865695">
      <w:pPr>
        <w:adjustRightInd w:val="0"/>
        <w:snapToGrid w:val="0"/>
        <w:spacing w:line="560" w:lineRule="exact"/>
        <w:ind w:firstLine="640"/>
        <w:rPr>
          <w:rFonts w:ascii="仿宋_GB2312" w:eastAsia="仿宋_GB2312" w:hAnsi="仿宋_GB2312" w:cs="仿宋_GB2312" w:hint="eastAsia"/>
          <w:sz w:val="32"/>
          <w:szCs w:val="32"/>
        </w:rPr>
      </w:pPr>
    </w:p>
    <w:p w14:paraId="275EEBD5" w14:textId="77777777" w:rsidR="00BA098A" w:rsidRDefault="00054467" w:rsidP="00865695">
      <w:pPr>
        <w:adjustRightInd w:val="0"/>
        <w:snapToGrid w:val="0"/>
        <w:spacing w:line="56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一、目的意义</w:t>
      </w:r>
    </w:p>
    <w:p w14:paraId="7F8A02A6" w14:textId="55170D2E" w:rsidR="00BA098A" w:rsidRDefault="00054467" w:rsidP="00865695">
      <w:pPr>
        <w:adjustRightInd w:val="0"/>
        <w:snapToGrid w:val="0"/>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sz w:val="32"/>
          <w:szCs w:val="32"/>
        </w:rPr>
        <w:t>助力北京青年人才创新创业生态示范区和青年发展型城市建设</w:t>
      </w:r>
      <w:r>
        <w:rPr>
          <w:rFonts w:ascii="仿宋_GB2312" w:eastAsia="仿宋_GB2312" w:hAnsi="仿宋_GB2312" w:cs="仿宋_GB2312" w:hint="eastAsia"/>
          <w:sz w:val="32"/>
          <w:szCs w:val="32"/>
        </w:rPr>
        <w:t>，切实解决青年人才阶段性住房难题，吸引更多青年人才来海淀就业创业，根据区委区政府工作部署，研究制定《海淀区关于支持青年人才安居的若干措施》（以下简称《安居措施》）。</w:t>
      </w:r>
    </w:p>
    <w:p w14:paraId="61D757EF" w14:textId="77777777" w:rsidR="00BA098A" w:rsidRDefault="00054467" w:rsidP="00865695">
      <w:pPr>
        <w:adjustRightInd w:val="0"/>
        <w:snapToGrid w:val="0"/>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二、政策依据</w:t>
      </w:r>
    </w:p>
    <w:p w14:paraId="1D554B5C" w14:textId="77777777" w:rsidR="00BA098A" w:rsidRDefault="00054467" w:rsidP="00865695">
      <w:pPr>
        <w:adjustRightInd w:val="0"/>
        <w:snapToGrid w:val="0"/>
        <w:spacing w:line="56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sz w:val="32"/>
          <w:szCs w:val="32"/>
        </w:rPr>
        <w:t>根据《关于优化住房支持政策服务保障人才发展的意见》（京建法〔2018〕13号）</w:t>
      </w:r>
      <w:r>
        <w:rPr>
          <w:rFonts w:ascii="仿宋_GB2312" w:eastAsia="仿宋_GB2312" w:hAnsi="Times New Roman" w:cs="Times New Roman" w:hint="eastAsia"/>
          <w:kern w:val="0"/>
          <w:sz w:val="32"/>
          <w:szCs w:val="32"/>
        </w:rPr>
        <w:t>、《关于印发&lt;海淀区关于建设青年人才创新创业生态示范区工作方案&gt;的通知》（海教人办发〔2025〕1号）等政策文件。</w:t>
      </w:r>
    </w:p>
    <w:p w14:paraId="6C38D299" w14:textId="77777777" w:rsidR="00BA098A" w:rsidRDefault="00054467" w:rsidP="00865695">
      <w:pPr>
        <w:adjustRightInd w:val="0"/>
        <w:snapToGrid w:val="0"/>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三、起草过程</w:t>
      </w:r>
    </w:p>
    <w:p w14:paraId="1865D565" w14:textId="599CAA7C" w:rsidR="00BA098A" w:rsidRDefault="00054467" w:rsidP="00865695">
      <w:pPr>
        <w:adjustRightInd w:val="0"/>
        <w:snapToGrid w:val="0"/>
        <w:spacing w:line="560" w:lineRule="exact"/>
        <w:ind w:firstLine="640"/>
        <w:rPr>
          <w:rFonts w:hint="eastAsia"/>
        </w:rPr>
      </w:pPr>
      <w:r>
        <w:rPr>
          <w:rFonts w:ascii="仿宋_GB2312" w:eastAsia="仿宋_GB2312" w:hAnsi="宋体" w:cs="宋体" w:hint="eastAsia"/>
          <w:sz w:val="32"/>
          <w:szCs w:val="32"/>
        </w:rPr>
        <w:t>坚持需求导向，通过问卷调查、座谈访谈等方式深入了解青年人才安居需求与偏好；通过社保、公积金</w:t>
      </w:r>
      <w:r>
        <w:rPr>
          <w:rFonts w:ascii="仿宋_GB2312" w:eastAsia="仿宋_GB2312" w:hAnsi="Calibri" w:cs="Times New Roman" w:hint="eastAsia"/>
          <w:color w:val="000000"/>
          <w:sz w:val="32"/>
          <w:szCs w:val="32"/>
        </w:rPr>
        <w:t>及产业</w:t>
      </w:r>
      <w:r>
        <w:rPr>
          <w:rFonts w:ascii="仿宋_GB2312" w:eastAsia="仿宋_GB2312" w:hAnsi="宋体" w:cs="宋体" w:hint="eastAsia"/>
          <w:sz w:val="32"/>
          <w:szCs w:val="32"/>
        </w:rPr>
        <w:t>数据测算，分析</w:t>
      </w:r>
      <w:r w:rsidR="00CD36D6">
        <w:rPr>
          <w:rFonts w:ascii="仿宋_GB2312" w:eastAsia="仿宋_GB2312" w:hAnsi="宋体" w:cs="宋体" w:hint="eastAsia"/>
          <w:sz w:val="32"/>
          <w:szCs w:val="32"/>
        </w:rPr>
        <w:t>青年人才</w:t>
      </w:r>
      <w:r>
        <w:rPr>
          <w:rFonts w:ascii="仿宋_GB2312" w:eastAsia="仿宋_GB2312" w:hAnsi="宋体" w:cs="宋体" w:hint="eastAsia"/>
          <w:sz w:val="32"/>
          <w:szCs w:val="32"/>
        </w:rPr>
        <w:t>规模。广泛征求相关部门意见，我办联合区人才工作局、区人力社保局、中关村科学城管委会等部门，结合实际，研究制定</w:t>
      </w:r>
      <w:r>
        <w:rPr>
          <w:rFonts w:ascii="仿宋_GB2312" w:eastAsia="仿宋_GB2312" w:hAnsi="仿宋_GB2312" w:cs="仿宋_GB2312" w:hint="eastAsia"/>
          <w:sz w:val="32"/>
          <w:szCs w:val="32"/>
        </w:rPr>
        <w:t>《安居措施》</w:t>
      </w:r>
      <w:r>
        <w:rPr>
          <w:rFonts w:ascii="仿宋_GB2312" w:eastAsia="仿宋_GB2312" w:hAnsi="宋体" w:cs="宋体" w:hint="eastAsia"/>
          <w:sz w:val="32"/>
          <w:szCs w:val="32"/>
        </w:rPr>
        <w:t>。</w:t>
      </w:r>
    </w:p>
    <w:p w14:paraId="6D0D763C" w14:textId="77777777" w:rsidR="00BA098A" w:rsidRDefault="00054467" w:rsidP="00865695">
      <w:pPr>
        <w:adjustRightInd w:val="0"/>
        <w:snapToGrid w:val="0"/>
        <w:spacing w:line="560" w:lineRule="exact"/>
        <w:ind w:firstLineChars="200" w:firstLine="640"/>
        <w:outlineLvl w:val="0"/>
        <w:rPr>
          <w:rFonts w:ascii="黑体" w:eastAsia="黑体" w:hAnsi="黑体" w:cs="宋体" w:hint="eastAsia"/>
          <w:sz w:val="32"/>
          <w:szCs w:val="32"/>
        </w:rPr>
      </w:pPr>
      <w:r>
        <w:rPr>
          <w:rFonts w:ascii="黑体" w:eastAsia="黑体" w:hAnsi="黑体" w:cs="宋体" w:hint="eastAsia"/>
          <w:sz w:val="32"/>
          <w:szCs w:val="32"/>
        </w:rPr>
        <w:t>四、主要内容</w:t>
      </w:r>
    </w:p>
    <w:p w14:paraId="2FA78AD7" w14:textId="77777777" w:rsidR="00BA098A" w:rsidRDefault="00054467" w:rsidP="00865695">
      <w:pPr>
        <w:adjustRightInd w:val="0"/>
        <w:snapToGrid w:val="0"/>
        <w:spacing w:line="560" w:lineRule="exact"/>
        <w:ind w:firstLineChars="200" w:firstLine="640"/>
        <w:outlineLvl w:val="2"/>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（一）支持范围</w:t>
      </w:r>
    </w:p>
    <w:p w14:paraId="4986251C" w14:textId="77777777"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《安居措施》主要面向45周岁及以下、具有全日制本</w:t>
      </w:r>
      <w:r>
        <w:rPr>
          <w:rFonts w:ascii="仿宋_GB2312" w:eastAsia="仿宋_GB2312" w:hAnsi="仿宋_GB2312" w:cs="仿宋_GB2312" w:hint="eastAsia"/>
          <w:sz w:val="32"/>
          <w:szCs w:val="32"/>
        </w:rPr>
        <w:lastRenderedPageBreak/>
        <w:t>科及以上学历且在海淀就业创业的青年人才，聚焦重点产业体系内的应届毕业生以及认定的青年创新创业人才。</w:t>
      </w:r>
    </w:p>
    <w:p w14:paraId="3A4A7631" w14:textId="77777777" w:rsidR="00BA098A" w:rsidRDefault="00054467" w:rsidP="00865695">
      <w:pPr>
        <w:adjustRightInd w:val="0"/>
        <w:snapToGrid w:val="0"/>
        <w:spacing w:line="560" w:lineRule="exact"/>
        <w:ind w:firstLineChars="200" w:firstLine="640"/>
        <w:outlineLvl w:val="2"/>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（二）措施主要内容</w:t>
      </w:r>
    </w:p>
    <w:p w14:paraId="55A51988" w14:textId="77777777"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《安居措施</w:t>
      </w:r>
      <w:r>
        <w:rPr>
          <w:rFonts w:ascii="仿宋_GB2312" w:eastAsia="仿宋_GB2312" w:hAnsi="仿宋_GB2312" w:cs="仿宋_GB2312" w:hint="eastAsia"/>
          <w:sz w:val="32"/>
          <w:szCs w:val="32"/>
        </w:rPr>
        <w:t>》共涉及四</w:t>
      </w:r>
      <w:r>
        <w:rPr>
          <w:rFonts w:ascii="仿宋_GB2312" w:eastAsia="仿宋_GB2312" w:hAnsi="仿宋_GB2312" w:cs="仿宋_GB2312"/>
          <w:sz w:val="32"/>
          <w:szCs w:val="32"/>
        </w:rPr>
        <w:t>方面</w:t>
      </w:r>
      <w:r>
        <w:rPr>
          <w:rFonts w:ascii="仿宋_GB2312" w:eastAsia="仿宋_GB2312" w:hAnsi="仿宋_GB2312" w:cs="仿宋_GB2312" w:hint="eastAsia"/>
          <w:sz w:val="32"/>
          <w:szCs w:val="32"/>
        </w:rPr>
        <w:t>八</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措施</w:t>
      </w:r>
      <w:r>
        <w:rPr>
          <w:rFonts w:ascii="仿宋_GB2312" w:eastAsia="仿宋_GB2312" w:hAnsi="仿宋_GB2312" w:cs="仿宋_GB2312"/>
          <w:sz w:val="32"/>
          <w:szCs w:val="32"/>
        </w:rPr>
        <w:t>。</w:t>
      </w:r>
    </w:p>
    <w:p w14:paraId="39D1472E" w14:textId="77777777" w:rsidR="00BA098A" w:rsidRDefault="00054467" w:rsidP="00865695">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加强人才保障住房供给</w:t>
      </w:r>
    </w:p>
    <w:p w14:paraId="3E240492" w14:textId="079359D3"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拓展房源建设筹集渠道。聚焦高校科研院所、科创产业园区等人才与产业集聚区域，重点加大适合青年居住的宿舍型、公寓型人才保障住房供给。二是促进园区“产业+居住”融合。支持利用产业园区配套指标新建或非居改建人才保障住房。园区内及部分毗邻区域的人才保障住房，可由园区运营管理机构直接面向符合条件的园区企业青年人才配租。</w:t>
      </w:r>
    </w:p>
    <w:p w14:paraId="06D01C4D" w14:textId="77777777" w:rsidR="00BA098A" w:rsidRDefault="00054467" w:rsidP="00865695">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加强新毕业大学生安居保障</w:t>
      </w:r>
    </w:p>
    <w:p w14:paraId="1A633BC9" w14:textId="32C52073"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增加青年公寓专项供给。每年推出不少于2000套可拎包入住的公租房或保租房作为青年公寓，面向近3年毕业且在海淀就业的青年人才配租，提供最长6年的租金梯度折扣优惠。二是加大安居补贴支持力度。经认定的在海淀区重点产业体系内用人单位就业且符合条件的应届毕业生，可申领</w:t>
      </w:r>
      <w:r w:rsidR="00865695">
        <w:rPr>
          <w:rFonts w:ascii="仿宋_GB2312" w:eastAsia="仿宋_GB2312" w:hAnsi="仿宋_GB2312" w:cs="仿宋_GB2312" w:hint="eastAsia"/>
          <w:sz w:val="32"/>
          <w:szCs w:val="32"/>
        </w:rPr>
        <w:t>最长2年的</w:t>
      </w:r>
      <w:r>
        <w:rPr>
          <w:rFonts w:ascii="仿宋_GB2312" w:eastAsia="仿宋_GB2312" w:hAnsi="仿宋_GB2312" w:cs="仿宋_GB2312" w:hint="eastAsia"/>
          <w:sz w:val="32"/>
          <w:szCs w:val="32"/>
        </w:rPr>
        <w:t>安居补贴。</w:t>
      </w:r>
    </w:p>
    <w:p w14:paraId="6BF957D2" w14:textId="77777777" w:rsidR="00BA098A" w:rsidRDefault="00054467" w:rsidP="00865695">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3.加强青年创新创业人才安居支持</w:t>
      </w:r>
    </w:p>
    <w:p w14:paraId="589C0001" w14:textId="00BB7DF3"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一是加大创新创业赛事赋能。经认定的创新创业赛事获得优胜奖及以上项目的青年创始人，</w:t>
      </w:r>
      <w:bookmarkStart w:id="0" w:name="OLE_LINK1"/>
      <w:bookmarkStart w:id="1" w:name="OLE_LINK2"/>
      <w:r w:rsidR="00865695">
        <w:rPr>
          <w:rFonts w:ascii="仿宋_GB2312" w:eastAsia="仿宋_GB2312" w:hAnsi="仿宋_GB2312" w:cs="仿宋_GB2312" w:hint="eastAsia"/>
          <w:sz w:val="32"/>
          <w:szCs w:val="32"/>
        </w:rPr>
        <w:t>给予定向配租人才保障住房或发放安居补贴支持。</w:t>
      </w:r>
      <w:bookmarkEnd w:id="0"/>
      <w:bookmarkEnd w:id="1"/>
      <w:r>
        <w:rPr>
          <w:rFonts w:ascii="仿宋_GB2312" w:eastAsia="仿宋_GB2312" w:hAnsi="仿宋_GB2312" w:cs="仿宋_GB2312" w:hint="eastAsia"/>
          <w:sz w:val="32"/>
          <w:szCs w:val="32"/>
        </w:rPr>
        <w:t>二是</w:t>
      </w:r>
      <w:r w:rsidRPr="00666879">
        <w:rPr>
          <w:rFonts w:ascii="仿宋_GB2312" w:eastAsia="仿宋_GB2312" w:hAnsi="仿宋_GB2312" w:cs="仿宋_GB2312" w:hint="eastAsia"/>
          <w:sz w:val="32"/>
          <w:szCs w:val="32"/>
        </w:rPr>
        <w:t>支持创业青年人才安居。</w:t>
      </w:r>
      <w:r>
        <w:rPr>
          <w:rFonts w:ascii="仿宋_GB2312" w:eastAsia="仿宋_GB2312" w:hAnsi="仿宋_GB2312" w:cs="仿宋_GB2312" w:hint="eastAsia"/>
          <w:sz w:val="32"/>
          <w:szCs w:val="32"/>
        </w:rPr>
        <w:t>经认定的海淀区重点产业体系内新创办OPC企业青年创始人，</w:t>
      </w:r>
      <w:r>
        <w:rPr>
          <w:rFonts w:ascii="仿宋_GB2312" w:eastAsia="仿宋_GB2312" w:hAnsi="仿宋_GB2312" w:cs="仿宋_GB2312" w:hint="eastAsia"/>
          <w:sz w:val="32"/>
          <w:szCs w:val="32"/>
        </w:rPr>
        <w:lastRenderedPageBreak/>
        <w:t>以及成立时间不超3年且近2年获得知名投资机构投资的青年创始人及核心人才，</w:t>
      </w:r>
      <w:r w:rsidR="00865695">
        <w:rPr>
          <w:rFonts w:ascii="仿宋_GB2312" w:eastAsia="仿宋_GB2312" w:hAnsi="仿宋_GB2312" w:cs="仿宋_GB2312" w:hint="eastAsia"/>
          <w:sz w:val="32"/>
          <w:szCs w:val="32"/>
        </w:rPr>
        <w:t>给予定向配租人才保障住房或发放安居补贴支持。</w:t>
      </w:r>
    </w:p>
    <w:p w14:paraId="73B91781" w14:textId="77777777" w:rsidR="00BA098A" w:rsidRDefault="00054467" w:rsidP="00865695">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b/>
          <w:bCs/>
          <w:sz w:val="32"/>
          <w:szCs w:val="32"/>
        </w:rPr>
        <w:t>加强品质安居服务</w:t>
      </w:r>
    </w:p>
    <w:p w14:paraId="6992BDC5" w14:textId="0F59C455" w:rsidR="00BA098A" w:rsidRDefault="00054467" w:rsidP="00865695">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一是共建青年友好社区。依托人才保障住房项目，建设10个以上青年友好社区，因地制宜配置</w:t>
      </w:r>
      <w:r w:rsidR="00865695">
        <w:rPr>
          <w:rFonts w:ascii="仿宋_GB2312" w:eastAsia="仿宋_GB2312" w:hAnsi="仿宋_GB2312" w:cs="仿宋_GB2312" w:hint="eastAsia"/>
          <w:sz w:val="32"/>
          <w:szCs w:val="32"/>
        </w:rPr>
        <w:t>共享空间与设施，常态化开展培训提升、文化体验</w:t>
      </w:r>
      <w:r>
        <w:rPr>
          <w:rFonts w:ascii="仿宋_GB2312" w:eastAsia="仿宋_GB2312" w:hAnsi="仿宋_GB2312" w:cs="仿宋_GB2312" w:hint="eastAsia"/>
          <w:sz w:val="32"/>
          <w:szCs w:val="32"/>
        </w:rPr>
        <w:t>等多元活动，打造高品质青年人才安居环境。二是提供规范便捷安居服务。加强住房租赁市场监管，规范房源信息发布、租赁服务和收费，强化租赁合同网签备案。打造高效、便捷的海淀人才安居信息服务体系，实现政策发布、项目展示、VR看房、申请审核等事项一站式办理。</w:t>
      </w:r>
    </w:p>
    <w:p w14:paraId="7EB4625A" w14:textId="77777777" w:rsidR="00BA098A" w:rsidRDefault="00BA098A" w:rsidP="00865695">
      <w:pPr>
        <w:adjustRightInd w:val="0"/>
        <w:snapToGrid w:val="0"/>
        <w:spacing w:line="560" w:lineRule="exact"/>
        <w:ind w:firstLine="640"/>
        <w:rPr>
          <w:rFonts w:hint="eastAsia"/>
        </w:rPr>
      </w:pPr>
    </w:p>
    <w:sectPr w:rsidR="00BA098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9C1F" w14:textId="77777777" w:rsidR="00631AA7" w:rsidRDefault="00631AA7">
      <w:pPr>
        <w:rPr>
          <w:rFonts w:hint="eastAsia"/>
        </w:rPr>
      </w:pPr>
      <w:r>
        <w:separator/>
      </w:r>
    </w:p>
  </w:endnote>
  <w:endnote w:type="continuationSeparator" w:id="0">
    <w:p w14:paraId="275E17EE" w14:textId="77777777" w:rsidR="00631AA7" w:rsidRDefault="00631A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3668" w14:textId="77777777" w:rsidR="00BA098A" w:rsidRDefault="00BA098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E02C" w14:textId="77777777" w:rsidR="00BA098A" w:rsidRDefault="00BA098A">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8AA8" w14:textId="77777777" w:rsidR="00BA098A" w:rsidRDefault="00BA098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994A" w14:textId="77777777" w:rsidR="00631AA7" w:rsidRDefault="00631AA7">
      <w:pPr>
        <w:rPr>
          <w:rFonts w:hint="eastAsia"/>
        </w:rPr>
      </w:pPr>
      <w:r>
        <w:separator/>
      </w:r>
    </w:p>
  </w:footnote>
  <w:footnote w:type="continuationSeparator" w:id="0">
    <w:p w14:paraId="3E9632E6" w14:textId="77777777" w:rsidR="00631AA7" w:rsidRDefault="00631AA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65F3" w14:textId="77777777" w:rsidR="00BA098A" w:rsidRDefault="00BA098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4A89" w14:textId="77777777" w:rsidR="00BA098A" w:rsidRDefault="00BA098A">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730D" w14:textId="77777777" w:rsidR="00BA098A" w:rsidRDefault="00BA098A">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F4"/>
    <w:rsid w:val="00054467"/>
    <w:rsid w:val="000A7DE9"/>
    <w:rsid w:val="001A504F"/>
    <w:rsid w:val="0023654E"/>
    <w:rsid w:val="0029462F"/>
    <w:rsid w:val="002D27F4"/>
    <w:rsid w:val="0047106E"/>
    <w:rsid w:val="004B1576"/>
    <w:rsid w:val="005442AF"/>
    <w:rsid w:val="00631AA7"/>
    <w:rsid w:val="00666879"/>
    <w:rsid w:val="00766B4A"/>
    <w:rsid w:val="007C4DF3"/>
    <w:rsid w:val="007F0E2B"/>
    <w:rsid w:val="00822343"/>
    <w:rsid w:val="00865695"/>
    <w:rsid w:val="009E3799"/>
    <w:rsid w:val="00BA098A"/>
    <w:rsid w:val="00BE61BF"/>
    <w:rsid w:val="00C36051"/>
    <w:rsid w:val="00CA4DF5"/>
    <w:rsid w:val="00CD36D6"/>
    <w:rsid w:val="00CE2D86"/>
    <w:rsid w:val="00E17B5D"/>
    <w:rsid w:val="00FC5010"/>
    <w:rsid w:val="660F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B16625-2A9D-44BA-972A-729C89F8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szCs w:val="24"/>
    </w:rPr>
  </w:style>
  <w:style w:type="paragraph" w:styleId="1">
    <w:name w:val="heading 1"/>
    <w:basedOn w:val="a"/>
    <w:next w:val="a"/>
    <w:link w:val="10"/>
    <w:autoRedefine/>
    <w:uiPriority w:val="9"/>
    <w:qFormat/>
    <w:pPr>
      <w:keepNext/>
      <w:keepLines/>
      <w:spacing w:before="340" w:after="330" w:line="578" w:lineRule="auto"/>
      <w:ind w:firstLineChars="200" w:firstLine="200"/>
      <w:outlineLvl w:val="0"/>
    </w:pPr>
    <w:rPr>
      <w:rFonts w:ascii="Times New Roman" w:eastAsia="黑体" w:hAnsi="Times New Roman" w:cs="Times New Roman"/>
      <w:bCs/>
      <w:kern w:val="44"/>
      <w:sz w:val="32"/>
      <w:szCs w:val="44"/>
    </w:rPr>
  </w:style>
  <w:style w:type="paragraph" w:styleId="2">
    <w:name w:val="heading 2"/>
    <w:basedOn w:val="a"/>
    <w:next w:val="a"/>
    <w:link w:val="20"/>
    <w:autoRedefine/>
    <w:uiPriority w:val="9"/>
    <w:unhideWhenUsed/>
    <w:qFormat/>
    <w:pPr>
      <w:keepNext/>
      <w:keepLines/>
      <w:spacing w:line="560" w:lineRule="exact"/>
      <w:ind w:firstLineChars="200" w:firstLine="200"/>
      <w:outlineLvl w:val="1"/>
    </w:pPr>
    <w:rPr>
      <w:rFonts w:ascii="Times New Roman" w:eastAsia="楷体_GB2312" w:hAnsi="Times New Roman" w:cstheme="majorBidi"/>
      <w:bCs/>
      <w:sz w:val="32"/>
      <w:szCs w:val="32"/>
    </w:rPr>
  </w:style>
  <w:style w:type="paragraph" w:styleId="3">
    <w:name w:val="heading 3"/>
    <w:basedOn w:val="a"/>
    <w:next w:val="a"/>
    <w:link w:val="30"/>
    <w:autoRedefine/>
    <w:uiPriority w:val="9"/>
    <w:semiHidden/>
    <w:unhideWhenUsed/>
    <w:qFormat/>
    <w:pPr>
      <w:keepNext/>
      <w:keepLines/>
      <w:spacing w:line="560" w:lineRule="exact"/>
      <w:ind w:firstLineChars="200" w:firstLine="200"/>
      <w:outlineLvl w:val="2"/>
    </w:pPr>
    <w:rPr>
      <w:rFonts w:ascii="Times New Roman" w:eastAsia="仿宋_GB2312" w:hAnsi="Times New Roman" w:cstheme="majorBidi"/>
      <w:b/>
      <w:sz w:val="32"/>
      <w:szCs w:val="32"/>
    </w:rPr>
  </w:style>
  <w:style w:type="paragraph" w:styleId="4">
    <w:name w:val="heading 4"/>
    <w:basedOn w:val="a"/>
    <w:next w:val="a"/>
    <w:link w:val="40"/>
    <w:uiPriority w:val="9"/>
    <w:semiHidden/>
    <w:unhideWhenUsed/>
    <w:qFormat/>
    <w:pPr>
      <w:keepNext/>
      <w:keepLines/>
      <w:spacing w:before="80" w:after="40" w:line="560" w:lineRule="exact"/>
      <w:ind w:firstLineChars="200" w:firstLine="20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line="560" w:lineRule="exact"/>
      <w:ind w:firstLineChars="200" w:firstLine="20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line="560" w:lineRule="exact"/>
      <w:ind w:firstLineChars="200" w:firstLine="200"/>
      <w:outlineLvl w:val="5"/>
    </w:pPr>
    <w:rPr>
      <w:rFonts w:cstheme="majorBidi"/>
      <w:b/>
      <w:bCs/>
      <w:color w:val="2F5496" w:themeColor="accent1" w:themeShade="BF"/>
      <w:sz w:val="32"/>
    </w:rPr>
  </w:style>
  <w:style w:type="paragraph" w:styleId="7">
    <w:name w:val="heading 7"/>
    <w:basedOn w:val="a"/>
    <w:next w:val="a"/>
    <w:link w:val="70"/>
    <w:uiPriority w:val="9"/>
    <w:semiHidden/>
    <w:unhideWhenUsed/>
    <w:qFormat/>
    <w:pPr>
      <w:keepNext/>
      <w:keepLines/>
      <w:spacing w:before="40" w:line="560" w:lineRule="exact"/>
      <w:ind w:firstLineChars="200" w:firstLine="200"/>
      <w:outlineLvl w:val="6"/>
    </w:pPr>
    <w:rPr>
      <w:rFonts w:cstheme="majorBidi"/>
      <w:b/>
      <w:bCs/>
      <w:color w:val="595959" w:themeColor="text1" w:themeTint="A6"/>
      <w:sz w:val="32"/>
    </w:rPr>
  </w:style>
  <w:style w:type="paragraph" w:styleId="8">
    <w:name w:val="heading 8"/>
    <w:basedOn w:val="a"/>
    <w:next w:val="a"/>
    <w:link w:val="80"/>
    <w:uiPriority w:val="9"/>
    <w:semiHidden/>
    <w:unhideWhenUsed/>
    <w:qFormat/>
    <w:pPr>
      <w:keepNext/>
      <w:keepLines/>
      <w:spacing w:line="560" w:lineRule="exact"/>
      <w:ind w:firstLineChars="200" w:firstLine="200"/>
      <w:outlineLvl w:val="7"/>
    </w:pPr>
    <w:rPr>
      <w:rFonts w:cstheme="majorBidi"/>
      <w:color w:val="595959" w:themeColor="text1" w:themeTint="A6"/>
      <w:sz w:val="32"/>
    </w:rPr>
  </w:style>
  <w:style w:type="paragraph" w:styleId="9">
    <w:name w:val="heading 9"/>
    <w:basedOn w:val="a"/>
    <w:next w:val="a"/>
    <w:link w:val="90"/>
    <w:uiPriority w:val="9"/>
    <w:semiHidden/>
    <w:unhideWhenUsed/>
    <w:qFormat/>
    <w:pPr>
      <w:keepNext/>
      <w:keepLines/>
      <w:spacing w:line="560" w:lineRule="exact"/>
      <w:ind w:firstLineChars="200" w:firstLine="200"/>
      <w:outlineLvl w:val="8"/>
    </w:pPr>
    <w:rPr>
      <w:rFonts w:eastAsiaTheme="majorEastAsia" w:cstheme="majorBidi"/>
      <w:color w:val="595959" w:themeColor="text1" w:themeTint="A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ind w:firstLineChars="200" w:firstLine="200"/>
      <w:jc w:val="left"/>
    </w:pPr>
    <w:rPr>
      <w:rFonts w:ascii="Times New Roman" w:eastAsia="仿宋_GB2312" w:hAnsi="Times New Roman" w:cs="Times New Roman"/>
      <w:sz w:val="18"/>
      <w:szCs w:val="18"/>
    </w:rPr>
  </w:style>
  <w:style w:type="paragraph" w:styleId="a5">
    <w:name w:val="header"/>
    <w:basedOn w:val="a"/>
    <w:link w:val="a6"/>
    <w:uiPriority w:val="99"/>
    <w:unhideWhenUsed/>
    <w:pPr>
      <w:tabs>
        <w:tab w:val="center" w:pos="4153"/>
        <w:tab w:val="right" w:pos="8306"/>
      </w:tabs>
      <w:snapToGrid w:val="0"/>
      <w:spacing w:line="240" w:lineRule="atLeast"/>
      <w:ind w:firstLineChars="200" w:firstLine="200"/>
      <w:jc w:val="center"/>
    </w:pPr>
    <w:rPr>
      <w:rFonts w:ascii="Times New Roman" w:eastAsia="仿宋_GB2312" w:hAnsi="Times New Roman" w:cs="Times New Roman"/>
      <w:sz w:val="18"/>
      <w:szCs w:val="18"/>
    </w:rPr>
  </w:style>
  <w:style w:type="paragraph" w:styleId="a7">
    <w:name w:val="Subtitle"/>
    <w:basedOn w:val="a"/>
    <w:next w:val="a"/>
    <w:link w:val="a8"/>
    <w:uiPriority w:val="11"/>
    <w:qFormat/>
    <w:pPr>
      <w:spacing w:after="160" w:line="560" w:lineRule="exact"/>
      <w:ind w:firstLineChars="200" w:firstLine="20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ind w:firstLineChars="200" w:firstLine="20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eastAsia="黑体"/>
      <w:bCs/>
      <w:kern w:val="44"/>
      <w:szCs w:val="44"/>
    </w:rPr>
  </w:style>
  <w:style w:type="character" w:customStyle="1" w:styleId="20">
    <w:name w:val="标题 2 字符"/>
    <w:basedOn w:val="a0"/>
    <w:link w:val="2"/>
    <w:uiPriority w:val="9"/>
    <w:rPr>
      <w:rFonts w:eastAsia="楷体_GB2312" w:cstheme="majorBidi"/>
      <w:bCs/>
      <w:szCs w:val="32"/>
    </w:rPr>
  </w:style>
  <w:style w:type="character" w:customStyle="1" w:styleId="30">
    <w:name w:val="标题 3 字符"/>
    <w:basedOn w:val="a0"/>
    <w:link w:val="3"/>
    <w:uiPriority w:val="9"/>
    <w:semiHidden/>
    <w:qFormat/>
    <w:rPr>
      <w:rFonts w:cstheme="majorBidi"/>
      <w:b/>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F5496" w:themeColor="accent1" w:themeShade="BF"/>
      <w:szCs w:val="24"/>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szCs w:val="24"/>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szCs w:val="24"/>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szCs w:val="24"/>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line="560" w:lineRule="exact"/>
      <w:ind w:firstLineChars="200" w:firstLine="200"/>
      <w:jc w:val="center"/>
    </w:pPr>
    <w:rPr>
      <w:rFonts w:ascii="Times New Roman" w:eastAsia="仿宋_GB2312" w:hAnsi="Times New Roman" w:cs="Times New Roman"/>
      <w:i/>
      <w:iCs/>
      <w:color w:val="404040" w:themeColor="text1" w:themeTint="BF"/>
      <w:sz w:val="32"/>
    </w:rPr>
  </w:style>
  <w:style w:type="character" w:customStyle="1" w:styleId="ac">
    <w:name w:val="引用 字符"/>
    <w:basedOn w:val="a0"/>
    <w:link w:val="ab"/>
    <w:uiPriority w:val="29"/>
    <w:rPr>
      <w:rFonts w:cs="Times New Roman"/>
      <w:i/>
      <w:iCs/>
      <w:color w:val="404040" w:themeColor="text1" w:themeTint="BF"/>
      <w:szCs w:val="24"/>
    </w:rPr>
  </w:style>
  <w:style w:type="paragraph" w:styleId="ad">
    <w:name w:val="List Paragraph"/>
    <w:basedOn w:val="a"/>
    <w:uiPriority w:val="34"/>
    <w:qFormat/>
    <w:pPr>
      <w:spacing w:line="560" w:lineRule="exact"/>
      <w:ind w:left="720" w:firstLineChars="200" w:firstLine="200"/>
      <w:contextualSpacing/>
    </w:pPr>
    <w:rPr>
      <w:rFonts w:ascii="Times New Roman" w:eastAsia="仿宋_GB2312" w:hAnsi="Times New Roman" w:cs="Times New Roman"/>
      <w:sz w:val="32"/>
    </w:r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line="560" w:lineRule="exact"/>
      <w:ind w:left="864" w:right="864" w:firstLineChars="200" w:firstLine="200"/>
      <w:jc w:val="center"/>
    </w:pPr>
    <w:rPr>
      <w:rFonts w:ascii="Times New Roman" w:eastAsia="仿宋_GB2312" w:hAnsi="Times New Roman" w:cs="Times New Roman"/>
      <w:i/>
      <w:iCs/>
      <w:color w:val="2F5496" w:themeColor="accent1" w:themeShade="BF"/>
      <w:sz w:val="32"/>
    </w:rPr>
  </w:style>
  <w:style w:type="character" w:customStyle="1" w:styleId="af">
    <w:name w:val="明显引用 字符"/>
    <w:basedOn w:val="a0"/>
    <w:link w:val="ae"/>
    <w:uiPriority w:val="30"/>
    <w:qFormat/>
    <w:rPr>
      <w:rFonts w:cs="Times New Roman"/>
      <w:i/>
      <w:iCs/>
      <w:color w:val="2F5496" w:themeColor="accent1" w:themeShade="BF"/>
      <w:szCs w:val="24"/>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rFonts w:cs="Times New Roman"/>
      <w:sz w:val="18"/>
      <w:szCs w:val="18"/>
    </w:rPr>
  </w:style>
  <w:style w:type="character" w:customStyle="1" w:styleId="a4">
    <w:name w:val="页脚 字符"/>
    <w:basedOn w:val="a0"/>
    <w:link w:val="a3"/>
    <w:uiPriority w:val="99"/>
    <w:qFormat/>
    <w:rPr>
      <w:rFonts w:cs="Times New Roman"/>
      <w:sz w:val="18"/>
      <w:szCs w:val="18"/>
    </w:rPr>
  </w:style>
  <w:style w:type="paragraph" w:styleId="af0">
    <w:name w:val="Revision"/>
    <w:hidden/>
    <w:uiPriority w:val="99"/>
    <w:unhideWhenUsed/>
    <w:rsid w:val="00666879"/>
    <w:rPr>
      <w:rFonts w:asciiTheme="minorHAnsi" w:eastAsiaTheme="minorEastAsia"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dong</dc:creator>
  <cp:lastModifiedBy>jie dong</cp:lastModifiedBy>
  <cp:revision>5</cp:revision>
  <dcterms:created xsi:type="dcterms:W3CDTF">2026-02-10T04:17:00Z</dcterms:created>
  <dcterms:modified xsi:type="dcterms:W3CDTF">2026-02-10T05:46:00Z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eyJoZGlkIjoiOWRkZWMyMDliNTk4YzdiNGVmODRjNjBkOWYwM2ZhZGUiLCJ1c2VySWQiOiIzMDg2MzI3NjkifQ==</vt:lpwstr>
  </property>
  <property fmtid="{D5CDD505-2E9C-101B-9397-08002B2CF9AE}" pid="3" name="KSOProductBuildVer">
    <vt:lpwstr>2052-12.1.0.25225</vt:lpwstr>
  </property>
  <property fmtid="{D5CDD505-2E9C-101B-9397-08002B2CF9AE}" pid="4" name="ICV">
    <vt:lpwstr>3C8153845209491BAA470CD3A918369E_13</vt:lpwstr>
  </property>
</Properties>
</file>