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spacing w:line="560" w:lineRule="exact"/>
        <w:jc w:val="both"/>
        <w:rPr>
          <w:rFonts w:hint="eastAsia" w:ascii="黑体" w:hAnsi="黑体" w:eastAsia="黑体" w:cs="黑体"/>
          <w:w w:val="98"/>
          <w:sz w:val="32"/>
          <w:szCs w:val="32"/>
          <w:lang w:val="en-US" w:eastAsia="zh-CN"/>
        </w:rPr>
      </w:pPr>
      <w:r>
        <w:rPr>
          <w:rFonts w:hint="eastAsia" w:ascii="黑体" w:hAnsi="黑体" w:eastAsia="黑体" w:cs="黑体"/>
          <w:w w:val="98"/>
          <w:sz w:val="32"/>
          <w:szCs w:val="32"/>
          <w:lang w:val="en-US" w:eastAsia="zh-CN"/>
        </w:rPr>
        <w:t>附件3：</w:t>
      </w:r>
    </w:p>
    <w:p>
      <w:pPr>
        <w:pStyle w:val="2"/>
        <w:rPr>
          <w:rFonts w:hint="eastAsia"/>
          <w:lang w:val="en-US" w:eastAsia="zh-CN"/>
        </w:rPr>
      </w:pPr>
    </w:p>
    <w:p>
      <w:pPr>
        <w:widowControl/>
        <w:overflowPunct w:val="0"/>
        <w:spacing w:line="560" w:lineRule="exact"/>
        <w:jc w:val="center"/>
        <w:rPr>
          <w:rFonts w:ascii="Times New Roman Regular" w:hAnsi="Times New Roman Regular" w:eastAsia="方正小标宋简体" w:cs="Times New Roman"/>
          <w:w w:val="98"/>
          <w:sz w:val="44"/>
          <w:szCs w:val="44"/>
        </w:rPr>
      </w:pPr>
      <w:r>
        <w:rPr>
          <w:rFonts w:ascii="Times New Roman Regular" w:hAnsi="Times New Roman Regular" w:eastAsia="方正小标宋简体" w:cs="Times New Roman"/>
          <w:w w:val="98"/>
          <w:sz w:val="44"/>
          <w:szCs w:val="44"/>
        </w:rPr>
        <w:t>关于《昌平区关于推动商务经济领域高质量发展的若干措施（征求意见稿）》的起草说明</w:t>
      </w:r>
    </w:p>
    <w:p>
      <w:pPr>
        <w:widowControl/>
        <w:overflowPunct w:val="0"/>
        <w:spacing w:line="560" w:lineRule="exact"/>
        <w:rPr>
          <w:rFonts w:ascii="Times New Roman Regular" w:hAnsi="Times New Roman Regular" w:eastAsia="仿宋_GB2312" w:cs="Times New Roman Regular"/>
          <w:sz w:val="32"/>
          <w:szCs w:val="32"/>
        </w:rPr>
      </w:pPr>
    </w:p>
    <w:p>
      <w:pPr>
        <w:widowControl/>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一、起草背景</w:t>
      </w:r>
    </w:p>
    <w:p>
      <w:pPr>
        <w:widowControl/>
        <w:overflowPunct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为全面贯彻党的二十大和二十届</w:t>
      </w:r>
      <w:r>
        <w:rPr>
          <w:rFonts w:hint="eastAsia" w:ascii="Times New Roman Regular" w:hAnsi="Times New Roman Regular" w:eastAsia="仿宋_GB2312" w:cs="Times New Roman Regular"/>
          <w:sz w:val="32"/>
          <w:szCs w:val="32"/>
          <w:lang w:eastAsia="zh-CN"/>
        </w:rPr>
        <w:t>历次</w:t>
      </w:r>
      <w:r>
        <w:rPr>
          <w:rFonts w:ascii="Times New Roman Regular" w:hAnsi="Times New Roman Regular" w:eastAsia="仿宋_GB2312" w:cs="Times New Roman Regular"/>
          <w:sz w:val="32"/>
          <w:szCs w:val="32"/>
        </w:rPr>
        <w:t>全会精神，深入贯彻新发展理念，积极融入新发展格局，紧抓北京市国际消费中心城市建设、“两区”建设等重大机遇，进一步推动昌平区商务经济领域高质量发展，打造最年轻的平原新城、最具活力的未来之城，依据北京市《促进首店首发经济高质量发展若干措施》《北京市推动总部企业高质量发展的若干措施》、《北京市外经贸发展资金管理实施细则》及《关于促进本市会展业高质量发展的若干措施》等政策文件，结合昌平区实际，昌平区商务局牵头起草了《昌平区关于推动商务经济领域高质量发展的若干措施（征求意见稿）》（以下简称《若干措施》）。</w:t>
      </w:r>
    </w:p>
    <w:p>
      <w:pPr>
        <w:widowControl/>
        <w:numPr>
          <w:ilvl w:val="0"/>
          <w:numId w:val="1"/>
        </w:num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文件起草过程</w:t>
      </w:r>
    </w:p>
    <w:p>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若干措施》制定过程中，为确保政策内容切合昌平区商务领域重点工作及企业发展实际，多次组织专题会议研讨政策编制的框架设计、支持方向及支持重点，广泛听取各方意见建议。同时，围绕促消费、外向型经济及会展业等关键领域，系统梳理了近三年国家、北京市及其他城市商务经济领域相关政策</w:t>
      </w:r>
      <w:r>
        <w:rPr>
          <w:rFonts w:hint="eastAsia" w:ascii="仿宋_GB2312" w:hAnsi="仿宋_GB2312" w:eastAsia="仿宋_GB2312" w:cs="仿宋_GB2312"/>
          <w:sz w:val="32"/>
          <w:szCs w:val="32"/>
        </w:rPr>
        <w:t>100</w:t>
      </w:r>
      <w:r>
        <w:rPr>
          <w:rFonts w:ascii="Times New Roman Regular" w:hAnsi="Times New Roman Regular" w:eastAsia="仿宋_GB2312" w:cs="Times New Roman Regular"/>
          <w:sz w:val="32"/>
          <w:szCs w:val="32"/>
        </w:rPr>
        <w:t>余份，在充分吸收借鉴上海等经济发达地区和北京市及相关区已出台的政策经验基础上，经昌平区商务局多次研究讨论与意见征询，不断丰富完善，制定形成了《若干措施》。昌平区商务局分两轮面向区市场监管局、区经济和信息化局、区发展和改革委员会、市规划和自然资源委员会昌平分局等职能部门广泛征求意见建议，就相关</w:t>
      </w:r>
      <w:r>
        <w:rPr>
          <w:rFonts w:hint="eastAsia" w:ascii="Times New Roman Regular" w:hAnsi="Times New Roman Regular" w:eastAsia="仿宋_GB2312" w:cs="Times New Roman Regular"/>
          <w:sz w:val="32"/>
          <w:szCs w:val="32"/>
        </w:rPr>
        <w:t>支持</w:t>
      </w:r>
      <w:r>
        <w:rPr>
          <w:rFonts w:ascii="Times New Roman Regular" w:hAnsi="Times New Roman Regular" w:eastAsia="仿宋_GB2312" w:cs="Times New Roman Regular"/>
          <w:sz w:val="32"/>
          <w:szCs w:val="32"/>
        </w:rPr>
        <w:t>措施组织深入研讨、充分论证，对各部门提出的意见建议逐一沟通对接、认真梳理研究并予以吸收采纳。经过多轮修改，形成了《若干措施》。</w:t>
      </w:r>
    </w:p>
    <w:p>
      <w:pPr>
        <w:widowControl/>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三、文件主要内容</w:t>
      </w:r>
    </w:p>
    <w:p>
      <w:pPr>
        <w:widowControl/>
        <w:spacing w:line="560" w:lineRule="exact"/>
        <w:ind w:firstLine="641"/>
        <w:textAlignment w:val="baseline"/>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《若干措施》</w:t>
      </w:r>
      <w:r>
        <w:rPr>
          <w:rFonts w:ascii="Times New Roman Regular" w:hAnsi="Times New Roman Regular" w:eastAsia="仿宋_GB2312" w:cs="Times New Roman Regular"/>
          <w:color w:val="000000"/>
          <w:kern w:val="0"/>
          <w:sz w:val="32"/>
          <w:szCs w:val="32"/>
        </w:rPr>
        <w:t>包括支持措施、附则两大部分，内容如下</w:t>
      </w:r>
      <w:r>
        <w:rPr>
          <w:rFonts w:ascii="Times New Roman Regular" w:hAnsi="Times New Roman Regular" w:eastAsia="仿宋_GB2312" w:cs="Times New Roman Regular"/>
          <w:sz w:val="32"/>
          <w:szCs w:val="32"/>
        </w:rPr>
        <w:t>：</w:t>
      </w:r>
    </w:p>
    <w:p>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支持措施涵盖</w:t>
      </w:r>
      <w:r>
        <w:rPr>
          <w:rFonts w:hint="eastAsia" w:ascii="仿宋_GB2312" w:hAnsi="仿宋_GB2312" w:eastAsia="仿宋_GB2312" w:cs="仿宋_GB2312"/>
          <w:sz w:val="32"/>
          <w:szCs w:val="32"/>
        </w:rPr>
        <w:t>4大领域，20个支</w:t>
      </w:r>
      <w:r>
        <w:rPr>
          <w:rFonts w:ascii="Times New Roman Regular" w:hAnsi="Times New Roman Regular" w:eastAsia="仿宋_GB2312" w:cs="Times New Roman Regular"/>
          <w:sz w:val="32"/>
          <w:szCs w:val="32"/>
        </w:rPr>
        <w:t>持类别。</w:t>
      </w:r>
      <w:r>
        <w:rPr>
          <w:rFonts w:ascii="Times New Roman Regular" w:hAnsi="Times New Roman Regular" w:eastAsia="仿宋_GB2312" w:cs="Times New Roman Regular"/>
          <w:b/>
          <w:bCs/>
          <w:sz w:val="32"/>
          <w:szCs w:val="32"/>
        </w:rPr>
        <w:t>一是支持消费供给品质提升</w:t>
      </w:r>
      <w:r>
        <w:rPr>
          <w:rFonts w:ascii="Times New Roman Regular" w:hAnsi="Times New Roman Regular" w:eastAsia="仿宋_GB2312" w:cs="Times New Roman Regular"/>
          <w:sz w:val="32"/>
          <w:szCs w:val="32"/>
        </w:rPr>
        <w:t>，包括鼓励品牌集聚发展；</w:t>
      </w:r>
      <w:r>
        <w:rPr>
          <w:rFonts w:hint="eastAsia" w:ascii="Times New Roman Regular" w:hAnsi="Times New Roman Regular" w:eastAsia="仿宋_GB2312" w:cs="Times New Roman Regular"/>
          <w:sz w:val="32"/>
          <w:szCs w:val="32"/>
        </w:rPr>
        <w:t>推动商管企业加大首店招商</w:t>
      </w:r>
      <w:r>
        <w:rPr>
          <w:rFonts w:ascii="Times New Roman Regular" w:hAnsi="Times New Roman Regular" w:eastAsia="仿宋_GB2312" w:cs="Times New Roman Regular"/>
          <w:sz w:val="32"/>
          <w:szCs w:val="32"/>
        </w:rPr>
        <w:t>；支持商业综合体、街区改造提质；支持商业空间申报高能级消费地标；打造多元特色消费活动；推动商贸流通体系优化。</w:t>
      </w:r>
      <w:r>
        <w:rPr>
          <w:rFonts w:ascii="Times New Roman Regular" w:hAnsi="Times New Roman Regular" w:eastAsia="仿宋_GB2312" w:cs="Times New Roman Regular"/>
          <w:b/>
          <w:bCs/>
          <w:sz w:val="32"/>
          <w:szCs w:val="32"/>
        </w:rPr>
        <w:t>二是支持消费主体高质量增长</w:t>
      </w:r>
      <w:r>
        <w:rPr>
          <w:rFonts w:ascii="Times New Roman Regular" w:hAnsi="Times New Roman Regular" w:eastAsia="仿宋_GB2312" w:cs="Times New Roman Regular"/>
          <w:sz w:val="32"/>
          <w:szCs w:val="32"/>
        </w:rPr>
        <w:t>，包括支持租赁和商务服务业、批发业、零售业企业发展；支持电商消费创新发展；提升餐饮服务消费品质。</w:t>
      </w:r>
      <w:r>
        <w:rPr>
          <w:rFonts w:ascii="Times New Roman Regular" w:hAnsi="Times New Roman Regular" w:eastAsia="仿宋_GB2312" w:cs="Times New Roman Regular"/>
          <w:b/>
          <w:bCs/>
          <w:sz w:val="32"/>
          <w:szCs w:val="32"/>
        </w:rPr>
        <w:t>三是构建更高水平开放型经济</w:t>
      </w:r>
      <w:r>
        <w:rPr>
          <w:rFonts w:hint="eastAsia" w:ascii="Times New Roman Regular" w:hAnsi="Times New Roman Regular" w:eastAsia="仿宋_GB2312" w:cs="Times New Roman Regular"/>
          <w:b/>
          <w:bCs/>
          <w:sz w:val="32"/>
          <w:szCs w:val="32"/>
        </w:rPr>
        <w:t>，</w:t>
      </w:r>
      <w:r>
        <w:rPr>
          <w:rFonts w:ascii="Times New Roman Regular" w:hAnsi="Times New Roman Regular" w:eastAsia="仿宋_GB2312" w:cs="Times New Roman Regular"/>
          <w:sz w:val="32"/>
          <w:szCs w:val="32"/>
        </w:rPr>
        <w:t>包括强化高能级消费总部引领；加大重点领域引进外资力度；鼓励企业参与制度型创新；鼓励提高海关信用等级；助力服务贸易高质量发展。</w:t>
      </w:r>
      <w:r>
        <w:rPr>
          <w:rFonts w:ascii="Times New Roman Regular" w:hAnsi="Times New Roman Regular" w:eastAsia="仿宋_GB2312" w:cs="Times New Roman Regular"/>
          <w:b/>
          <w:bCs/>
          <w:sz w:val="32"/>
          <w:szCs w:val="32"/>
        </w:rPr>
        <w:t>四是支持会展业发展</w:t>
      </w:r>
      <w:r>
        <w:rPr>
          <w:rFonts w:hint="eastAsia" w:ascii="Times New Roman Regular" w:hAnsi="Times New Roman Regular" w:eastAsia="仿宋_GB2312" w:cs="Times New Roman Regular"/>
          <w:b/>
          <w:bCs/>
          <w:sz w:val="32"/>
          <w:szCs w:val="32"/>
        </w:rPr>
        <w:t>，</w:t>
      </w:r>
      <w:r>
        <w:rPr>
          <w:rFonts w:ascii="Times New Roman Regular" w:hAnsi="Times New Roman Regular" w:eastAsia="仿宋_GB2312" w:cs="Times New Roman Regular"/>
          <w:sz w:val="32"/>
          <w:szCs w:val="32"/>
        </w:rPr>
        <w:t>包括支持重大展会在昌平落地；支持会展场馆升级；支持国际商协会集聚发展；鼓励企业出海参展。</w:t>
      </w:r>
    </w:p>
    <w:p>
      <w:pPr>
        <w:widowControl/>
        <w:spacing w:line="560" w:lineRule="exact"/>
        <w:ind w:firstLine="641"/>
        <w:textAlignment w:val="baseline"/>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附则涵盖</w:t>
      </w:r>
      <w:r>
        <w:rPr>
          <w:rFonts w:hint="eastAsia" w:ascii="仿宋_GB2312" w:hAnsi="仿宋_GB2312" w:eastAsia="仿宋_GB2312" w:cs="仿宋_GB2312"/>
          <w:sz w:val="32"/>
          <w:szCs w:val="32"/>
        </w:rPr>
        <w:t>5个条</w:t>
      </w:r>
      <w:r>
        <w:rPr>
          <w:rFonts w:ascii="Times New Roman Regular" w:hAnsi="Times New Roman Regular" w:eastAsia="仿宋_GB2312" w:cs="Times New Roman Regular"/>
          <w:sz w:val="32"/>
          <w:szCs w:val="32"/>
        </w:rPr>
        <w:t>款，明确申报</w:t>
      </w:r>
      <w:r>
        <w:rPr>
          <w:rFonts w:hint="eastAsia" w:ascii="Times New Roman Regular" w:hAnsi="Times New Roman Regular" w:eastAsia="仿宋_GB2312" w:cs="Times New Roman Regular"/>
          <w:sz w:val="32"/>
          <w:szCs w:val="32"/>
        </w:rPr>
        <w:t>适用</w:t>
      </w:r>
      <w:r>
        <w:rPr>
          <w:rFonts w:ascii="Times New Roman Regular" w:hAnsi="Times New Roman Regular" w:eastAsia="仿宋_GB2312" w:cs="Times New Roman Regular"/>
          <w:sz w:val="32"/>
          <w:szCs w:val="32"/>
        </w:rPr>
        <w:t>主体、政策实施期限及解释单位、资金补助计算标准、同类政策享受方式、相关政策废止等。</w:t>
      </w:r>
      <w:bookmarkStart w:id="0" w:name="_GoBack"/>
      <w:bookmarkEnd w:id="0"/>
    </w:p>
    <w:p>
      <w:pPr>
        <w:spacing w:line="560" w:lineRule="atLeast"/>
        <w:rPr>
          <w:rFonts w:ascii="Times New Roman Regular" w:hAnsi="Times New Roman Regular" w:cs="Times New Roman Regul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0000000000000000000"/>
    <w:charset w:val="00"/>
    <w:family w:val="auto"/>
    <w:pitch w:val="default"/>
    <w:sig w:usb0="00000000" w:usb1="00000000" w:usb2="0A246029" w:usb3="0400200C" w:csb0="600001FF" w:csb1="DFFF0000"/>
  </w:font>
  <w:font w:name="方正书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97D5"/>
    <w:multiLevelType w:val="singleLevel"/>
    <w:tmpl w:val="EEFF97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F0C0A"/>
    <w:rsid w:val="004541CB"/>
    <w:rsid w:val="00A1077A"/>
    <w:rsid w:val="00B53621"/>
    <w:rsid w:val="00BF2F7E"/>
    <w:rsid w:val="00F00187"/>
    <w:rsid w:val="11623D63"/>
    <w:rsid w:val="16307491"/>
    <w:rsid w:val="21AF0C0A"/>
    <w:rsid w:val="3FDF3F4E"/>
    <w:rsid w:val="5DFF3627"/>
    <w:rsid w:val="7BFF1EA7"/>
    <w:rsid w:val="7DBB53D6"/>
    <w:rsid w:val="7EFFF0BC"/>
    <w:rsid w:val="875F9423"/>
    <w:rsid w:val="ABBF97AC"/>
    <w:rsid w:val="DDE74E2D"/>
    <w:rsid w:val="DF776813"/>
    <w:rsid w:val="DFF58898"/>
    <w:rsid w:val="EBFABB22"/>
    <w:rsid w:val="F3AD0FDE"/>
    <w:rsid w:val="FE775DE1"/>
    <w:rsid w:val="FF7FD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ejaVu Sans" w:hAnsi="DejaVu Sans" w:eastAsia="方正书宋_GBK" w:cs="仿宋_GB2312"/>
      <w:kern w:val="2"/>
      <w:sz w:val="21"/>
      <w:szCs w:val="22"/>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5"/>
    <w:basedOn w:val="1"/>
    <w:next w:val="1"/>
    <w:semiHidden/>
    <w:unhideWhenUsed/>
    <w:qFormat/>
    <w:uiPriority w:val="0"/>
    <w:pPr>
      <w:keepNext/>
      <w:keepLines/>
      <w:spacing w:before="280" w:after="290" w:line="372" w:lineRule="auto"/>
      <w:outlineLvl w:val="4"/>
    </w:pPr>
    <w:rPr>
      <w:b/>
      <w:sz w:val="28"/>
    </w:rPr>
  </w:style>
  <w:style w:type="paragraph" w:styleId="5">
    <w:name w:val="heading 6"/>
    <w:basedOn w:val="1"/>
    <w:next w:val="1"/>
    <w:unhideWhenUsed/>
    <w:qFormat/>
    <w:uiPriority w:val="0"/>
    <w:pPr>
      <w:keepNext/>
      <w:keepLines/>
      <w:spacing w:line="317" w:lineRule="auto"/>
      <w:outlineLvl w:val="5"/>
    </w:pPr>
    <w:rPr>
      <w:rFonts w:ascii="Arial" w:hAnsi="Arial" w:eastAsia="黑体"/>
      <w:b/>
      <w:bCs/>
      <w:sz w:val="24"/>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6">
    <w:name w:val="Block Text"/>
    <w:basedOn w:val="1"/>
    <w:unhideWhenUsed/>
    <w:qFormat/>
    <w:uiPriority w:val="99"/>
    <w:pPr>
      <w:spacing w:after="120"/>
      <w:ind w:left="1440" w:leftChars="700" w:right="1440" w:rightChars="700"/>
    </w:pPr>
  </w:style>
  <w:style w:type="paragraph" w:styleId="7">
    <w:name w:val="Plain Text"/>
    <w:basedOn w:val="1"/>
    <w:next w:val="1"/>
    <w:unhideWhenUsed/>
    <w:qFormat/>
    <w:uiPriority w:val="99"/>
    <w:rPr>
      <w:rFonts w:ascii="宋体" w:hAnsi="Courier New"/>
      <w:szCs w:val="21"/>
    </w:rPr>
  </w:style>
  <w:style w:type="paragraph" w:styleId="8">
    <w:name w:val="footer"/>
    <w:basedOn w:val="1"/>
    <w:link w:val="13"/>
    <w:uiPriority w:val="0"/>
    <w:pPr>
      <w:tabs>
        <w:tab w:val="center" w:pos="4153"/>
        <w:tab w:val="right" w:pos="8306"/>
      </w:tabs>
      <w:snapToGrid w:val="0"/>
      <w:jc w:val="left"/>
    </w:pPr>
    <w:rPr>
      <w:sz w:val="18"/>
      <w:szCs w:val="18"/>
    </w:rPr>
  </w:style>
  <w:style w:type="paragraph" w:styleId="9">
    <w:name w:val="header"/>
    <w:basedOn w:val="1"/>
    <w:link w:val="12"/>
    <w:uiPriority w:val="0"/>
    <w:pPr>
      <w:tabs>
        <w:tab w:val="center" w:pos="4153"/>
        <w:tab w:val="right" w:pos="8306"/>
      </w:tabs>
      <w:snapToGrid w:val="0"/>
      <w:jc w:val="center"/>
    </w:pPr>
    <w:rPr>
      <w:sz w:val="18"/>
      <w:szCs w:val="18"/>
    </w:rPr>
  </w:style>
  <w:style w:type="character" w:customStyle="1" w:styleId="12">
    <w:name w:val="页眉 字符"/>
    <w:basedOn w:val="11"/>
    <w:link w:val="9"/>
    <w:uiPriority w:val="0"/>
    <w:rPr>
      <w:rFonts w:ascii="DejaVu Sans" w:hAnsi="DejaVu Sans" w:eastAsia="方正书宋_GBK" w:cs="仿宋_GB2312"/>
      <w:kern w:val="2"/>
      <w:sz w:val="18"/>
      <w:szCs w:val="18"/>
    </w:rPr>
  </w:style>
  <w:style w:type="character" w:customStyle="1" w:styleId="13">
    <w:name w:val="页脚 字符"/>
    <w:basedOn w:val="11"/>
    <w:link w:val="8"/>
    <w:uiPriority w:val="0"/>
    <w:rPr>
      <w:rFonts w:ascii="DejaVu Sans" w:hAnsi="DejaVu Sans" w:eastAsia="方正书宋_GBK"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532</Words>
  <Characters>539</Characters>
  <Lines>24</Lines>
  <Paragraphs>12</Paragraphs>
  <TotalTime>17</TotalTime>
  <ScaleCrop>false</ScaleCrop>
  <LinksUpToDate>false</LinksUpToDate>
  <CharactersWithSpaces>1059</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2025-12-24T21:26:00Z</dcterms:created>
  <dc:creator>Administrator</dc:creator>
  <cp:lastModifiedBy>1</cp:lastModifiedBy>
  <dcterms:modified xsi:type="dcterms:W3CDTF">2026-02-01T08:47:01Z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2052-12.8.2.16984</vt:lpwstr>
  </property>
  <property fmtid="{D5CDD505-2E9C-101B-9397-08002B2CF9AE}" pid="3" name="ICV">
    <vt:lpwstr>BF03586131182C2ACED17469FF1E4C90_42</vt:lpwstr>
  </property>
</Properties>
</file>