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eastAsia="方正小标宋简体"/>
          <w:bCs/>
          <w:color w:val="000000"/>
          <w:kern w:val="0"/>
          <w:sz w:val="44"/>
          <w:szCs w:val="44"/>
          <w:lang w:bidi="ar"/>
        </w:rPr>
      </w:pPr>
      <w:bookmarkStart w:id="0" w:name="_Hlk209735611"/>
      <w:r>
        <w:rPr>
          <w:rFonts w:hint="eastAsia" w:eastAsia="方正小标宋简体"/>
          <w:bCs/>
          <w:color w:val="000000"/>
          <w:kern w:val="0"/>
          <w:sz w:val="44"/>
          <w:szCs w:val="44"/>
          <w:lang w:bidi="ar"/>
        </w:rPr>
        <w:t>昌平</w:t>
      </w:r>
      <w:r>
        <w:rPr>
          <w:rFonts w:eastAsia="方正小标宋简体"/>
          <w:bCs/>
          <w:color w:val="000000"/>
          <w:kern w:val="0"/>
          <w:sz w:val="44"/>
          <w:szCs w:val="44"/>
          <w:lang w:bidi="ar"/>
        </w:rPr>
        <w:t>区</w:t>
      </w:r>
      <w:r>
        <w:rPr>
          <w:rFonts w:hint="eastAsia" w:eastAsia="方正小标宋简体"/>
          <w:bCs/>
          <w:color w:val="000000"/>
          <w:kern w:val="0"/>
          <w:sz w:val="44"/>
          <w:szCs w:val="44"/>
          <w:lang w:bidi="ar"/>
        </w:rPr>
        <w:t>关于</w:t>
      </w:r>
      <w:r>
        <w:rPr>
          <w:rFonts w:ascii="方正小标宋简体" w:hAnsi="方正小标宋简体" w:eastAsia="方正小标宋简体" w:cs="方正小标宋简体"/>
          <w:bCs/>
          <w:color w:val="000000"/>
          <w:kern w:val="0"/>
          <w:sz w:val="44"/>
          <w:szCs w:val="44"/>
          <w:lang w:bidi="ar"/>
        </w:rPr>
        <w:t>推动</w:t>
      </w:r>
      <w:r>
        <w:rPr>
          <w:rFonts w:hint="eastAsia" w:eastAsia="方正小标宋简体"/>
          <w:bCs/>
          <w:color w:val="000000"/>
          <w:kern w:val="0"/>
          <w:sz w:val="44"/>
          <w:szCs w:val="44"/>
          <w:lang w:bidi="ar"/>
        </w:rPr>
        <w:t>商务经济领域高质量发展</w:t>
      </w:r>
      <w:r>
        <w:rPr>
          <w:rFonts w:eastAsia="方正小标宋简体"/>
          <w:bCs/>
          <w:color w:val="000000"/>
          <w:kern w:val="0"/>
          <w:sz w:val="44"/>
          <w:szCs w:val="44"/>
          <w:lang w:bidi="ar"/>
        </w:rPr>
        <w:t>的</w:t>
      </w:r>
    </w:p>
    <w:p>
      <w:pPr>
        <w:spacing w:after="0" w:line="560" w:lineRule="exact"/>
        <w:jc w:val="center"/>
        <w:rPr>
          <w:rFonts w:eastAsia="方正小标宋简体"/>
          <w:bCs/>
          <w:color w:val="000000"/>
          <w:kern w:val="0"/>
          <w:sz w:val="44"/>
          <w:szCs w:val="44"/>
          <w:lang w:bidi="ar"/>
        </w:rPr>
      </w:pPr>
      <w:r>
        <w:rPr>
          <w:rFonts w:eastAsia="方正小标宋简体"/>
          <w:bCs/>
          <w:color w:val="000000"/>
          <w:kern w:val="0"/>
          <w:sz w:val="44"/>
          <w:szCs w:val="44"/>
          <w:lang w:bidi="ar"/>
        </w:rPr>
        <w:t>若干措施</w:t>
      </w:r>
    </w:p>
    <w:bookmarkEnd w:id="0"/>
    <w:p>
      <w:pPr>
        <w:widowControl/>
        <w:spacing w:after="0" w:line="560" w:lineRule="exact"/>
        <w:jc w:val="center"/>
        <w:rPr>
          <w:rFonts w:eastAsia="楷体_GB2312"/>
          <w:color w:val="000000" w:themeColor="text1"/>
          <w:sz w:val="32"/>
          <w:szCs w:val="32"/>
          <w14:textFill>
            <w14:solidFill>
              <w14:schemeClr w14:val="tx1"/>
            </w14:solidFill>
          </w14:textFill>
        </w:rPr>
      </w:pPr>
      <w:bookmarkStart w:id="1" w:name="_Toc28892_WPSOffice_Level1"/>
      <w:r>
        <w:rPr>
          <w:rFonts w:eastAsia="楷体_GB2312"/>
          <w:color w:val="000000" w:themeColor="text1"/>
          <w:sz w:val="32"/>
          <w:szCs w:val="32"/>
          <w14:textFill>
            <w14:solidFill>
              <w14:schemeClr w14:val="tx1"/>
            </w14:solidFill>
          </w14:textFill>
        </w:rPr>
        <w:t>（</w:t>
      </w:r>
      <w:r>
        <w:rPr>
          <w:rFonts w:hint="eastAsia" w:eastAsia="楷体_GB2312"/>
          <w:color w:val="000000" w:themeColor="text1"/>
          <w:sz w:val="32"/>
          <w:szCs w:val="32"/>
          <w14:textFill>
            <w14:solidFill>
              <w14:schemeClr w14:val="tx1"/>
            </w14:solidFill>
          </w14:textFill>
        </w:rPr>
        <w:t>征求意见</w:t>
      </w:r>
      <w:r>
        <w:rPr>
          <w:rFonts w:eastAsia="楷体_GB2312"/>
          <w:color w:val="000000" w:themeColor="text1"/>
          <w:sz w:val="32"/>
          <w:szCs w:val="32"/>
          <w14:textFill>
            <w14:solidFill>
              <w14:schemeClr w14:val="tx1"/>
            </w14:solidFill>
          </w14:textFill>
        </w:rPr>
        <w:t>稿）</w:t>
      </w:r>
      <w:bookmarkEnd w:id="1"/>
    </w:p>
    <w:p>
      <w:pPr>
        <w:spacing w:after="0" w:line="560" w:lineRule="exact"/>
        <w:ind w:firstLine="640" w:firstLineChars="200"/>
        <w:rPr>
          <w:rFonts w:eastAsia="仿宋_GB2312"/>
          <w:sz w:val="32"/>
          <w:szCs w:val="32"/>
        </w:rPr>
      </w:pPr>
    </w:p>
    <w:p>
      <w:pPr>
        <w:spacing w:after="0" w:line="560" w:lineRule="exact"/>
        <w:ind w:firstLine="640" w:firstLineChars="200"/>
        <w:rPr>
          <w:rFonts w:eastAsia="仿宋_GB2312"/>
          <w:sz w:val="32"/>
          <w:szCs w:val="32"/>
        </w:rPr>
      </w:pPr>
      <w:r>
        <w:rPr>
          <w:rFonts w:eastAsia="仿宋_GB2312"/>
          <w:sz w:val="32"/>
          <w:szCs w:val="32"/>
        </w:rPr>
        <w:t>为深入贯彻新发展理念，积极融入新发展格局，紧抓北京市国际消费中心城市建设</w:t>
      </w:r>
      <w:r>
        <w:rPr>
          <w:rFonts w:hint="eastAsia" w:eastAsia="仿宋_GB2312"/>
          <w:sz w:val="32"/>
          <w:szCs w:val="32"/>
        </w:rPr>
        <w:t>、“两区”建设</w:t>
      </w:r>
      <w:r>
        <w:rPr>
          <w:rFonts w:eastAsia="仿宋_GB2312"/>
          <w:sz w:val="32"/>
          <w:szCs w:val="32"/>
        </w:rPr>
        <w:t>等重大机遇，进一步推动昌平区商务经济领域高质量发展，打造</w:t>
      </w:r>
      <w:r>
        <w:rPr>
          <w:rFonts w:hint="eastAsia" w:eastAsia="仿宋_GB2312"/>
          <w:b/>
          <w:bCs/>
          <w:sz w:val="32"/>
          <w:szCs w:val="32"/>
        </w:rPr>
        <w:t>最年轻的平原新城、最具活力的未来之城</w:t>
      </w:r>
      <w:r>
        <w:rPr>
          <w:rFonts w:hint="eastAsia" w:eastAsia="仿宋_GB2312"/>
          <w:sz w:val="32"/>
          <w:szCs w:val="32"/>
        </w:rPr>
        <w:t>，</w:t>
      </w:r>
      <w:r>
        <w:rPr>
          <w:rFonts w:eastAsia="仿宋_GB2312"/>
          <w:sz w:val="32"/>
          <w:szCs w:val="32"/>
        </w:rPr>
        <w:t>依据国家及北京市相关政策文件精神，结合昌平区实际情况，特制定本措施。​</w:t>
      </w:r>
    </w:p>
    <w:p>
      <w:pPr>
        <w:spacing w:after="0" w:line="560" w:lineRule="exact"/>
        <w:ind w:firstLine="640" w:firstLineChars="200"/>
        <w:outlineLvl w:val="0"/>
        <w:rPr>
          <w:rFonts w:hint="default" w:ascii="黑体" w:hAnsi="黑体" w:eastAsia="黑体"/>
          <w:sz w:val="32"/>
          <w:szCs w:val="32"/>
          <w:lang w:val="en-US" w:eastAsia="zh-CN"/>
        </w:rPr>
      </w:pPr>
      <w:r>
        <w:rPr>
          <w:rFonts w:hint="eastAsia" w:ascii="黑体" w:hAnsi="黑体" w:eastAsia="黑体"/>
          <w:sz w:val="32"/>
          <w:szCs w:val="32"/>
          <w:lang w:val="en-US" w:eastAsia="zh-CN"/>
        </w:rPr>
        <w:t>一、支持措施</w:t>
      </w:r>
    </w:p>
    <w:p>
      <w:pPr>
        <w:spacing w:after="0"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支持消费供给品质提升</w:t>
      </w:r>
    </w:p>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鼓励品牌集聚发展​</w:t>
      </w:r>
    </w:p>
    <w:p>
      <w:pPr>
        <w:spacing w:after="0" w:line="560" w:lineRule="exact"/>
        <w:ind w:firstLine="640" w:firstLineChars="200"/>
        <w:rPr>
          <w:rFonts w:eastAsia="仿宋_GB2312"/>
          <w:sz w:val="32"/>
          <w:szCs w:val="32"/>
        </w:rPr>
      </w:pPr>
      <w:bookmarkStart w:id="2" w:name="_Hlk216706856"/>
      <w:r>
        <w:rPr>
          <w:rFonts w:hint="eastAsia" w:eastAsia="仿宋_GB2312"/>
          <w:sz w:val="32"/>
          <w:szCs w:val="32"/>
        </w:rPr>
        <w:t>支持高能级</w:t>
      </w:r>
      <w:r>
        <w:rPr>
          <w:rFonts w:eastAsia="仿宋_GB2312"/>
          <w:sz w:val="32"/>
          <w:szCs w:val="32"/>
        </w:rPr>
        <w:t>首店落地</w:t>
      </w:r>
      <w:r>
        <w:rPr>
          <w:rFonts w:hint="eastAsia" w:eastAsia="仿宋_GB2312"/>
          <w:sz w:val="32"/>
          <w:szCs w:val="32"/>
        </w:rPr>
        <w:t>，对亚洲、中国（内地）、北京、昌平首店、旗舰店、创新概念店的运营企业，给予最高不超过100万元人民币</w:t>
      </w:r>
      <w:bookmarkStart w:id="3" w:name="_Hlk212558759"/>
      <w:r>
        <w:rPr>
          <w:rFonts w:hint="eastAsia" w:eastAsia="仿宋_GB2312"/>
          <w:sz w:val="32"/>
          <w:szCs w:val="32"/>
        </w:rPr>
        <w:t>资金</w:t>
      </w:r>
      <w:bookmarkEnd w:id="3"/>
      <w:r>
        <w:rPr>
          <w:rFonts w:hint="eastAsia" w:eastAsia="仿宋_GB2312"/>
          <w:sz w:val="32"/>
          <w:szCs w:val="32"/>
        </w:rPr>
        <w:t>支持</w:t>
      </w:r>
      <w:bookmarkEnd w:id="2"/>
      <w:r>
        <w:rPr>
          <w:rFonts w:hint="eastAsia" w:eastAsia="仿宋_GB2312"/>
          <w:sz w:val="32"/>
          <w:szCs w:val="32"/>
        </w:rPr>
        <w:t>。</w:t>
      </w:r>
    </w:p>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推动商管企业加大首店招商</w:t>
      </w:r>
    </w:p>
    <w:p>
      <w:pPr>
        <w:spacing w:after="0" w:line="560" w:lineRule="exact"/>
        <w:ind w:firstLine="640" w:firstLineChars="200"/>
        <w:rPr>
          <w:rFonts w:eastAsia="仿宋_GB2312"/>
          <w:sz w:val="32"/>
          <w:szCs w:val="32"/>
        </w:rPr>
      </w:pPr>
      <w:bookmarkStart w:id="4" w:name="_Hlk216706867"/>
      <w:bookmarkStart w:id="5" w:name="_Hlk212558885"/>
      <w:r>
        <w:rPr>
          <w:rFonts w:hint="eastAsia" w:eastAsia="仿宋_GB2312"/>
          <w:sz w:val="32"/>
          <w:szCs w:val="32"/>
        </w:rPr>
        <w:t>激发商业空间运营管理企业首店招商活力，根据</w:t>
      </w:r>
      <w:r>
        <w:rPr>
          <w:rFonts w:hint="eastAsia" w:eastAsia="仿宋_GB2312"/>
          <w:sz w:val="32"/>
          <w:szCs w:val="32"/>
          <w:lang w:val="en-US" w:eastAsia="zh-CN"/>
        </w:rPr>
        <w:t>招引</w:t>
      </w:r>
      <w:r>
        <w:rPr>
          <w:rFonts w:hint="eastAsia" w:eastAsia="仿宋_GB2312"/>
          <w:sz w:val="32"/>
          <w:szCs w:val="32"/>
        </w:rPr>
        <w:t>首店能级，给予每年累计最高不超过50万元资金支持</w:t>
      </w:r>
      <w:bookmarkEnd w:id="4"/>
      <w:r>
        <w:rPr>
          <w:rFonts w:hint="eastAsia" w:eastAsia="仿宋_GB2312"/>
          <w:sz w:val="32"/>
          <w:szCs w:val="32"/>
        </w:rPr>
        <w:t>。</w:t>
      </w:r>
    </w:p>
    <w:bookmarkEnd w:id="5"/>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支持商业综合体、街区改造提质</w:t>
      </w:r>
    </w:p>
    <w:p>
      <w:pPr>
        <w:spacing w:after="0" w:line="560" w:lineRule="exact"/>
        <w:ind w:firstLine="640" w:firstLineChars="200"/>
        <w:rPr>
          <w:rFonts w:eastAsia="仿宋_GB2312"/>
          <w:sz w:val="32"/>
          <w:szCs w:val="32"/>
        </w:rPr>
      </w:pPr>
      <w:r>
        <w:rPr>
          <w:rFonts w:eastAsia="仿宋_GB2312"/>
          <w:sz w:val="32"/>
          <w:szCs w:val="32"/>
        </w:rPr>
        <w:t>鼓励商业综合体、商业街区开展硬件设施升级与数字化建设</w:t>
      </w:r>
      <w:r>
        <w:rPr>
          <w:rFonts w:hint="eastAsia" w:eastAsia="仿宋_GB2312"/>
          <w:sz w:val="32"/>
          <w:szCs w:val="32"/>
        </w:rPr>
        <w:t>，构建高品质、智慧型商业新生态。经综合评估，按不超过审定实际投资额的10%给予资金支持，支持分三年按50%、30%、20% 比例拨付，单个项目支持总额最高不超过1000万元。</w:t>
      </w:r>
    </w:p>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支持商业空间申报高能级消费地标</w:t>
      </w:r>
    </w:p>
    <w:p>
      <w:pPr>
        <w:spacing w:after="0" w:line="560" w:lineRule="exact"/>
        <w:ind w:firstLine="640" w:firstLineChars="200"/>
        <w:rPr>
          <w:rFonts w:eastAsia="仿宋_GB2312"/>
          <w:sz w:val="32"/>
          <w:szCs w:val="32"/>
        </w:rPr>
      </w:pPr>
      <w:r>
        <w:rPr>
          <w:rFonts w:hint="eastAsia" w:eastAsia="仿宋_GB2312"/>
          <w:sz w:val="32"/>
          <w:szCs w:val="32"/>
        </w:rPr>
        <w:t>对获得国家或市级部门认定的各类与消费业态紧密关联的消费地标运营主体，给予最高不超过</w:t>
      </w:r>
      <w:r>
        <w:rPr>
          <w:rFonts w:eastAsia="仿宋_GB2312"/>
          <w:sz w:val="32"/>
          <w:szCs w:val="32"/>
        </w:rPr>
        <w:t>1</w:t>
      </w:r>
      <w:r>
        <w:rPr>
          <w:rFonts w:hint="eastAsia" w:eastAsia="仿宋_GB2312"/>
          <w:sz w:val="32"/>
          <w:szCs w:val="32"/>
        </w:rPr>
        <w:t>5万元资金支持。</w:t>
      </w:r>
    </w:p>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 xml:space="preserve">打造多元特色消费活动​ </w:t>
      </w:r>
    </w:p>
    <w:p>
      <w:pPr>
        <w:spacing w:after="0" w:line="560" w:lineRule="exact"/>
        <w:ind w:firstLine="640" w:firstLineChars="200"/>
        <w:rPr>
          <w:rFonts w:eastAsia="仿宋_GB2312"/>
          <w:sz w:val="32"/>
          <w:szCs w:val="32"/>
        </w:rPr>
      </w:pPr>
      <w:bookmarkStart w:id="6" w:name="_Hlk215158967"/>
      <w:r>
        <w:rPr>
          <w:rFonts w:hint="eastAsia" w:eastAsia="仿宋_GB2312"/>
          <w:sz w:val="32"/>
          <w:szCs w:val="32"/>
        </w:rPr>
        <w:t>（</w:t>
      </w:r>
      <w:r>
        <w:rPr>
          <w:rFonts w:hint="eastAsia" w:eastAsia="仿宋_GB2312"/>
          <w:sz w:val="32"/>
          <w:szCs w:val="32"/>
          <w:lang w:val="en-US" w:eastAsia="zh-CN"/>
        </w:rPr>
        <w:t>1</w:t>
      </w:r>
      <w:r>
        <w:rPr>
          <w:rFonts w:hint="eastAsia" w:eastAsia="仿宋_GB2312"/>
          <w:sz w:val="32"/>
          <w:szCs w:val="32"/>
        </w:rPr>
        <w:t>）支持购物中心、百货、</w:t>
      </w:r>
      <w:r>
        <w:rPr>
          <w:rFonts w:eastAsia="仿宋_GB2312"/>
          <w:sz w:val="32"/>
          <w:szCs w:val="32"/>
        </w:rPr>
        <w:t>商业街区举办特色</w:t>
      </w:r>
      <w:r>
        <w:rPr>
          <w:rFonts w:hint="eastAsia" w:eastAsia="仿宋_GB2312"/>
          <w:sz w:val="32"/>
          <w:szCs w:val="32"/>
        </w:rPr>
        <w:t>促</w:t>
      </w:r>
      <w:r>
        <w:rPr>
          <w:rFonts w:eastAsia="仿宋_GB2312"/>
          <w:sz w:val="32"/>
          <w:szCs w:val="32"/>
        </w:rPr>
        <w:t>消费活动，依据活动方案、活动投入、活动效果等综合评定，给予最高不超过</w:t>
      </w:r>
      <w:r>
        <w:rPr>
          <w:rFonts w:hint="eastAsia" w:eastAsia="仿宋_GB2312"/>
          <w:sz w:val="32"/>
          <w:szCs w:val="32"/>
          <w:lang w:val="en-US" w:eastAsia="zh-CN"/>
        </w:rPr>
        <w:t>5</w:t>
      </w:r>
      <w:r>
        <w:rPr>
          <w:rFonts w:eastAsia="仿宋_GB2312"/>
          <w:sz w:val="32"/>
          <w:szCs w:val="32"/>
        </w:rPr>
        <w:t>0万元资金支持。</w:t>
      </w:r>
    </w:p>
    <w:p>
      <w:pPr>
        <w:spacing w:after="0" w:line="560" w:lineRule="exact"/>
        <w:ind w:firstLine="640" w:firstLineChars="200"/>
      </w:pPr>
      <w:r>
        <w:rPr>
          <w:rFonts w:hint="eastAsia" w:eastAsia="仿宋_GB2312"/>
          <w:sz w:val="32"/>
          <w:szCs w:val="32"/>
        </w:rPr>
        <w:t>（</w:t>
      </w:r>
      <w:r>
        <w:rPr>
          <w:rFonts w:hint="eastAsia" w:eastAsia="仿宋_GB2312"/>
          <w:sz w:val="32"/>
          <w:szCs w:val="32"/>
          <w:lang w:val="en-US" w:eastAsia="zh-CN"/>
        </w:rPr>
        <w:t>2</w:t>
      </w:r>
      <w:r>
        <w:rPr>
          <w:rFonts w:hint="eastAsia" w:eastAsia="仿宋_GB2312"/>
          <w:sz w:val="32"/>
          <w:szCs w:val="32"/>
        </w:rPr>
        <w:t>）鼓励时尚机构、时尚品牌等在昌平举办首发、首秀活动，对符合条件的活动主办方，按不超过活动实际投入的20%给予资金支持，最高</w:t>
      </w:r>
      <w:bookmarkStart w:id="7" w:name="_Hlk215163655"/>
      <w:r>
        <w:rPr>
          <w:rFonts w:hint="eastAsia" w:eastAsia="仿宋_GB2312"/>
          <w:sz w:val="32"/>
          <w:szCs w:val="32"/>
        </w:rPr>
        <w:t>不超过</w:t>
      </w:r>
      <w:bookmarkEnd w:id="7"/>
      <w:r>
        <w:rPr>
          <w:rFonts w:hint="eastAsia" w:eastAsia="仿宋_GB2312"/>
          <w:sz w:val="32"/>
          <w:szCs w:val="32"/>
        </w:rPr>
        <w:t>30万元。</w:t>
      </w:r>
      <w:bookmarkEnd w:id="6"/>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6</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推动商贸流通体系优化</w:t>
      </w:r>
    </w:p>
    <w:p>
      <w:pPr>
        <w:spacing w:after="0" w:line="560" w:lineRule="exact"/>
        <w:ind w:firstLine="640" w:firstLineChars="200"/>
        <w:rPr>
          <w:rFonts w:eastAsia="仿宋_GB2312"/>
          <w:sz w:val="32"/>
          <w:szCs w:val="32"/>
        </w:rPr>
      </w:pPr>
      <w:bookmarkStart w:id="8" w:name="_Hlk215831274"/>
      <w:r>
        <w:rPr>
          <w:rFonts w:hint="eastAsia" w:eastAsia="仿宋_GB2312"/>
          <w:sz w:val="32"/>
          <w:szCs w:val="32"/>
        </w:rPr>
        <w:t>（</w:t>
      </w:r>
      <w:r>
        <w:rPr>
          <w:rFonts w:hint="eastAsia" w:eastAsia="仿宋_GB2312"/>
          <w:sz w:val="32"/>
          <w:szCs w:val="32"/>
          <w:lang w:val="en-US" w:eastAsia="zh-CN"/>
        </w:rPr>
        <w:t>1</w:t>
      </w:r>
      <w:r>
        <w:rPr>
          <w:rFonts w:hint="eastAsia" w:eastAsia="仿宋_GB2312"/>
          <w:sz w:val="32"/>
          <w:szCs w:val="32"/>
        </w:rPr>
        <w:t>）</w:t>
      </w:r>
      <w:r>
        <w:rPr>
          <w:rFonts w:eastAsia="仿宋_GB2312"/>
          <w:sz w:val="32"/>
          <w:szCs w:val="32"/>
        </w:rPr>
        <w:t>对新建便利店、“小修小补小配”</w:t>
      </w:r>
      <w:r>
        <w:rPr>
          <w:rFonts w:hint="eastAsia" w:eastAsia="仿宋_GB2312"/>
          <w:sz w:val="32"/>
          <w:szCs w:val="32"/>
        </w:rPr>
        <w:t>等服务</w:t>
      </w:r>
      <w:r>
        <w:rPr>
          <w:rFonts w:eastAsia="仿宋_GB2312"/>
          <w:sz w:val="32"/>
          <w:szCs w:val="32"/>
        </w:rPr>
        <w:t>网点</w:t>
      </w:r>
      <w:r>
        <w:rPr>
          <w:rFonts w:hint="eastAsia" w:eastAsia="仿宋_GB2312"/>
          <w:sz w:val="32"/>
          <w:szCs w:val="32"/>
        </w:rPr>
        <w:t>，</w:t>
      </w:r>
      <w:r>
        <w:rPr>
          <w:rFonts w:eastAsia="仿宋_GB2312"/>
          <w:sz w:val="32"/>
          <w:szCs w:val="32"/>
        </w:rPr>
        <w:t>补齐便民生活圈业态短板的</w:t>
      </w:r>
      <w:r>
        <w:rPr>
          <w:rFonts w:hint="eastAsia" w:eastAsia="仿宋_GB2312"/>
          <w:sz w:val="32"/>
          <w:szCs w:val="32"/>
        </w:rPr>
        <w:t>，</w:t>
      </w:r>
      <w:r>
        <w:rPr>
          <w:rFonts w:eastAsia="仿宋_GB2312"/>
          <w:sz w:val="32"/>
          <w:szCs w:val="32"/>
        </w:rPr>
        <w:t>给予最高</w:t>
      </w:r>
      <w:r>
        <w:rPr>
          <w:rFonts w:hint="eastAsia" w:eastAsia="仿宋_GB2312"/>
          <w:sz w:val="32"/>
          <w:szCs w:val="32"/>
        </w:rPr>
        <w:t>不超过</w:t>
      </w:r>
      <w:r>
        <w:rPr>
          <w:rFonts w:eastAsia="仿宋_GB2312"/>
          <w:sz w:val="32"/>
          <w:szCs w:val="32"/>
        </w:rPr>
        <w:t>20万元资金支持。</w:t>
      </w:r>
      <w:r>
        <w:rPr>
          <w:rFonts w:eastAsia="仿宋_GB2312"/>
          <w:color w:val="000000"/>
          <w:sz w:val="32"/>
          <w:szCs w:val="32"/>
        </w:rPr>
        <w:t>鼓励发展员工制家政企业，</w:t>
      </w:r>
      <w:r>
        <w:rPr>
          <w:rFonts w:hint="eastAsia" w:eastAsia="仿宋_GB2312"/>
          <w:sz w:val="32"/>
          <w:szCs w:val="32"/>
        </w:rPr>
        <w:t>经认定，</w:t>
      </w:r>
      <w:r>
        <w:rPr>
          <w:rFonts w:eastAsia="仿宋_GB2312"/>
          <w:color w:val="000000"/>
          <w:sz w:val="32"/>
          <w:szCs w:val="32"/>
        </w:rPr>
        <w:t>给予最高</w:t>
      </w:r>
      <w:r>
        <w:rPr>
          <w:rFonts w:hint="eastAsia" w:eastAsia="仿宋_GB2312"/>
          <w:sz w:val="32"/>
          <w:szCs w:val="32"/>
        </w:rPr>
        <w:t>不超过</w:t>
      </w:r>
      <w:r>
        <w:rPr>
          <w:rFonts w:eastAsia="仿宋_GB2312"/>
          <w:color w:val="000000"/>
          <w:sz w:val="32"/>
          <w:szCs w:val="32"/>
        </w:rPr>
        <w:t>5万元资金支持。</w:t>
      </w:r>
    </w:p>
    <w:bookmarkEnd w:id="8"/>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2</w:t>
      </w:r>
      <w:r>
        <w:rPr>
          <w:rFonts w:hint="eastAsia" w:eastAsia="仿宋_GB2312"/>
          <w:sz w:val="32"/>
          <w:szCs w:val="32"/>
        </w:rPr>
        <w:t>）支持一站式商业便民服务中心建设，对新建或改造的一站式商业便民服务中心，给予最高不超过60万元资金支持。</w:t>
      </w:r>
    </w:p>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3</w:t>
      </w:r>
      <w:r>
        <w:rPr>
          <w:rFonts w:hint="eastAsia" w:eastAsia="仿宋_GB2312"/>
          <w:sz w:val="32"/>
          <w:szCs w:val="32"/>
        </w:rPr>
        <w:t>）支持连锁超市、生鲜超市升级改造，</w:t>
      </w:r>
      <w:r>
        <w:rPr>
          <w:rFonts w:eastAsia="仿宋_GB2312"/>
          <w:sz w:val="32"/>
          <w:szCs w:val="32"/>
        </w:rPr>
        <w:t>按门店装修、数字化改造、农超对接改造及硬件设备购置相关投资额给予最高不超过 200万元资金支持。</w:t>
      </w:r>
    </w:p>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4</w:t>
      </w:r>
      <w:r>
        <w:rPr>
          <w:rFonts w:hint="eastAsia" w:eastAsia="仿宋_GB2312"/>
          <w:sz w:val="32"/>
          <w:szCs w:val="32"/>
        </w:rPr>
        <w:t>）</w:t>
      </w:r>
      <w:r>
        <w:rPr>
          <w:rFonts w:eastAsia="仿宋_GB2312"/>
          <w:sz w:val="32"/>
          <w:szCs w:val="32"/>
        </w:rPr>
        <w:t>支持农产品市场打造</w:t>
      </w:r>
      <w:r>
        <w:rPr>
          <w:rFonts w:hint="eastAsia" w:eastAsia="仿宋_GB2312"/>
          <w:sz w:val="32"/>
          <w:szCs w:val="32"/>
        </w:rPr>
        <w:t>环境整洁、功能完备、智慧高效的现代化农产品流通平台</w:t>
      </w:r>
      <w:r>
        <w:rPr>
          <w:rFonts w:eastAsia="仿宋_GB2312"/>
          <w:sz w:val="32"/>
          <w:szCs w:val="32"/>
        </w:rPr>
        <w:t>，</w:t>
      </w:r>
      <w:r>
        <w:rPr>
          <w:rFonts w:hint="eastAsia" w:eastAsia="仿宋_GB2312"/>
          <w:sz w:val="32"/>
          <w:szCs w:val="32"/>
        </w:rPr>
        <w:t>对</w:t>
      </w:r>
      <w:r>
        <w:rPr>
          <w:rFonts w:eastAsia="仿宋_GB2312"/>
          <w:sz w:val="32"/>
          <w:szCs w:val="32"/>
        </w:rPr>
        <w:t>环境布局优化、功能完善及配套设施设备升级开展标准化提质</w:t>
      </w:r>
      <w:r>
        <w:rPr>
          <w:rFonts w:hint="eastAsia" w:eastAsia="仿宋_GB2312"/>
          <w:sz w:val="32"/>
          <w:szCs w:val="32"/>
        </w:rPr>
        <w:t>的市场运营方</w:t>
      </w:r>
      <w:r>
        <w:rPr>
          <w:rFonts w:eastAsia="仿宋_GB2312"/>
          <w:sz w:val="32"/>
          <w:szCs w:val="32"/>
        </w:rPr>
        <w:t>，给予最高不超过30万元资金支持。</w:t>
      </w:r>
    </w:p>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5</w:t>
      </w:r>
      <w:r>
        <w:rPr>
          <w:rFonts w:hint="eastAsia" w:eastAsia="仿宋_GB2312"/>
          <w:sz w:val="32"/>
          <w:szCs w:val="32"/>
        </w:rPr>
        <w:t>）支持社区菜市场</w:t>
      </w:r>
      <w:r>
        <w:rPr>
          <w:rFonts w:eastAsia="仿宋_GB2312"/>
          <w:sz w:val="32"/>
          <w:szCs w:val="32"/>
        </w:rPr>
        <w:t>打造</w:t>
      </w:r>
      <w:r>
        <w:rPr>
          <w:rFonts w:hint="eastAsia" w:eastAsia="仿宋_GB2312"/>
          <w:sz w:val="32"/>
          <w:szCs w:val="32"/>
        </w:rPr>
        <w:t>整洁舒适、便民惠民、智慧便捷的惠民消费空间，对开展环境更新、硬件设施、标准化、智慧化等升级改造的，给予最高不超过50万元资金支持。</w:t>
      </w:r>
    </w:p>
    <w:p>
      <w:pPr>
        <w:spacing w:after="0"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支持消费主体高质量增长​</w:t>
      </w:r>
    </w:p>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7</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支持租赁和商务服务业发展</w:t>
      </w:r>
    </w:p>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1</w:t>
      </w:r>
      <w:r>
        <w:rPr>
          <w:rFonts w:hint="eastAsia" w:eastAsia="仿宋_GB2312"/>
          <w:sz w:val="32"/>
          <w:szCs w:val="32"/>
        </w:rPr>
        <w:t>）增速奖励。</w:t>
      </w:r>
      <w:r>
        <w:rPr>
          <w:rFonts w:eastAsia="仿宋_GB2312"/>
          <w:sz w:val="32"/>
          <w:szCs w:val="32"/>
        </w:rPr>
        <w:t>对年度营业收入达到</w:t>
      </w:r>
      <w:r>
        <w:rPr>
          <w:rFonts w:hint="eastAsia" w:eastAsia="仿宋_GB2312"/>
          <w:sz w:val="32"/>
          <w:szCs w:val="32"/>
        </w:rPr>
        <w:t>3亿元</w:t>
      </w:r>
      <w:r>
        <w:rPr>
          <w:rFonts w:eastAsia="仿宋_GB2312"/>
          <w:sz w:val="32"/>
          <w:szCs w:val="32"/>
        </w:rPr>
        <w:t>及以上，全年营业收入增速为正且高于全区租赁和商务服务业营业收入平均增速的</w:t>
      </w:r>
      <w:r>
        <w:rPr>
          <w:rFonts w:hint="eastAsia" w:eastAsia="仿宋_GB2312"/>
          <w:sz w:val="32"/>
          <w:szCs w:val="32"/>
        </w:rPr>
        <w:t>存量</w:t>
      </w:r>
      <w:r>
        <w:rPr>
          <w:rFonts w:eastAsia="仿宋_GB2312"/>
          <w:sz w:val="32"/>
          <w:szCs w:val="32"/>
        </w:rPr>
        <w:t>租赁和商务服务业企业，给予</w:t>
      </w:r>
      <w:r>
        <w:rPr>
          <w:rFonts w:hint="eastAsia" w:eastAsia="仿宋_GB2312"/>
          <w:sz w:val="32"/>
          <w:szCs w:val="32"/>
        </w:rPr>
        <w:t>最高</w:t>
      </w:r>
      <w:r>
        <w:rPr>
          <w:rFonts w:eastAsia="仿宋_GB2312"/>
          <w:sz w:val="32"/>
          <w:szCs w:val="32"/>
        </w:rPr>
        <w:t>不超过</w:t>
      </w:r>
      <w:r>
        <w:rPr>
          <w:rFonts w:hint="eastAsia" w:eastAsia="仿宋_GB2312"/>
          <w:sz w:val="32"/>
          <w:szCs w:val="32"/>
        </w:rPr>
        <w:t>150</w:t>
      </w:r>
      <w:r>
        <w:rPr>
          <w:rFonts w:eastAsia="仿宋_GB2312"/>
          <w:sz w:val="32"/>
          <w:szCs w:val="32"/>
        </w:rPr>
        <w:t>万元</w:t>
      </w:r>
      <w:r>
        <w:rPr>
          <w:rFonts w:hint="eastAsia" w:eastAsia="仿宋_GB2312"/>
          <w:sz w:val="32"/>
          <w:szCs w:val="32"/>
        </w:rPr>
        <w:t>资金支持</w:t>
      </w:r>
      <w:r>
        <w:rPr>
          <w:rFonts w:eastAsia="仿宋_GB2312"/>
          <w:sz w:val="32"/>
          <w:szCs w:val="32"/>
        </w:rPr>
        <w:t>。</w:t>
      </w:r>
    </w:p>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2</w:t>
      </w:r>
      <w:r>
        <w:rPr>
          <w:rFonts w:hint="eastAsia" w:eastAsia="仿宋_GB2312"/>
          <w:sz w:val="32"/>
          <w:szCs w:val="32"/>
        </w:rPr>
        <w:t>）能级提升奖励。对首次在昌平区内纳统的</w:t>
      </w:r>
      <w:r>
        <w:rPr>
          <w:rFonts w:eastAsia="仿宋_GB2312"/>
          <w:sz w:val="32"/>
          <w:szCs w:val="32"/>
        </w:rPr>
        <w:t>租赁和商务服务业企业</w:t>
      </w:r>
      <w:r>
        <w:rPr>
          <w:rFonts w:hint="eastAsia" w:eastAsia="仿宋_GB2312"/>
          <w:sz w:val="32"/>
          <w:szCs w:val="32"/>
        </w:rPr>
        <w:t>，当年</w:t>
      </w:r>
      <w:r>
        <w:rPr>
          <w:rFonts w:eastAsia="仿宋_GB2312"/>
          <w:sz w:val="32"/>
          <w:szCs w:val="32"/>
        </w:rPr>
        <w:t>营业收入达到</w:t>
      </w:r>
      <w:r>
        <w:rPr>
          <w:rFonts w:hint="eastAsia" w:eastAsia="仿宋_GB2312"/>
          <w:sz w:val="32"/>
          <w:szCs w:val="32"/>
        </w:rPr>
        <w:t>3亿元及以上</w:t>
      </w:r>
      <w:r>
        <w:rPr>
          <w:rFonts w:eastAsia="仿宋_GB2312"/>
          <w:sz w:val="32"/>
          <w:szCs w:val="32"/>
        </w:rPr>
        <w:t>的</w:t>
      </w:r>
      <w:r>
        <w:rPr>
          <w:rFonts w:hint="eastAsia" w:eastAsia="仿宋_GB2312"/>
          <w:sz w:val="32"/>
          <w:szCs w:val="32"/>
        </w:rPr>
        <w:t>，给予最高不超过150万元资金支持。分三年按照</w:t>
      </w:r>
      <w:bookmarkStart w:id="9" w:name="_Hlk215775728"/>
      <w:r>
        <w:rPr>
          <w:rFonts w:hint="eastAsia" w:eastAsia="仿宋_GB2312"/>
          <w:sz w:val="32"/>
          <w:szCs w:val="32"/>
        </w:rPr>
        <w:t>50%、30%、20%</w:t>
      </w:r>
      <w:bookmarkEnd w:id="9"/>
      <w:r>
        <w:rPr>
          <w:rFonts w:hint="eastAsia" w:eastAsia="仿宋_GB2312"/>
          <w:sz w:val="32"/>
          <w:szCs w:val="32"/>
        </w:rPr>
        <w:t>比例给付，</w:t>
      </w:r>
      <w:r>
        <w:rPr>
          <w:rFonts w:hint="eastAsia" w:eastAsia="仿宋_GB2312"/>
          <w:color w:val="212121"/>
          <w:sz w:val="32"/>
          <w:szCs w:val="32"/>
          <w:shd w:val="clear" w:color="auto" w:fill="FFFFFF"/>
        </w:rPr>
        <w:t>企业</w:t>
      </w:r>
      <w:r>
        <w:rPr>
          <w:rFonts w:hint="eastAsia" w:eastAsia="仿宋_GB2312"/>
          <w:sz w:val="32"/>
          <w:szCs w:val="32"/>
        </w:rPr>
        <w:t>应连续2年保持正增长。</w:t>
      </w:r>
    </w:p>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8</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支持批发业企业发展​</w:t>
      </w:r>
    </w:p>
    <w:p>
      <w:pPr>
        <w:spacing w:after="0" w:line="560" w:lineRule="exact"/>
        <w:ind w:firstLine="640" w:firstLineChars="200"/>
        <w:rPr>
          <w:rFonts w:eastAsia="仿宋_GB2312"/>
          <w:sz w:val="32"/>
          <w:szCs w:val="32"/>
        </w:rPr>
      </w:pPr>
      <w:bookmarkStart w:id="10" w:name="_Hlk215154764"/>
      <w:r>
        <w:rPr>
          <w:rFonts w:hint="eastAsia" w:eastAsia="仿宋_GB2312"/>
          <w:sz w:val="32"/>
          <w:szCs w:val="32"/>
        </w:rPr>
        <w:t>（</w:t>
      </w:r>
      <w:r>
        <w:rPr>
          <w:rFonts w:hint="eastAsia" w:eastAsia="仿宋_GB2312"/>
          <w:sz w:val="32"/>
          <w:szCs w:val="32"/>
          <w:lang w:val="en-US" w:eastAsia="zh-CN"/>
        </w:rPr>
        <w:t>1</w:t>
      </w:r>
      <w:r>
        <w:rPr>
          <w:rFonts w:hint="eastAsia" w:eastAsia="仿宋_GB2312"/>
          <w:sz w:val="32"/>
          <w:szCs w:val="32"/>
        </w:rPr>
        <w:t>）增速奖励。</w:t>
      </w:r>
      <w:r>
        <w:rPr>
          <w:rFonts w:eastAsia="仿宋_GB2312"/>
          <w:sz w:val="32"/>
          <w:szCs w:val="32"/>
        </w:rPr>
        <w:t>对年度</w:t>
      </w:r>
      <w:r>
        <w:rPr>
          <w:rFonts w:hint="eastAsia" w:eastAsia="仿宋_GB2312"/>
          <w:sz w:val="32"/>
          <w:szCs w:val="32"/>
        </w:rPr>
        <w:t>销售额达到</w:t>
      </w:r>
      <w:r>
        <w:rPr>
          <w:rFonts w:eastAsia="仿宋_GB2312"/>
          <w:sz w:val="32"/>
          <w:szCs w:val="32"/>
        </w:rPr>
        <w:t>100</w:t>
      </w:r>
      <w:r>
        <w:rPr>
          <w:rFonts w:hint="eastAsia" w:eastAsia="仿宋_GB2312"/>
          <w:sz w:val="32"/>
          <w:szCs w:val="32"/>
        </w:rPr>
        <w:t>亿</w:t>
      </w:r>
      <w:bookmarkStart w:id="11" w:name="_Hlk215155951"/>
      <w:r>
        <w:rPr>
          <w:rFonts w:hint="eastAsia" w:eastAsia="仿宋_GB2312"/>
          <w:sz w:val="32"/>
          <w:szCs w:val="32"/>
        </w:rPr>
        <w:t>元</w:t>
      </w:r>
      <w:bookmarkEnd w:id="11"/>
      <w:r>
        <w:rPr>
          <w:rFonts w:hint="eastAsia" w:eastAsia="仿宋_GB2312"/>
          <w:sz w:val="32"/>
          <w:szCs w:val="32"/>
        </w:rPr>
        <w:t>及以上，且全年销售额增速为正的存量批发业企业，给予不超过150万元奖励。</w:t>
      </w:r>
    </w:p>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2</w:t>
      </w:r>
      <w:r>
        <w:rPr>
          <w:rFonts w:hint="eastAsia" w:eastAsia="仿宋_GB2312"/>
          <w:sz w:val="32"/>
          <w:szCs w:val="32"/>
        </w:rPr>
        <w:t>）能级提升奖励。对首次在昌平区内纳统的批发业企业，当年销售额达到</w:t>
      </w:r>
      <w:r>
        <w:rPr>
          <w:rFonts w:eastAsia="仿宋_GB2312"/>
          <w:sz w:val="32"/>
          <w:szCs w:val="32"/>
        </w:rPr>
        <w:t>3</w:t>
      </w:r>
      <w:r>
        <w:rPr>
          <w:rFonts w:hint="eastAsia" w:eastAsia="仿宋_GB2312"/>
          <w:sz w:val="32"/>
          <w:szCs w:val="32"/>
        </w:rPr>
        <w:t>0亿元及以上的，给予最高不超过150万元资金支持。分三年按照50%、30%、20%比例给付，</w:t>
      </w:r>
      <w:r>
        <w:rPr>
          <w:rFonts w:hint="eastAsia" w:eastAsia="仿宋_GB2312"/>
          <w:color w:val="212121"/>
          <w:sz w:val="32"/>
          <w:szCs w:val="32"/>
          <w:shd w:val="clear" w:color="auto" w:fill="FFFFFF"/>
        </w:rPr>
        <w:t>企业</w:t>
      </w:r>
      <w:r>
        <w:rPr>
          <w:rFonts w:hint="eastAsia" w:eastAsia="仿宋_GB2312"/>
          <w:sz w:val="32"/>
          <w:szCs w:val="32"/>
        </w:rPr>
        <w:t>应连续2年保持正增长。</w:t>
      </w:r>
    </w:p>
    <w:bookmarkEnd w:id="10"/>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9</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支持零售业企业发展</w:t>
      </w:r>
    </w:p>
    <w:p>
      <w:pPr>
        <w:spacing w:after="0" w:line="560" w:lineRule="exact"/>
        <w:ind w:firstLine="640" w:firstLineChars="200"/>
        <w:rPr>
          <w:rFonts w:eastAsia="仿宋_GB2312"/>
          <w:sz w:val="32"/>
          <w:szCs w:val="32"/>
        </w:rPr>
      </w:pPr>
      <w:bookmarkStart w:id="12" w:name="_Hlk215155848"/>
      <w:r>
        <w:rPr>
          <w:rFonts w:hint="eastAsia" w:eastAsia="仿宋_GB2312"/>
          <w:sz w:val="32"/>
          <w:szCs w:val="32"/>
        </w:rPr>
        <w:t>（</w:t>
      </w:r>
      <w:r>
        <w:rPr>
          <w:rFonts w:hint="eastAsia" w:eastAsia="仿宋_GB2312"/>
          <w:sz w:val="32"/>
          <w:szCs w:val="32"/>
          <w:lang w:val="en-US" w:eastAsia="zh-CN"/>
        </w:rPr>
        <w:t>1</w:t>
      </w:r>
      <w:r>
        <w:rPr>
          <w:rFonts w:hint="eastAsia" w:eastAsia="仿宋_GB2312"/>
          <w:sz w:val="32"/>
          <w:szCs w:val="32"/>
        </w:rPr>
        <w:t>）增速奖励。对年度零售额达到5亿元及以上，且全年零售额增速为正且高于全区社零总额平均增速的存量零售企业，给予不超过150万元奖励。</w:t>
      </w:r>
    </w:p>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2</w:t>
      </w:r>
      <w:r>
        <w:rPr>
          <w:rFonts w:hint="eastAsia" w:eastAsia="仿宋_GB2312"/>
          <w:sz w:val="32"/>
          <w:szCs w:val="32"/>
        </w:rPr>
        <w:t>）能级提升奖励。对首次在昌平区内纳统的零售业企业，当年零售额达到</w:t>
      </w:r>
      <w:r>
        <w:rPr>
          <w:rFonts w:hint="eastAsia" w:eastAsia="仿宋_GB2312"/>
          <w:sz w:val="32"/>
          <w:szCs w:val="32"/>
          <w:lang w:val="en-US" w:eastAsia="zh-CN"/>
        </w:rPr>
        <w:t>3</w:t>
      </w:r>
      <w:r>
        <w:rPr>
          <w:rFonts w:hint="eastAsia" w:eastAsia="仿宋_GB2312"/>
          <w:sz w:val="32"/>
          <w:szCs w:val="32"/>
        </w:rPr>
        <w:t>亿元及以上的，给予最高不超过150万元资金支持。</w:t>
      </w:r>
      <w:r>
        <w:rPr>
          <w:rFonts w:hint="eastAsia" w:eastAsia="仿宋_GB2312"/>
          <w:color w:val="212121"/>
          <w:sz w:val="32"/>
          <w:szCs w:val="32"/>
          <w:shd w:val="clear" w:color="auto" w:fill="FFFFFF"/>
        </w:rPr>
        <w:t>分3年按照</w:t>
      </w:r>
      <w:r>
        <w:rPr>
          <w:rFonts w:hint="eastAsia" w:eastAsia="仿宋_GB2312"/>
          <w:sz w:val="32"/>
          <w:szCs w:val="32"/>
        </w:rPr>
        <w:t>50%、30%、20%</w:t>
      </w:r>
      <w:r>
        <w:rPr>
          <w:rFonts w:hint="eastAsia" w:eastAsia="仿宋_GB2312"/>
          <w:color w:val="212121"/>
          <w:sz w:val="32"/>
          <w:szCs w:val="32"/>
          <w:shd w:val="clear" w:color="auto" w:fill="FFFFFF"/>
        </w:rPr>
        <w:t>的比例</w:t>
      </w:r>
      <w:r>
        <w:rPr>
          <w:rFonts w:hint="eastAsia" w:eastAsia="仿宋_GB2312"/>
          <w:sz w:val="32"/>
          <w:szCs w:val="32"/>
        </w:rPr>
        <w:t>给付</w:t>
      </w:r>
      <w:r>
        <w:rPr>
          <w:rFonts w:hint="eastAsia" w:eastAsia="仿宋_GB2312"/>
          <w:color w:val="212121"/>
          <w:sz w:val="32"/>
          <w:szCs w:val="32"/>
          <w:shd w:val="clear" w:color="auto" w:fill="FFFFFF"/>
        </w:rPr>
        <w:t>，企业</w:t>
      </w:r>
      <w:r>
        <w:rPr>
          <w:rFonts w:hint="eastAsia" w:eastAsia="仿宋_GB2312"/>
          <w:sz w:val="32"/>
          <w:szCs w:val="32"/>
        </w:rPr>
        <w:t>应连续2年保持正增长。</w:t>
      </w:r>
      <w:bookmarkEnd w:id="12"/>
    </w:p>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支持</w:t>
      </w:r>
      <w:bookmarkStart w:id="13" w:name="_Hlk212654394"/>
      <w:r>
        <w:rPr>
          <w:rFonts w:hint="eastAsia" w:ascii="仿宋_GB2312" w:hAnsi="仿宋_GB2312" w:eastAsia="仿宋_GB2312" w:cs="仿宋_GB2312"/>
          <w:b/>
          <w:bCs/>
          <w:sz w:val="32"/>
          <w:szCs w:val="32"/>
        </w:rPr>
        <w:t>互联网零售创新</w:t>
      </w:r>
      <w:bookmarkEnd w:id="13"/>
      <w:r>
        <w:rPr>
          <w:rFonts w:hint="eastAsia" w:ascii="仿宋_GB2312" w:hAnsi="仿宋_GB2312" w:eastAsia="仿宋_GB2312" w:cs="仿宋_GB2312"/>
          <w:b/>
          <w:bCs/>
          <w:sz w:val="32"/>
          <w:szCs w:val="32"/>
        </w:rPr>
        <w:t>发展</w:t>
      </w:r>
    </w:p>
    <w:p>
      <w:pPr>
        <w:spacing w:after="0" w:line="560" w:lineRule="exact"/>
        <w:ind w:firstLine="640" w:firstLineChars="200"/>
        <w:rPr>
          <w:rFonts w:eastAsia="仿宋_GB2312"/>
          <w:sz w:val="32"/>
          <w:szCs w:val="32"/>
        </w:rPr>
      </w:pPr>
      <w:bookmarkStart w:id="14" w:name="_Hlk212654182"/>
      <w:bookmarkStart w:id="15" w:name="_Hlk212654871"/>
      <w:r>
        <w:rPr>
          <w:rFonts w:hint="eastAsia" w:eastAsia="仿宋_GB2312"/>
          <w:sz w:val="32"/>
          <w:szCs w:val="32"/>
        </w:rPr>
        <w:t>推动互联网零售企业集聚，</w:t>
      </w:r>
      <w:bookmarkEnd w:id="14"/>
      <w:r>
        <w:rPr>
          <w:rFonts w:hint="eastAsia" w:eastAsia="仿宋_GB2312"/>
          <w:sz w:val="32"/>
          <w:szCs w:val="32"/>
        </w:rPr>
        <w:t>对电商消费创新成果突出的商品零售、互联网平台、电商服务企业，经综合评定，给予最高不超过</w:t>
      </w:r>
      <w:r>
        <w:rPr>
          <w:rFonts w:hint="eastAsia" w:eastAsia="仿宋_GB2312"/>
          <w:sz w:val="32"/>
          <w:szCs w:val="32"/>
          <w:lang w:val="en-US" w:eastAsia="zh-CN"/>
        </w:rPr>
        <w:t>150</w:t>
      </w:r>
      <w:r>
        <w:rPr>
          <w:rFonts w:hint="eastAsia" w:eastAsia="仿宋_GB2312"/>
          <w:sz w:val="32"/>
          <w:szCs w:val="32"/>
        </w:rPr>
        <w:t>万元资金支持。</w:t>
      </w:r>
    </w:p>
    <w:bookmarkEnd w:id="15"/>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提升餐饮服务消费品质​</w:t>
      </w:r>
    </w:p>
    <w:p>
      <w:pPr>
        <w:spacing w:after="0" w:line="560" w:lineRule="exact"/>
        <w:ind w:firstLine="640" w:firstLineChars="200"/>
        <w:rPr>
          <w:rFonts w:eastAsia="仿宋_GB2312"/>
          <w:sz w:val="32"/>
          <w:szCs w:val="32"/>
        </w:rPr>
      </w:pPr>
      <w:bookmarkStart w:id="16" w:name="_Hlk215157876"/>
      <w:r>
        <w:rPr>
          <w:rFonts w:hint="eastAsia" w:eastAsia="仿宋_GB2312"/>
          <w:sz w:val="32"/>
          <w:szCs w:val="32"/>
        </w:rPr>
        <w:t>（</w:t>
      </w:r>
      <w:r>
        <w:rPr>
          <w:rFonts w:hint="eastAsia" w:eastAsia="仿宋_GB2312"/>
          <w:sz w:val="32"/>
          <w:szCs w:val="32"/>
          <w:lang w:val="en-US" w:eastAsia="zh-CN"/>
        </w:rPr>
        <w:t>1</w:t>
      </w:r>
      <w:r>
        <w:rPr>
          <w:rFonts w:hint="eastAsia" w:eastAsia="仿宋_GB2312"/>
          <w:sz w:val="32"/>
          <w:szCs w:val="32"/>
        </w:rPr>
        <w:t>）增速奖励。对年度营业额达到</w:t>
      </w:r>
      <w:r>
        <w:rPr>
          <w:rFonts w:eastAsia="仿宋_GB2312"/>
          <w:sz w:val="32"/>
          <w:szCs w:val="32"/>
        </w:rPr>
        <w:t>300</w:t>
      </w:r>
      <w:r>
        <w:rPr>
          <w:rFonts w:hint="eastAsia" w:eastAsia="仿宋_GB2312"/>
          <w:sz w:val="32"/>
          <w:szCs w:val="32"/>
        </w:rPr>
        <w:t>0万元及以上，全年餐饮业营业额增速为正且高于全区餐饮业营业额平均增速的存量餐饮企业，给予最高不超过25万元资金支持。</w:t>
      </w:r>
    </w:p>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2</w:t>
      </w:r>
      <w:r>
        <w:rPr>
          <w:rFonts w:hint="eastAsia" w:eastAsia="仿宋_GB2312"/>
          <w:sz w:val="32"/>
          <w:szCs w:val="32"/>
        </w:rPr>
        <w:t>）能级提升奖励。对首次在昌平区内纳统的餐饮业企业，当年营业额达到3000万元及以上的，给予最高不超过25万元资金支持。</w:t>
      </w:r>
      <w:r>
        <w:rPr>
          <w:rFonts w:hint="eastAsia" w:eastAsia="仿宋_GB2312"/>
          <w:color w:val="212121"/>
          <w:sz w:val="32"/>
          <w:szCs w:val="32"/>
          <w:shd w:val="clear" w:color="auto" w:fill="FFFFFF"/>
        </w:rPr>
        <w:t>分两年按照</w:t>
      </w:r>
      <w:r>
        <w:rPr>
          <w:rFonts w:hint="eastAsia" w:eastAsia="仿宋_GB2312"/>
          <w:sz w:val="32"/>
          <w:szCs w:val="32"/>
        </w:rPr>
        <w:t>50%、5</w:t>
      </w:r>
      <w:r>
        <w:rPr>
          <w:rFonts w:eastAsia="仿宋_GB2312"/>
          <w:sz w:val="32"/>
          <w:szCs w:val="32"/>
        </w:rPr>
        <w:t>0</w:t>
      </w:r>
      <w:r>
        <w:rPr>
          <w:rFonts w:hint="eastAsia" w:eastAsia="仿宋_GB2312"/>
          <w:sz w:val="32"/>
          <w:szCs w:val="32"/>
        </w:rPr>
        <w:t>%</w:t>
      </w:r>
      <w:r>
        <w:rPr>
          <w:rFonts w:hint="eastAsia" w:eastAsia="仿宋_GB2312"/>
          <w:color w:val="212121"/>
          <w:sz w:val="32"/>
          <w:szCs w:val="32"/>
          <w:shd w:val="clear" w:color="auto" w:fill="FFFFFF"/>
        </w:rPr>
        <w:t>的比例</w:t>
      </w:r>
      <w:r>
        <w:rPr>
          <w:rFonts w:hint="eastAsia" w:eastAsia="仿宋_GB2312"/>
          <w:sz w:val="32"/>
          <w:szCs w:val="32"/>
        </w:rPr>
        <w:t>给付</w:t>
      </w:r>
      <w:r>
        <w:rPr>
          <w:rFonts w:hint="eastAsia" w:eastAsia="仿宋_GB2312"/>
          <w:color w:val="212121"/>
          <w:sz w:val="32"/>
          <w:szCs w:val="32"/>
          <w:shd w:val="clear" w:color="auto" w:fill="FFFFFF"/>
        </w:rPr>
        <w:t>，企业</w:t>
      </w:r>
      <w:r>
        <w:rPr>
          <w:rFonts w:hint="eastAsia" w:eastAsia="仿宋_GB2312"/>
          <w:sz w:val="32"/>
          <w:szCs w:val="32"/>
        </w:rPr>
        <w:t>应连续2年保持正增长。</w:t>
      </w:r>
    </w:p>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3</w:t>
      </w:r>
      <w:r>
        <w:rPr>
          <w:rFonts w:hint="eastAsia" w:eastAsia="仿宋_GB2312"/>
          <w:sz w:val="32"/>
          <w:szCs w:val="32"/>
        </w:rPr>
        <w:t>）</w:t>
      </w:r>
      <w:r>
        <w:rPr>
          <w:rFonts w:eastAsia="仿宋_GB2312"/>
          <w:sz w:val="32"/>
          <w:szCs w:val="32"/>
        </w:rPr>
        <w:t>支持米其林餐厅、黑珍珠餐厅</w:t>
      </w:r>
      <w:r>
        <w:rPr>
          <w:rFonts w:hint="eastAsia" w:eastAsia="仿宋_GB2312"/>
          <w:sz w:val="32"/>
          <w:szCs w:val="32"/>
          <w:lang w:eastAsia="zh-CN"/>
        </w:rPr>
        <w:t>、五钻酒家</w:t>
      </w:r>
      <w:r>
        <w:rPr>
          <w:rFonts w:eastAsia="仿宋_GB2312"/>
          <w:sz w:val="32"/>
          <w:szCs w:val="32"/>
        </w:rPr>
        <w:t>等高端餐饮品牌在</w:t>
      </w:r>
      <w:r>
        <w:rPr>
          <w:rFonts w:hint="eastAsia" w:eastAsia="仿宋_GB2312"/>
          <w:sz w:val="32"/>
          <w:szCs w:val="32"/>
        </w:rPr>
        <w:t>昌平</w:t>
      </w:r>
      <w:r>
        <w:rPr>
          <w:rFonts w:eastAsia="仿宋_GB2312"/>
          <w:sz w:val="32"/>
          <w:szCs w:val="32"/>
        </w:rPr>
        <w:t>区设店经营，经认定，根据品牌能级给予最高不超过</w:t>
      </w:r>
      <w:r>
        <w:rPr>
          <w:rFonts w:hint="eastAsia" w:eastAsia="仿宋_GB2312"/>
          <w:sz w:val="32"/>
          <w:szCs w:val="32"/>
          <w:lang w:val="en-US" w:eastAsia="zh-CN"/>
        </w:rPr>
        <w:t>2</w:t>
      </w:r>
      <w:r>
        <w:rPr>
          <w:rFonts w:hint="eastAsia" w:eastAsia="仿宋_GB2312"/>
          <w:sz w:val="32"/>
          <w:szCs w:val="32"/>
        </w:rPr>
        <w:t>0</w:t>
      </w:r>
      <w:r>
        <w:rPr>
          <w:rFonts w:eastAsia="仿宋_GB2312"/>
          <w:sz w:val="32"/>
          <w:szCs w:val="32"/>
        </w:rPr>
        <w:t>万元</w:t>
      </w:r>
      <w:r>
        <w:rPr>
          <w:rFonts w:hint="eastAsia" w:eastAsia="仿宋_GB2312"/>
          <w:sz w:val="32"/>
          <w:szCs w:val="32"/>
        </w:rPr>
        <w:t>资金</w:t>
      </w:r>
      <w:r>
        <w:rPr>
          <w:rFonts w:eastAsia="仿宋_GB2312"/>
          <w:sz w:val="32"/>
          <w:szCs w:val="32"/>
        </w:rPr>
        <w:t>支持。</w:t>
      </w:r>
    </w:p>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4</w:t>
      </w:r>
      <w:r>
        <w:rPr>
          <w:rFonts w:hint="eastAsia" w:eastAsia="仿宋_GB2312"/>
          <w:sz w:val="32"/>
          <w:szCs w:val="32"/>
        </w:rPr>
        <w:t>）支持集中供餐（团餐）服务发展，对开展设备设施购置、物流管理投资的集中供餐（团餐）企业，给予最高不超过200万元资金</w:t>
      </w:r>
      <w:r>
        <w:rPr>
          <w:rFonts w:eastAsia="仿宋_GB2312"/>
          <w:sz w:val="32"/>
          <w:szCs w:val="32"/>
        </w:rPr>
        <w:t>支持</w:t>
      </w:r>
      <w:r>
        <w:rPr>
          <w:rFonts w:hint="eastAsia" w:eastAsia="仿宋_GB2312"/>
          <w:sz w:val="32"/>
          <w:szCs w:val="32"/>
        </w:rPr>
        <w:t>。</w:t>
      </w:r>
    </w:p>
    <w:bookmarkEnd w:id="16"/>
    <w:p>
      <w:pPr>
        <w:spacing w:after="0"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构建更高水平开放型经济</w:t>
      </w:r>
    </w:p>
    <w:p>
      <w:pPr>
        <w:spacing w:after="0" w:line="560" w:lineRule="exact"/>
        <w:ind w:firstLine="643" w:firstLineChars="200"/>
        <w:outlineLvl w:val="2"/>
        <w:rPr>
          <w:rFonts w:hint="eastAsia" w:ascii="仿宋_GB2312" w:hAnsi="仿宋_GB2312" w:eastAsia="仿宋_GB2312" w:cs="仿宋_GB2312"/>
          <w:b/>
          <w:bCs/>
          <w:color w:val="EE0000"/>
          <w:sz w:val="32"/>
          <w:szCs w:val="20"/>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强化高能级总部引领​</w:t>
      </w:r>
    </w:p>
    <w:p>
      <w:pPr>
        <w:spacing w:after="0" w:line="560" w:lineRule="exact"/>
        <w:ind w:firstLine="640" w:firstLineChars="200"/>
        <w:rPr>
          <w:rFonts w:eastAsia="仿宋_GB2312"/>
          <w:sz w:val="32"/>
          <w:szCs w:val="32"/>
        </w:rPr>
      </w:pPr>
      <w:r>
        <w:rPr>
          <w:rFonts w:hint="eastAsia" w:eastAsia="仿宋_GB2312"/>
          <w:sz w:val="32"/>
          <w:szCs w:val="32"/>
        </w:rPr>
        <w:t>鼓励各类总部企业集聚发展，对认定为跨国公司地区总部、外资研发总部、贸易型总部、行业示范总部等类型的企业，给予最高不超过</w:t>
      </w:r>
      <w:r>
        <w:rPr>
          <w:rFonts w:eastAsia="仿宋_GB2312"/>
          <w:sz w:val="32"/>
          <w:szCs w:val="32"/>
        </w:rPr>
        <w:t>100</w:t>
      </w:r>
      <w:r>
        <w:rPr>
          <w:rFonts w:hint="eastAsia" w:eastAsia="仿宋_GB2312"/>
          <w:sz w:val="32"/>
          <w:szCs w:val="32"/>
        </w:rPr>
        <w:t>万元资金支持。</w:t>
      </w:r>
    </w:p>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加大重点领域引进外资力度</w:t>
      </w:r>
    </w:p>
    <w:p>
      <w:pPr>
        <w:spacing w:after="0" w:line="560" w:lineRule="exact"/>
        <w:ind w:firstLine="640" w:firstLineChars="200"/>
        <w:rPr>
          <w:rFonts w:eastAsia="仿宋_GB2312"/>
          <w:sz w:val="32"/>
          <w:szCs w:val="32"/>
        </w:rPr>
      </w:pPr>
      <w:r>
        <w:rPr>
          <w:rFonts w:hint="eastAsia" w:eastAsia="仿宋_GB2312"/>
          <w:sz w:val="32"/>
          <w:szCs w:val="32"/>
        </w:rPr>
        <w:t>对年度外方股东实际到资</w:t>
      </w:r>
      <w:r>
        <w:rPr>
          <w:rFonts w:hint="eastAsia" w:eastAsia="仿宋_GB2312"/>
          <w:sz w:val="32"/>
          <w:szCs w:val="32"/>
          <w:lang w:val="en-US" w:eastAsia="zh-CN"/>
        </w:rPr>
        <w:t>100</w:t>
      </w:r>
      <w:r>
        <w:rPr>
          <w:rFonts w:hint="eastAsia" w:eastAsia="仿宋_GB2312"/>
          <w:sz w:val="32"/>
          <w:szCs w:val="32"/>
        </w:rPr>
        <w:t>万美元（含）以上的外商投资企业，按照最高不超过外方股东实际到资额的</w:t>
      </w:r>
      <w:r>
        <w:rPr>
          <w:rFonts w:hint="eastAsia" w:eastAsia="仿宋_GB2312"/>
          <w:sz w:val="32"/>
          <w:szCs w:val="32"/>
          <w:lang w:val="en-US" w:eastAsia="zh-CN"/>
        </w:rPr>
        <w:t>2</w:t>
      </w:r>
      <w:r>
        <w:rPr>
          <w:rFonts w:hint="eastAsia" w:eastAsia="仿宋_GB2312"/>
          <w:sz w:val="32"/>
          <w:szCs w:val="32"/>
        </w:rPr>
        <w:t>%给予奖励，单个企业最高不超过1000万元。</w:t>
      </w:r>
    </w:p>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鼓励企业参与制度型创新</w:t>
      </w:r>
    </w:p>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1</w:t>
      </w:r>
      <w:r>
        <w:rPr>
          <w:rFonts w:hint="eastAsia" w:eastAsia="仿宋_GB2312"/>
          <w:sz w:val="32"/>
          <w:szCs w:val="32"/>
        </w:rPr>
        <w:t>）对落实“两区”创新政策，经市级认定为全国或全市最先落地或具有首个性、突破性的项目，给予最高不超过20万元资金支持。</w:t>
      </w:r>
    </w:p>
    <w:p>
      <w:pPr>
        <w:spacing w:after="0"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val="en-US" w:eastAsia="zh-CN"/>
        </w:rPr>
        <w:t>2</w:t>
      </w:r>
      <w:r>
        <w:rPr>
          <w:rFonts w:hint="eastAsia" w:eastAsia="仿宋_GB2312"/>
          <w:sz w:val="32"/>
          <w:szCs w:val="32"/>
        </w:rPr>
        <w:t>）鼓励企业积极参与“两区”建设制度创新，及时总结“两区”改革创新经验或实践案例，对创新成果纳入国家和市级层面的复制推广范围的企业，给予最高不超过20万元资金支持。</w:t>
      </w:r>
    </w:p>
    <w:p>
      <w:pPr>
        <w:spacing w:after="0" w:line="560" w:lineRule="exact"/>
        <w:ind w:firstLine="643" w:firstLineChars="200"/>
        <w:outlineLvl w:val="2"/>
        <w:rPr>
          <w:rFonts w:hint="eastAsia" w:ascii="仿宋_GB2312" w:hAnsi="仿宋_GB2312" w:eastAsia="仿宋_GB2312" w:cs="仿宋_GB2312"/>
          <w:b/>
          <w:bCs/>
          <w:sz w:val="32"/>
          <w:szCs w:val="32"/>
        </w:rPr>
      </w:pPr>
      <w:bookmarkStart w:id="17" w:name="_Hlk216202213"/>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鼓励提高海关信用等级</w:t>
      </w:r>
    </w:p>
    <w:bookmarkEnd w:id="17"/>
    <w:p>
      <w:pPr>
        <w:spacing w:after="0" w:line="560" w:lineRule="exact"/>
        <w:ind w:firstLine="640" w:firstLineChars="200"/>
        <w:rPr>
          <w:rFonts w:eastAsia="仿宋_GB2312"/>
          <w:sz w:val="32"/>
          <w:szCs w:val="32"/>
        </w:rPr>
      </w:pPr>
      <w:bookmarkStart w:id="18" w:name="_Hlk216202220"/>
      <w:r>
        <w:rPr>
          <w:rFonts w:hint="eastAsia" w:eastAsia="仿宋_GB2312"/>
          <w:sz w:val="32"/>
          <w:szCs w:val="32"/>
        </w:rPr>
        <w:t>支持海关高级认证企业（AEO企业）发展，对首次获得</w:t>
      </w:r>
      <w:r>
        <w:rPr>
          <w:rFonts w:eastAsia="仿宋_GB2312"/>
          <w:sz w:val="32"/>
          <w:szCs w:val="32"/>
        </w:rPr>
        <w:t>AEO</w:t>
      </w:r>
      <w:r>
        <w:rPr>
          <w:rFonts w:hint="eastAsia" w:eastAsia="仿宋_GB2312"/>
          <w:sz w:val="32"/>
          <w:szCs w:val="32"/>
        </w:rPr>
        <w:t>高级认证的企业，给予</w:t>
      </w:r>
      <w:r>
        <w:rPr>
          <w:rFonts w:eastAsia="仿宋_GB2312"/>
          <w:sz w:val="32"/>
          <w:szCs w:val="32"/>
        </w:rPr>
        <w:t>30</w:t>
      </w:r>
      <w:r>
        <w:rPr>
          <w:rFonts w:hint="eastAsia" w:eastAsia="仿宋_GB2312"/>
          <w:sz w:val="32"/>
          <w:szCs w:val="32"/>
        </w:rPr>
        <w:t>万元资金支持。对已获得海关</w:t>
      </w:r>
      <w:r>
        <w:rPr>
          <w:rFonts w:eastAsia="仿宋_GB2312"/>
          <w:sz w:val="32"/>
          <w:szCs w:val="32"/>
        </w:rPr>
        <w:t>AEO</w:t>
      </w:r>
      <w:r>
        <w:rPr>
          <w:rFonts w:hint="eastAsia" w:eastAsia="仿宋_GB2312"/>
          <w:sz w:val="32"/>
          <w:szCs w:val="32"/>
        </w:rPr>
        <w:t>高级认证的企业，复审后再次获得的，给予</w:t>
      </w:r>
      <w:r>
        <w:rPr>
          <w:rFonts w:eastAsia="仿宋_GB2312"/>
          <w:sz w:val="32"/>
          <w:szCs w:val="32"/>
        </w:rPr>
        <w:t>10</w:t>
      </w:r>
      <w:r>
        <w:rPr>
          <w:rFonts w:hint="eastAsia" w:eastAsia="仿宋_GB2312"/>
          <w:sz w:val="32"/>
          <w:szCs w:val="32"/>
        </w:rPr>
        <w:t>万元资金支持。</w:t>
      </w:r>
      <w:bookmarkEnd w:id="18"/>
    </w:p>
    <w:p>
      <w:pPr>
        <w:spacing w:after="0" w:line="560" w:lineRule="exact"/>
        <w:ind w:firstLine="643" w:firstLineChars="200"/>
        <w:outlineLvl w:val="2"/>
        <w:rPr>
          <w:rFonts w:hint="eastAsia" w:ascii="仿宋_GB2312" w:hAnsi="仿宋_GB2312" w:eastAsia="仿宋_GB2312" w:cs="仿宋_GB2312"/>
          <w:b/>
          <w:bCs/>
          <w:sz w:val="32"/>
          <w:szCs w:val="32"/>
        </w:rPr>
      </w:pPr>
      <w:bookmarkStart w:id="19" w:name="_Hlk216202268"/>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助力服务贸易高质量发展</w:t>
      </w:r>
      <w:bookmarkEnd w:id="19"/>
    </w:p>
    <w:p>
      <w:pPr>
        <w:spacing w:after="0" w:line="560" w:lineRule="exact"/>
        <w:ind w:firstLine="640" w:firstLineChars="200"/>
        <w:rPr>
          <w:rFonts w:eastAsia="仿宋_GB2312"/>
          <w:strike/>
          <w:sz w:val="32"/>
          <w:szCs w:val="32"/>
        </w:rPr>
      </w:pPr>
      <w:r>
        <w:rPr>
          <w:rFonts w:hint="eastAsia" w:eastAsia="仿宋_GB2312"/>
          <w:sz w:val="32"/>
          <w:szCs w:val="32"/>
        </w:rPr>
        <w:t>培育服务贸易新增长点，聚焦知识密集型服务贸易重点领域，根据企业服务出口增长情况给予不超过100万元资金支持。</w:t>
      </w:r>
    </w:p>
    <w:p>
      <w:pPr>
        <w:spacing w:after="0"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支持会展业发展</w:t>
      </w:r>
    </w:p>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支持重大展会在昌平落地</w:t>
      </w:r>
    </w:p>
    <w:p>
      <w:pPr>
        <w:spacing w:after="0" w:line="560" w:lineRule="exact"/>
        <w:ind w:firstLine="640" w:firstLineChars="200"/>
        <w:rPr>
          <w:rFonts w:eastAsia="仿宋_GB2312"/>
          <w:sz w:val="32"/>
          <w:szCs w:val="32"/>
        </w:rPr>
      </w:pPr>
      <w:r>
        <w:rPr>
          <w:rFonts w:hint="eastAsia" w:eastAsia="仿宋_GB2312"/>
          <w:sz w:val="32"/>
          <w:szCs w:val="32"/>
        </w:rPr>
        <w:t>支持在昌平区举办与本行政区域产业体系发展方向相契合的国际性会议和影响力强、带动性大的高能级</w:t>
      </w:r>
      <w:bookmarkStart w:id="20" w:name="_Hlk215161250"/>
      <w:r>
        <w:rPr>
          <w:rFonts w:hint="eastAsia" w:eastAsia="仿宋_GB2312"/>
          <w:sz w:val="32"/>
          <w:szCs w:val="32"/>
        </w:rPr>
        <w:t>会展</w:t>
      </w:r>
      <w:bookmarkEnd w:id="20"/>
      <w:r>
        <w:rPr>
          <w:rFonts w:hint="eastAsia" w:eastAsia="仿宋_GB2312"/>
          <w:sz w:val="32"/>
          <w:szCs w:val="32"/>
        </w:rPr>
        <w:t>，对参会人数 5000人及以上的会展活动主办方，按不超过审定实际投资额的10%给予资金支持，支持总额不超过50万元。</w:t>
      </w:r>
    </w:p>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支持会展场馆升级</w:t>
      </w:r>
    </w:p>
    <w:p>
      <w:pPr>
        <w:spacing w:after="0" w:line="560" w:lineRule="exact"/>
        <w:ind w:firstLine="640" w:firstLineChars="200"/>
      </w:pPr>
      <w:r>
        <w:rPr>
          <w:rFonts w:hint="eastAsia" w:eastAsia="仿宋_GB2312"/>
          <w:sz w:val="32"/>
          <w:szCs w:val="32"/>
        </w:rPr>
        <w:t>支持会展场馆进行智慧化、现代化改造升级，对开展装修改造、设备投资、信息技术升级，打造数字化、智能化的</w:t>
      </w:r>
      <w:bookmarkStart w:id="21" w:name="_Hlk215161407"/>
      <w:r>
        <w:rPr>
          <w:rFonts w:hint="eastAsia" w:eastAsia="仿宋_GB2312"/>
          <w:sz w:val="32"/>
          <w:szCs w:val="32"/>
        </w:rPr>
        <w:t>会展</w:t>
      </w:r>
      <w:bookmarkEnd w:id="21"/>
      <w:r>
        <w:rPr>
          <w:rFonts w:hint="eastAsia" w:eastAsia="仿宋_GB2312"/>
          <w:sz w:val="32"/>
          <w:szCs w:val="32"/>
        </w:rPr>
        <w:t>场馆运营方，按不超过审定实际投资额的10%给予资金支持，支持总额不超过500万元。</w:t>
      </w:r>
    </w:p>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支持国际商协会集聚发展</w:t>
      </w:r>
    </w:p>
    <w:p>
      <w:pPr>
        <w:spacing w:after="0" w:line="560" w:lineRule="exact"/>
        <w:ind w:firstLine="640" w:firstLineChars="200"/>
        <w:rPr>
          <w:rFonts w:eastAsia="仿宋_GB2312"/>
          <w:sz w:val="32"/>
          <w:szCs w:val="32"/>
        </w:rPr>
      </w:pPr>
      <w:bookmarkStart w:id="22" w:name="_Hlk212660248"/>
      <w:r>
        <w:rPr>
          <w:rFonts w:hint="eastAsia" w:eastAsia="仿宋_GB2312"/>
          <w:sz w:val="32"/>
          <w:szCs w:val="32"/>
        </w:rPr>
        <w:t>支持国际商会、行业协会等组织符合昌平区产业发展定位和方向的行业</w:t>
      </w:r>
      <w:r>
        <w:rPr>
          <w:rFonts w:hint="eastAsia" w:eastAsia="仿宋_GB2312"/>
          <w:sz w:val="32"/>
          <w:szCs w:val="32"/>
          <w:lang w:val="en-US" w:eastAsia="zh-CN"/>
        </w:rPr>
        <w:t>大会</w:t>
      </w:r>
      <w:r>
        <w:rPr>
          <w:rFonts w:hint="eastAsia" w:eastAsia="仿宋_GB2312"/>
          <w:sz w:val="32"/>
          <w:szCs w:val="32"/>
        </w:rPr>
        <w:t>、专业</w:t>
      </w:r>
      <w:r>
        <w:rPr>
          <w:rFonts w:hint="eastAsia" w:eastAsia="仿宋_GB2312"/>
          <w:sz w:val="32"/>
          <w:szCs w:val="32"/>
          <w:lang w:val="en-US" w:eastAsia="zh-CN"/>
        </w:rPr>
        <w:t>沙龙</w:t>
      </w:r>
      <w:r>
        <w:rPr>
          <w:rFonts w:hint="eastAsia" w:eastAsia="仿宋_GB2312"/>
          <w:sz w:val="32"/>
          <w:szCs w:val="32"/>
        </w:rPr>
        <w:t>、全球企业走访等活动，</w:t>
      </w:r>
      <w:bookmarkStart w:id="23" w:name="_Hlk215163156"/>
      <w:r>
        <w:rPr>
          <w:rFonts w:hint="eastAsia" w:eastAsia="仿宋_GB2312"/>
          <w:sz w:val="32"/>
          <w:szCs w:val="32"/>
        </w:rPr>
        <w:t>按活动实际投入的20%给予资金支持，每个活动最高支持20万元，每家国际商会、行业协会每年最高不超过50万元。</w:t>
      </w:r>
      <w:bookmarkEnd w:id="23"/>
    </w:p>
    <w:bookmarkEnd w:id="22"/>
    <w:p>
      <w:pPr>
        <w:spacing w:after="0"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支持企业出海参展</w:t>
      </w:r>
    </w:p>
    <w:p>
      <w:pPr>
        <w:spacing w:after="0" w:line="560" w:lineRule="exact"/>
        <w:ind w:firstLine="640" w:firstLineChars="200"/>
        <w:rPr>
          <w:rFonts w:eastAsia="仿宋_GB2312"/>
          <w:sz w:val="32"/>
          <w:szCs w:val="32"/>
        </w:rPr>
      </w:pPr>
      <w:r>
        <w:rPr>
          <w:rFonts w:hint="eastAsia" w:eastAsia="仿宋_GB2312"/>
          <w:sz w:val="32"/>
          <w:szCs w:val="32"/>
        </w:rPr>
        <w:t>鼓励货物贸易、服务贸易企业赴境外参加国际性展会，对于企业所发生的相关费用等，按照不超过实际发生金额的40%给予</w:t>
      </w:r>
      <w:bookmarkStart w:id="24" w:name="_Hlk215163502"/>
      <w:r>
        <w:rPr>
          <w:rFonts w:hint="eastAsia" w:eastAsia="仿宋_GB2312"/>
          <w:sz w:val="32"/>
          <w:szCs w:val="32"/>
        </w:rPr>
        <w:t>资金支持</w:t>
      </w:r>
      <w:bookmarkEnd w:id="24"/>
      <w:r>
        <w:rPr>
          <w:rFonts w:hint="eastAsia" w:eastAsia="仿宋_GB2312"/>
          <w:sz w:val="32"/>
          <w:szCs w:val="32"/>
        </w:rPr>
        <w:t>，每家企业每年度支持总金额不超过30万元。</w:t>
      </w:r>
    </w:p>
    <w:p>
      <w:pPr>
        <w:spacing w:after="0"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lang w:val="en-US" w:eastAsia="zh-CN"/>
        </w:rPr>
        <w:t>二</w:t>
      </w:r>
      <w:r>
        <w:rPr>
          <w:rFonts w:ascii="黑体" w:hAnsi="黑体" w:eastAsia="黑体"/>
          <w:sz w:val="32"/>
          <w:szCs w:val="32"/>
        </w:rPr>
        <w:t>、附则</w:t>
      </w:r>
      <w:r>
        <w:rPr>
          <w:rFonts w:ascii="Cambria Math" w:hAnsi="Cambria Math" w:eastAsia="黑体" w:cs="Cambria Math"/>
          <w:sz w:val="32"/>
          <w:szCs w:val="32"/>
        </w:rPr>
        <w:t>​</w:t>
      </w:r>
    </w:p>
    <w:p>
      <w:pPr>
        <w:spacing w:after="0" w:line="560" w:lineRule="exact"/>
        <w:ind w:firstLine="640" w:firstLineChars="200"/>
        <w:outlineLvl w:val="1"/>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一</w:t>
      </w:r>
      <w:r>
        <w:rPr>
          <w:rFonts w:hint="eastAsia" w:eastAsia="仿宋_GB2312"/>
          <w:sz w:val="32"/>
          <w:szCs w:val="32"/>
          <w:lang w:eastAsia="zh-CN"/>
        </w:rPr>
        <w:t>）</w:t>
      </w:r>
      <w:r>
        <w:rPr>
          <w:rFonts w:hint="eastAsia" w:eastAsia="仿宋_GB2312"/>
          <w:sz w:val="32"/>
          <w:szCs w:val="32"/>
        </w:rPr>
        <w:t>本措施适用于依法完成登记注册等相关工作，并实际经营且从事商务经济相关领域的市场主体，包括但不限于具有独立法人资格的企业及其在本地设立的分支机构</w:t>
      </w:r>
      <w:r>
        <w:rPr>
          <w:rFonts w:eastAsia="仿宋_GB2312"/>
          <w:sz w:val="32"/>
          <w:szCs w:val="32"/>
        </w:rPr>
        <w:t>。</w:t>
      </w:r>
    </w:p>
    <w:p>
      <w:pPr>
        <w:spacing w:after="0" w:line="560" w:lineRule="exact"/>
        <w:ind w:firstLine="640" w:firstLineChars="200"/>
        <w:outlineLvl w:val="1"/>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二）</w:t>
      </w:r>
      <w:r>
        <w:rPr>
          <w:rFonts w:hint="eastAsia" w:eastAsia="仿宋_GB2312"/>
          <w:sz w:val="32"/>
          <w:szCs w:val="32"/>
        </w:rPr>
        <w:t>本政策自发布之日起实施，试行1年，相关细则与申报指南由北京市昌平区商务局另行制定。政策实施期间，根据行业发展重大变化或上级政策调整，由牵头部门提议，经昌平区政府相关决议程序后予以修订。本政策由北京市昌平区商务局负责解释。</w:t>
      </w:r>
    </w:p>
    <w:p>
      <w:pPr>
        <w:spacing w:after="0" w:line="560" w:lineRule="exact"/>
        <w:ind w:firstLine="640" w:firstLineChars="200"/>
        <w:outlineLvl w:val="1"/>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三）</w:t>
      </w:r>
      <w:r>
        <w:rPr>
          <w:rFonts w:hint="eastAsia" w:eastAsia="仿宋_GB2312"/>
          <w:sz w:val="32"/>
          <w:szCs w:val="32"/>
        </w:rPr>
        <w:t>本措施各项条款的支持</w:t>
      </w:r>
      <w:r>
        <w:rPr>
          <w:rFonts w:hint="eastAsia" w:eastAsia="仿宋_GB2312"/>
          <w:sz w:val="32"/>
          <w:szCs w:val="32"/>
          <w:lang w:val="en-US" w:eastAsia="zh-CN"/>
        </w:rPr>
        <w:t>资金均</w:t>
      </w:r>
      <w:r>
        <w:rPr>
          <w:rFonts w:hint="eastAsia" w:eastAsia="仿宋_GB2312"/>
          <w:sz w:val="32"/>
          <w:szCs w:val="32"/>
        </w:rPr>
        <w:t>以万元为</w:t>
      </w:r>
      <w:r>
        <w:rPr>
          <w:rFonts w:hint="eastAsia" w:eastAsia="仿宋_GB2312"/>
          <w:sz w:val="32"/>
          <w:szCs w:val="32"/>
          <w:lang w:val="en-US" w:eastAsia="zh-CN"/>
        </w:rPr>
        <w:t>计算</w:t>
      </w:r>
      <w:r>
        <w:rPr>
          <w:rFonts w:hint="eastAsia" w:eastAsia="仿宋_GB2312"/>
          <w:sz w:val="32"/>
          <w:szCs w:val="32"/>
        </w:rPr>
        <w:t>单位，单个项目补助金额低于</w:t>
      </w:r>
      <w:r>
        <w:rPr>
          <w:rFonts w:hint="eastAsia" w:eastAsia="仿宋_GB2312"/>
          <w:sz w:val="32"/>
          <w:szCs w:val="32"/>
          <w:lang w:val="en-US" w:eastAsia="zh-CN"/>
        </w:rPr>
        <w:t>1万</w:t>
      </w:r>
      <w:r>
        <w:rPr>
          <w:rFonts w:hint="eastAsia" w:eastAsia="仿宋_GB2312"/>
          <w:sz w:val="32"/>
          <w:szCs w:val="32"/>
        </w:rPr>
        <w:t>元的</w:t>
      </w:r>
      <w:r>
        <w:rPr>
          <w:rFonts w:hint="eastAsia" w:eastAsia="仿宋_GB2312"/>
          <w:sz w:val="32"/>
          <w:szCs w:val="32"/>
          <w:lang w:eastAsia="zh-CN"/>
        </w:rPr>
        <w:t>，</w:t>
      </w:r>
      <w:r>
        <w:rPr>
          <w:rFonts w:hint="eastAsia" w:eastAsia="仿宋_GB2312"/>
          <w:sz w:val="32"/>
          <w:szCs w:val="32"/>
        </w:rPr>
        <w:t>不予补助。</w:t>
      </w:r>
    </w:p>
    <w:p>
      <w:pPr>
        <w:spacing w:after="0" w:line="560" w:lineRule="exact"/>
        <w:ind w:firstLine="640" w:firstLineChars="200"/>
        <w:outlineLvl w:val="1"/>
        <w:rPr>
          <w:rFonts w:eastAsia="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eastAsia="仿宋_GB2312"/>
          <w:sz w:val="32"/>
          <w:szCs w:val="32"/>
          <w:highlight w:val="none"/>
        </w:rPr>
        <w:t>同一项目、同一</w:t>
      </w:r>
      <w:r>
        <w:rPr>
          <w:rFonts w:hint="eastAsia" w:eastAsia="仿宋_GB2312"/>
          <w:sz w:val="32"/>
          <w:szCs w:val="32"/>
          <w:highlight w:val="none"/>
          <w:lang w:val="en-US" w:eastAsia="zh-CN"/>
        </w:rPr>
        <w:t>事项同时</w:t>
      </w:r>
      <w:r>
        <w:rPr>
          <w:rFonts w:eastAsia="仿宋_GB2312"/>
          <w:sz w:val="32"/>
          <w:szCs w:val="32"/>
          <w:highlight w:val="none"/>
        </w:rPr>
        <w:t>符合本措施多项政策或昌平区其他扶持政策的，</w:t>
      </w:r>
      <w:bookmarkStart w:id="25" w:name="_GoBack"/>
      <w:bookmarkEnd w:id="25"/>
      <w:r>
        <w:rPr>
          <w:rFonts w:hint="eastAsia" w:eastAsia="仿宋_GB2312"/>
          <w:sz w:val="32"/>
          <w:szCs w:val="32"/>
          <w:highlight w:val="none"/>
          <w:lang w:val="en-US" w:eastAsia="zh-CN"/>
        </w:rPr>
        <w:t>除特别说明可叠加享受的外，</w:t>
      </w:r>
      <w:r>
        <w:rPr>
          <w:rFonts w:eastAsia="仿宋_GB2312"/>
          <w:sz w:val="32"/>
          <w:szCs w:val="32"/>
          <w:highlight w:val="none"/>
        </w:rPr>
        <w:t>按照 “从优不重复” 原则</w:t>
      </w:r>
      <w:r>
        <w:rPr>
          <w:rFonts w:hint="eastAsia" w:eastAsia="仿宋_GB2312"/>
          <w:sz w:val="32"/>
          <w:szCs w:val="32"/>
          <w:highlight w:val="none"/>
          <w:lang w:val="en-US" w:eastAsia="zh-CN"/>
        </w:rPr>
        <w:t>予以执行</w:t>
      </w:r>
      <w:r>
        <w:rPr>
          <w:rFonts w:eastAsia="仿宋_GB2312"/>
          <w:sz w:val="32"/>
          <w:szCs w:val="32"/>
          <w:highlight w:val="none"/>
        </w:rPr>
        <w:t>。</w:t>
      </w:r>
      <w:r>
        <w:rPr>
          <w:rFonts w:eastAsia="仿宋_GB2312"/>
          <w:sz w:val="32"/>
          <w:szCs w:val="32"/>
        </w:rPr>
        <w:t>符合北京市其他扶持政策规定的，可申请同时享受市、区两级政策支持，另有规定的除外。</w:t>
      </w:r>
    </w:p>
    <w:p>
      <w:pPr>
        <w:spacing w:after="0" w:line="560" w:lineRule="exact"/>
        <w:ind w:firstLine="640" w:firstLineChars="200"/>
        <w:outlineLvl w:val="1"/>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五）</w:t>
      </w:r>
      <w:r>
        <w:rPr>
          <w:rFonts w:hint="eastAsia" w:eastAsia="仿宋_GB2312"/>
          <w:sz w:val="32"/>
          <w:szCs w:val="32"/>
        </w:rPr>
        <w:t>2023年10月印发的《昌平区加快建设国际消费中心城市融合消费创新示范区若干促进措施》(昌政办发〔2023〕16号)同时废止。</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宋体"/>
    <w:panose1 w:val="020B0400000000000000"/>
    <w:charset w:val="86"/>
    <w:family w:val="roman"/>
    <w:pitch w:val="default"/>
    <w:sig w:usb0="00000000" w:usb1="00000000" w:usb2="00000017"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A4"/>
    <w:rsid w:val="00033DC3"/>
    <w:rsid w:val="00047AD7"/>
    <w:rsid w:val="000521F8"/>
    <w:rsid w:val="000846CD"/>
    <w:rsid w:val="000C2398"/>
    <w:rsid w:val="000D0C8A"/>
    <w:rsid w:val="000F378D"/>
    <w:rsid w:val="0011071F"/>
    <w:rsid w:val="001464BB"/>
    <w:rsid w:val="00146B41"/>
    <w:rsid w:val="0015354C"/>
    <w:rsid w:val="001A07E2"/>
    <w:rsid w:val="001F6BEC"/>
    <w:rsid w:val="002453AC"/>
    <w:rsid w:val="00254FE1"/>
    <w:rsid w:val="0028584E"/>
    <w:rsid w:val="002A30AF"/>
    <w:rsid w:val="002A68EA"/>
    <w:rsid w:val="002B572C"/>
    <w:rsid w:val="002D13FD"/>
    <w:rsid w:val="002E6C63"/>
    <w:rsid w:val="00332F60"/>
    <w:rsid w:val="003439D8"/>
    <w:rsid w:val="00394F98"/>
    <w:rsid w:val="003A3479"/>
    <w:rsid w:val="003C0984"/>
    <w:rsid w:val="003C2916"/>
    <w:rsid w:val="0041328E"/>
    <w:rsid w:val="00416A1F"/>
    <w:rsid w:val="004175D6"/>
    <w:rsid w:val="00464B71"/>
    <w:rsid w:val="004755AA"/>
    <w:rsid w:val="004A70CE"/>
    <w:rsid w:val="0053596C"/>
    <w:rsid w:val="005D1AB3"/>
    <w:rsid w:val="005E79BA"/>
    <w:rsid w:val="00630362"/>
    <w:rsid w:val="0063132D"/>
    <w:rsid w:val="006466CD"/>
    <w:rsid w:val="00664E45"/>
    <w:rsid w:val="00680FFF"/>
    <w:rsid w:val="006D5596"/>
    <w:rsid w:val="006E2666"/>
    <w:rsid w:val="006E321E"/>
    <w:rsid w:val="00710D64"/>
    <w:rsid w:val="007342BB"/>
    <w:rsid w:val="00794F87"/>
    <w:rsid w:val="00897975"/>
    <w:rsid w:val="009076FC"/>
    <w:rsid w:val="0091408D"/>
    <w:rsid w:val="009145F3"/>
    <w:rsid w:val="00925803"/>
    <w:rsid w:val="00935978"/>
    <w:rsid w:val="00967C0F"/>
    <w:rsid w:val="00985625"/>
    <w:rsid w:val="009A0E6D"/>
    <w:rsid w:val="009A722E"/>
    <w:rsid w:val="009B4D5E"/>
    <w:rsid w:val="009C2127"/>
    <w:rsid w:val="009C3BB6"/>
    <w:rsid w:val="009D1AC9"/>
    <w:rsid w:val="009E50F3"/>
    <w:rsid w:val="00A72FBA"/>
    <w:rsid w:val="00A7347B"/>
    <w:rsid w:val="00AB1CF3"/>
    <w:rsid w:val="00AB5FA4"/>
    <w:rsid w:val="00AC2A86"/>
    <w:rsid w:val="00AC4328"/>
    <w:rsid w:val="00AE6E05"/>
    <w:rsid w:val="00AE7C23"/>
    <w:rsid w:val="00AF2805"/>
    <w:rsid w:val="00AF4D9E"/>
    <w:rsid w:val="00B0040F"/>
    <w:rsid w:val="00B07DE1"/>
    <w:rsid w:val="00B73E08"/>
    <w:rsid w:val="00B82D58"/>
    <w:rsid w:val="00BA4DF3"/>
    <w:rsid w:val="00C17110"/>
    <w:rsid w:val="00C27FEE"/>
    <w:rsid w:val="00C34667"/>
    <w:rsid w:val="00C54151"/>
    <w:rsid w:val="00C96A55"/>
    <w:rsid w:val="00CD2F10"/>
    <w:rsid w:val="00CE221A"/>
    <w:rsid w:val="00D42480"/>
    <w:rsid w:val="00D55088"/>
    <w:rsid w:val="00D55DBE"/>
    <w:rsid w:val="00D82454"/>
    <w:rsid w:val="00D84445"/>
    <w:rsid w:val="00D87370"/>
    <w:rsid w:val="00DB6025"/>
    <w:rsid w:val="00DE1AEF"/>
    <w:rsid w:val="00DE3DCF"/>
    <w:rsid w:val="00E175FD"/>
    <w:rsid w:val="00E46D9F"/>
    <w:rsid w:val="00E6151C"/>
    <w:rsid w:val="00E744D3"/>
    <w:rsid w:val="00E7490B"/>
    <w:rsid w:val="00EB74C1"/>
    <w:rsid w:val="00F046F0"/>
    <w:rsid w:val="00FA336A"/>
    <w:rsid w:val="0DFF6AAF"/>
    <w:rsid w:val="12BF010B"/>
    <w:rsid w:val="19031A95"/>
    <w:rsid w:val="1EAF09E7"/>
    <w:rsid w:val="1FD75BB6"/>
    <w:rsid w:val="23963804"/>
    <w:rsid w:val="252C7316"/>
    <w:rsid w:val="2AED58C2"/>
    <w:rsid w:val="2AFB7D1B"/>
    <w:rsid w:val="2CC15D95"/>
    <w:rsid w:val="2FA33530"/>
    <w:rsid w:val="2FBEBB4A"/>
    <w:rsid w:val="377DEF7A"/>
    <w:rsid w:val="3AA5F27E"/>
    <w:rsid w:val="3B7AA89E"/>
    <w:rsid w:val="3E77A7E2"/>
    <w:rsid w:val="3EB58FB6"/>
    <w:rsid w:val="3FEE38AE"/>
    <w:rsid w:val="4EFE755C"/>
    <w:rsid w:val="4FF0F208"/>
    <w:rsid w:val="50A22D27"/>
    <w:rsid w:val="51E36F73"/>
    <w:rsid w:val="55696FED"/>
    <w:rsid w:val="55B34720"/>
    <w:rsid w:val="55CD83AB"/>
    <w:rsid w:val="567DECDA"/>
    <w:rsid w:val="5AAFEAAE"/>
    <w:rsid w:val="5F7FCDC5"/>
    <w:rsid w:val="5FEE4321"/>
    <w:rsid w:val="61DDAF51"/>
    <w:rsid w:val="6747F9FF"/>
    <w:rsid w:val="67F3F8EC"/>
    <w:rsid w:val="6BBF3DC1"/>
    <w:rsid w:val="6BD73C1C"/>
    <w:rsid w:val="6DC2116C"/>
    <w:rsid w:val="713B4B46"/>
    <w:rsid w:val="75B7B74A"/>
    <w:rsid w:val="76D15854"/>
    <w:rsid w:val="77ADD95C"/>
    <w:rsid w:val="7AED8F94"/>
    <w:rsid w:val="7BFFCEB2"/>
    <w:rsid w:val="7D5F2AD2"/>
    <w:rsid w:val="7DE74974"/>
    <w:rsid w:val="7E6A4530"/>
    <w:rsid w:val="7FB68F94"/>
    <w:rsid w:val="7FDE2BBA"/>
    <w:rsid w:val="7FEBD760"/>
    <w:rsid w:val="7FEE1BCD"/>
    <w:rsid w:val="7FF695BE"/>
    <w:rsid w:val="7FFFAD6F"/>
    <w:rsid w:val="8AAF3C63"/>
    <w:rsid w:val="9FF75C4C"/>
    <w:rsid w:val="A1EF3508"/>
    <w:rsid w:val="A35B92B1"/>
    <w:rsid w:val="B9DE5D4E"/>
    <w:rsid w:val="B9F549FD"/>
    <w:rsid w:val="BEF7E595"/>
    <w:rsid w:val="BFDDBEF0"/>
    <w:rsid w:val="CFE911BA"/>
    <w:rsid w:val="D3FE4ECA"/>
    <w:rsid w:val="D7FEA334"/>
    <w:rsid w:val="EBEF8995"/>
    <w:rsid w:val="EE770548"/>
    <w:rsid w:val="EE7FF0C6"/>
    <w:rsid w:val="EF5BBB45"/>
    <w:rsid w:val="F67D34F9"/>
    <w:rsid w:val="F767746D"/>
    <w:rsid w:val="F76D276E"/>
    <w:rsid w:val="F7FF09F0"/>
    <w:rsid w:val="F8BBABBC"/>
    <w:rsid w:val="FA764A35"/>
    <w:rsid w:val="FABD8ABE"/>
    <w:rsid w:val="FC768145"/>
    <w:rsid w:val="FCCF7DE6"/>
    <w:rsid w:val="FCFF51B7"/>
    <w:rsid w:val="FD7F4BBE"/>
    <w:rsid w:val="FEBFE6E0"/>
    <w:rsid w:val="FEDE720E"/>
    <w:rsid w:val="FEF9A589"/>
    <w:rsid w:val="FFDD2EBE"/>
    <w:rsid w:val="FFFB5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480" w:after="80" w:line="240" w:lineRule="auto"/>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4">
    <w:name w:val="heading 2"/>
    <w:basedOn w:val="1"/>
    <w:next w:val="1"/>
    <w:link w:val="22"/>
    <w:semiHidden/>
    <w:unhideWhenUsed/>
    <w:qFormat/>
    <w:uiPriority w:val="9"/>
    <w:pPr>
      <w:keepNext/>
      <w:keepLines/>
      <w:spacing w:before="160" w:after="80" w:line="240" w:lineRule="auto"/>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5">
    <w:name w:val="heading 3"/>
    <w:basedOn w:val="1"/>
    <w:next w:val="1"/>
    <w:link w:val="23"/>
    <w:semiHidden/>
    <w:unhideWhenUsed/>
    <w:qFormat/>
    <w:uiPriority w:val="9"/>
    <w:pPr>
      <w:keepNext/>
      <w:keepLines/>
      <w:spacing w:before="160" w:after="80" w:line="240" w:lineRule="auto"/>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6">
    <w:name w:val="heading 4"/>
    <w:basedOn w:val="1"/>
    <w:next w:val="1"/>
    <w:link w:val="24"/>
    <w:semiHidden/>
    <w:unhideWhenUsed/>
    <w:qFormat/>
    <w:uiPriority w:val="9"/>
    <w:pPr>
      <w:keepNext/>
      <w:keepLines/>
      <w:spacing w:before="80" w:after="40" w:line="240" w:lineRule="auto"/>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7">
    <w:name w:val="heading 5"/>
    <w:basedOn w:val="1"/>
    <w:next w:val="1"/>
    <w:link w:val="25"/>
    <w:semiHidden/>
    <w:unhideWhenUsed/>
    <w:qFormat/>
    <w:uiPriority w:val="9"/>
    <w:pPr>
      <w:keepNext/>
      <w:keepLines/>
      <w:spacing w:before="80" w:after="40" w:line="240" w:lineRule="auto"/>
      <w:outlineLvl w:val="4"/>
    </w:pPr>
    <w:rPr>
      <w:rFonts w:asciiTheme="minorHAnsi" w:hAnsiTheme="minorHAnsi" w:eastAsiaTheme="minorEastAsia" w:cstheme="majorBidi"/>
      <w:color w:val="104862" w:themeColor="accent1" w:themeShade="BF"/>
      <w:sz w:val="24"/>
      <w14:ligatures w14:val="standardContextual"/>
    </w:rPr>
  </w:style>
  <w:style w:type="paragraph" w:styleId="8">
    <w:name w:val="heading 6"/>
    <w:basedOn w:val="1"/>
    <w:next w:val="1"/>
    <w:link w:val="26"/>
    <w:semiHidden/>
    <w:unhideWhenUsed/>
    <w:qFormat/>
    <w:uiPriority w:val="9"/>
    <w:pPr>
      <w:keepNext/>
      <w:keepLines/>
      <w:spacing w:before="40" w:after="0" w:line="240" w:lineRule="auto"/>
      <w:outlineLvl w:val="5"/>
    </w:pPr>
    <w:rPr>
      <w:rFonts w:asciiTheme="minorHAnsi" w:hAnsiTheme="minorHAnsi" w:eastAsiaTheme="minorEastAsia" w:cstheme="majorBidi"/>
      <w:b/>
      <w:bCs/>
      <w:color w:val="104862" w:themeColor="accent1" w:themeShade="BF"/>
      <w:szCs w:val="22"/>
      <w14:ligatures w14:val="standardContextual"/>
    </w:rPr>
  </w:style>
  <w:style w:type="paragraph" w:styleId="9">
    <w:name w:val="heading 7"/>
    <w:basedOn w:val="1"/>
    <w:next w:val="1"/>
    <w:link w:val="27"/>
    <w:semiHidden/>
    <w:unhideWhenUsed/>
    <w:qFormat/>
    <w:uiPriority w:val="9"/>
    <w:pPr>
      <w:keepNext/>
      <w:keepLines/>
      <w:spacing w:before="40" w:after="0" w:line="240" w:lineRule="auto"/>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10">
    <w:name w:val="heading 8"/>
    <w:basedOn w:val="1"/>
    <w:next w:val="1"/>
    <w:link w:val="28"/>
    <w:semiHidden/>
    <w:unhideWhenUsed/>
    <w:qFormat/>
    <w:uiPriority w:val="9"/>
    <w:pPr>
      <w:keepNext/>
      <w:keepLines/>
      <w:spacing w:after="0" w:line="240" w:lineRule="auto"/>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1">
    <w:name w:val="heading 9"/>
    <w:basedOn w:val="1"/>
    <w:next w:val="1"/>
    <w:link w:val="29"/>
    <w:semiHidden/>
    <w:unhideWhenUsed/>
    <w:qFormat/>
    <w:uiPriority w:val="9"/>
    <w:pPr>
      <w:keepNext/>
      <w:keepLines/>
      <w:spacing w:after="0" w:line="240" w:lineRule="auto"/>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link w:val="39"/>
    <w:semiHidden/>
    <w:unhideWhenUsed/>
    <w:qFormat/>
    <w:uiPriority w:val="99"/>
    <w:pPr>
      <w:spacing w:after="120"/>
    </w:pPr>
  </w:style>
  <w:style w:type="paragraph" w:styleId="12">
    <w:name w:val="annotation text"/>
    <w:basedOn w:val="1"/>
    <w:link w:val="44"/>
    <w:unhideWhenUsed/>
    <w:qFormat/>
    <w:uiPriority w:val="99"/>
    <w:pPr>
      <w:jc w:val="left"/>
    </w:pPr>
  </w:style>
  <w:style w:type="paragraph" w:styleId="13">
    <w:name w:val="footer"/>
    <w:basedOn w:val="1"/>
    <w:link w:val="42"/>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41"/>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1"/>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paragraph" w:styleId="17">
    <w:name w:val="annotation subject"/>
    <w:basedOn w:val="12"/>
    <w:next w:val="12"/>
    <w:link w:val="45"/>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3"/>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6"/>
    <w:semiHidden/>
    <w:qFormat/>
    <w:uiPriority w:val="9"/>
    <w:rPr>
      <w:rFonts w:cstheme="majorBidi"/>
      <w:color w:val="104862" w:themeColor="accent1" w:themeShade="BF"/>
      <w:sz w:val="28"/>
      <w:szCs w:val="28"/>
    </w:rPr>
  </w:style>
  <w:style w:type="character" w:customStyle="1" w:styleId="25">
    <w:name w:val="标题 5 字符"/>
    <w:basedOn w:val="19"/>
    <w:link w:val="7"/>
    <w:semiHidden/>
    <w:qFormat/>
    <w:uiPriority w:val="9"/>
    <w:rPr>
      <w:rFonts w:cstheme="majorBidi"/>
      <w:color w:val="104862" w:themeColor="accent1" w:themeShade="BF"/>
      <w:sz w:val="24"/>
      <w:szCs w:val="24"/>
    </w:rPr>
  </w:style>
  <w:style w:type="character" w:customStyle="1" w:styleId="26">
    <w:name w:val="标题 6 字符"/>
    <w:basedOn w:val="19"/>
    <w:link w:val="8"/>
    <w:semiHidden/>
    <w:qFormat/>
    <w:uiPriority w:val="9"/>
    <w:rPr>
      <w:rFonts w:cstheme="majorBidi"/>
      <w:b/>
      <w:bCs/>
      <w:color w:val="104862" w:themeColor="accent1" w:themeShade="BF"/>
    </w:rPr>
  </w:style>
  <w:style w:type="character" w:customStyle="1" w:styleId="27">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line="240" w:lineRule="auto"/>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0" w:line="240" w:lineRule="auto"/>
      <w:ind w:left="720"/>
      <w:contextualSpacing/>
    </w:pPr>
    <w:rPr>
      <w:rFonts w:asciiTheme="minorHAnsi" w:hAnsiTheme="minorHAnsi" w:eastAsiaTheme="minorEastAsia" w:cstheme="minorBidi"/>
      <w:szCs w:val="22"/>
      <w14:ligatures w14:val="standardContextual"/>
    </w:r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rFonts w:asciiTheme="minorHAnsi" w:hAnsiTheme="minorHAnsi" w:eastAsiaTheme="minorEastAsia" w:cstheme="minorBidi"/>
      <w:i/>
      <w:iCs/>
      <w:color w:val="104862" w:themeColor="accent1" w:themeShade="BF"/>
      <w:szCs w:val="22"/>
      <w14:ligatures w14:val="standardContextual"/>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正文文本 字符"/>
    <w:basedOn w:val="19"/>
    <w:link w:val="2"/>
    <w:semiHidden/>
    <w:qFormat/>
    <w:uiPriority w:val="99"/>
    <w:rPr>
      <w:rFonts w:ascii="Times New Roman" w:hAnsi="Times New Roman" w:eastAsia="宋体" w:cs="Times New Roman"/>
      <w:szCs w:val="24"/>
      <w14:ligatures w14:val="none"/>
    </w:rPr>
  </w:style>
  <w:style w:type="paragraph" w:customStyle="1" w:styleId="40">
    <w:name w:val="正文1"/>
    <w:qFormat/>
    <w:uiPriority w:val="0"/>
    <w:pPr>
      <w:framePr w:wrap="around" w:vAnchor="margin" w:hAnchor="text" w:y="1"/>
    </w:pPr>
    <w:rPr>
      <w:rFonts w:hint="eastAsia" w:ascii="Arial Unicode MS" w:hAnsi="Arial Unicode MS" w:eastAsia="PingFang SC Regular" w:cs="Arial Unicode MS"/>
      <w:color w:val="000000"/>
      <w:sz w:val="22"/>
      <w:szCs w:val="22"/>
      <w:lang w:val="zh-CN" w:eastAsia="zh-CN" w:bidi="ar-SA"/>
    </w:rPr>
  </w:style>
  <w:style w:type="character" w:customStyle="1" w:styleId="41">
    <w:name w:val="页眉 字符"/>
    <w:basedOn w:val="19"/>
    <w:link w:val="14"/>
    <w:qFormat/>
    <w:uiPriority w:val="99"/>
    <w:rPr>
      <w:rFonts w:ascii="Times New Roman" w:hAnsi="Times New Roman" w:eastAsia="宋体" w:cs="Times New Roman"/>
      <w:sz w:val="18"/>
      <w:szCs w:val="18"/>
      <w14:ligatures w14:val="none"/>
    </w:rPr>
  </w:style>
  <w:style w:type="character" w:customStyle="1" w:styleId="42">
    <w:name w:val="页脚 字符"/>
    <w:basedOn w:val="19"/>
    <w:link w:val="13"/>
    <w:qFormat/>
    <w:uiPriority w:val="99"/>
    <w:rPr>
      <w:rFonts w:ascii="Times New Roman" w:hAnsi="Times New Roman" w:eastAsia="宋体" w:cs="Times New Roman"/>
      <w:sz w:val="18"/>
      <w:szCs w:val="18"/>
      <w14:ligatures w14:val="none"/>
    </w:rPr>
  </w:style>
  <w:style w:type="paragraph" w:customStyle="1" w:styleId="4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批注文字 字符"/>
    <w:basedOn w:val="19"/>
    <w:link w:val="12"/>
    <w:qFormat/>
    <w:uiPriority w:val="99"/>
    <w:rPr>
      <w:rFonts w:ascii="Times New Roman" w:hAnsi="Times New Roman" w:eastAsia="宋体" w:cs="Times New Roman"/>
      <w:szCs w:val="24"/>
      <w14:ligatures w14:val="none"/>
    </w:rPr>
  </w:style>
  <w:style w:type="character" w:customStyle="1" w:styleId="45">
    <w:name w:val="批注主题 字符"/>
    <w:basedOn w:val="44"/>
    <w:link w:val="17"/>
    <w:semiHidden/>
    <w:qFormat/>
    <w:uiPriority w:val="99"/>
    <w:rPr>
      <w:rFonts w:ascii="Times New Roman" w:hAnsi="Times New Roman" w:eastAsia="宋体" w:cs="Times New Roman"/>
      <w:b/>
      <w:bCs/>
      <w:szCs w:val="24"/>
      <w14:ligatures w14:val="none"/>
    </w:rPr>
  </w:style>
  <w:style w:type="paragraph" w:customStyle="1" w:styleId="46">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E615EF27-00AA-47A8-8B14-CFF1A79B1CE9}">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1655</Words>
  <Characters>1756</Characters>
  <Lines>146</Lines>
  <Paragraphs>121</Paragraphs>
  <TotalTime>5</TotalTime>
  <ScaleCrop>false</ScaleCrop>
  <LinksUpToDate>false</LinksUpToDate>
  <CharactersWithSpaces>3290</CharactersWithSpaces>
  <Application>WPS Office_12.8.2.16984_F1E327BC-269C-435d-A152-05C5408002CA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2025-12-17T22:46:00Z</dcterms:created>
  <dc:creator>Tinsley Ma</dc:creator>
  <cp:lastModifiedBy>1</cp:lastModifiedBy>
  <cp:lastPrinted>2026-01-11T18:52:00Z</cp:lastPrinted>
  <dcterms:modified xsi:type="dcterms:W3CDTF">2026-02-01T08:58:41Z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eyJoZGlkIjoiYjgyOGQyODI3NTAyMDJjYmRjZmFkZWE1NDI5Y2Q4NDIiLCJ1c2VySWQiOiIxNjY2Mzk4MDY4In0=</vt:lpwstr>
  </property>
  <property fmtid="{D5CDD505-2E9C-101B-9397-08002B2CF9AE}" pid="3" name="KSOProductBuildVer">
    <vt:lpwstr>2052-12.8.2.16984</vt:lpwstr>
  </property>
  <property fmtid="{D5CDD505-2E9C-101B-9397-08002B2CF9AE}" pid="4" name="ICV">
    <vt:lpwstr>30172268B62EFAD71DAE70693BB6D3AF_43</vt:lpwstr>
  </property>
</Properties>
</file>