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73266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6"/>
        </w:rPr>
        <w:t>附件1</w:t>
      </w:r>
    </w:p>
    <w:p w14:paraId="1799A38C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Times New Roman" w:hAnsi="Times New Roman" w:eastAsia="方正小标宋简体" w:cs="Times New Roman"/>
          <w:color w:val="auto"/>
          <w:sz w:val="44"/>
          <w:szCs w:val="48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8"/>
        </w:rPr>
        <w:t>2026年“潮新春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8"/>
          <w:lang w:eastAsia="zh-CN"/>
        </w:rPr>
        <w:t>·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8"/>
        </w:rPr>
        <w:t>马上购”</w:t>
      </w:r>
      <w:r>
        <w:rPr>
          <w:rFonts w:ascii="Times New Roman" w:hAnsi="Times New Roman" w:eastAsia="方正小标宋简体" w:cs="Times New Roman"/>
          <w:color w:val="auto"/>
          <w:sz w:val="44"/>
          <w:szCs w:val="48"/>
        </w:rPr>
        <w:t>消费券发放方案</w:t>
      </w:r>
    </w:p>
    <w:p w14:paraId="3393ED3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（零售、餐饮、出行服务领域）</w:t>
      </w:r>
    </w:p>
    <w:p w14:paraId="0B931C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198" w:firstLineChars="62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</w:p>
    <w:p w14:paraId="26E8D4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营造浓郁春节</w:t>
      </w:r>
      <w:r>
        <w:rPr>
          <w:rFonts w:ascii="Times New Roman" w:hAnsi="Times New Roman" w:eastAsia="仿宋_GB2312" w:cs="Times New Roman"/>
          <w:color w:val="auto"/>
          <w:sz w:val="32"/>
        </w:rPr>
        <w:t>消费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氛围</w:t>
      </w:r>
      <w:r>
        <w:rPr>
          <w:rFonts w:ascii="Times New Roman" w:hAnsi="Times New Roman" w:eastAsia="仿宋_GB2312" w:cs="Times New Roman"/>
          <w:color w:val="auto"/>
          <w:sz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激发消费活力</w:t>
      </w:r>
      <w:r>
        <w:rPr>
          <w:rFonts w:ascii="Times New Roman" w:hAnsi="Times New Roman" w:eastAsia="仿宋_GB2312" w:cs="Times New Roman"/>
          <w:color w:val="auto"/>
          <w:sz w:val="32"/>
        </w:rPr>
        <w:t>，推动文商旅体业态融合发展，以“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节庆</w:t>
      </w:r>
      <w:r>
        <w:rPr>
          <w:rFonts w:ascii="Times New Roman" w:hAnsi="Times New Roman" w:eastAsia="仿宋_GB2312" w:cs="Times New Roman"/>
          <w:color w:val="auto"/>
          <w:sz w:val="32"/>
        </w:rPr>
        <w:t>+消费”助力区域经济高质量发展，朝阳区拟发放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2026年“潮新春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·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马上购”</w:t>
      </w:r>
      <w:r>
        <w:rPr>
          <w:rFonts w:ascii="Times New Roman" w:hAnsi="Times New Roman" w:eastAsia="仿宋_GB2312" w:cs="Times New Roman"/>
          <w:color w:val="auto"/>
          <w:sz w:val="32"/>
        </w:rPr>
        <w:t>消费券，现草拟《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2026年“潮新春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·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马上购”</w:t>
      </w:r>
      <w:r>
        <w:rPr>
          <w:rFonts w:ascii="Times New Roman" w:hAnsi="Times New Roman" w:eastAsia="仿宋_GB2312" w:cs="Times New Roman"/>
          <w:color w:val="auto"/>
          <w:sz w:val="32"/>
        </w:rPr>
        <w:t>消费券发放方案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（零售、餐饮、出行服务领域）</w:t>
      </w:r>
      <w:r>
        <w:rPr>
          <w:rFonts w:ascii="Times New Roman" w:hAnsi="Times New Roman" w:eastAsia="仿宋_GB2312" w:cs="Times New Roman"/>
          <w:color w:val="auto"/>
          <w:sz w:val="32"/>
        </w:rPr>
        <w:t>》。</w:t>
      </w:r>
    </w:p>
    <w:p w14:paraId="538485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</w:rPr>
      </w:pPr>
      <w:r>
        <w:rPr>
          <w:rFonts w:ascii="Times New Roman" w:hAnsi="Times New Roman" w:eastAsia="黑体" w:cs="Times New Roman"/>
          <w:color w:val="auto"/>
          <w:sz w:val="32"/>
        </w:rPr>
        <w:t>一、活动主题</w:t>
      </w:r>
      <w:r>
        <w:rPr>
          <w:rFonts w:hint="default" w:ascii="Times New Roman" w:hAnsi="Times New Roman" w:eastAsia="黑体" w:cs="Times New Roman"/>
          <w:color w:val="auto"/>
          <w:sz w:val="32"/>
        </w:rPr>
        <w:t xml:space="preserve">  </w:t>
      </w:r>
    </w:p>
    <w:p w14:paraId="301EAF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64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潮新春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·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马上购</w:t>
      </w:r>
    </w:p>
    <w:p w14:paraId="7184E7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</w:rPr>
      </w:pPr>
      <w:r>
        <w:rPr>
          <w:rFonts w:ascii="Times New Roman" w:hAnsi="Times New Roman" w:eastAsia="黑体" w:cs="Times New Roman"/>
          <w:color w:val="auto"/>
          <w:sz w:val="32"/>
        </w:rPr>
        <w:t>二、活动内容</w:t>
      </w:r>
    </w:p>
    <w:p w14:paraId="18DA39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contextualSpacing/>
        <w:textAlignment w:val="auto"/>
        <w:rPr>
          <w:rFonts w:ascii="Times New Roman" w:hAnsi="Times New Roman" w:eastAsia="楷体_GB2312" w:cs="Times New Roman"/>
          <w:color w:val="auto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</w:rPr>
        <w:t>（一）</w:t>
      </w:r>
      <w:r>
        <w:rPr>
          <w:rFonts w:ascii="Times New Roman" w:hAnsi="Times New Roman" w:eastAsia="楷体_GB2312" w:cs="Times New Roman"/>
          <w:color w:val="auto"/>
          <w:sz w:val="32"/>
        </w:rPr>
        <w:t>发放对象</w:t>
      </w:r>
    </w:p>
    <w:p w14:paraId="0A670A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自然人消费者。</w:t>
      </w:r>
    </w:p>
    <w:p w14:paraId="564D37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contextualSpacing/>
        <w:textAlignment w:val="auto"/>
        <w:rPr>
          <w:rFonts w:ascii="Times New Roman" w:hAnsi="Times New Roman" w:eastAsia="楷体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color w:val="auto"/>
          <w:sz w:val="32"/>
        </w:rPr>
        <w:t>（二）发放时间</w:t>
      </w:r>
    </w:p>
    <w:p w14:paraId="507504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6</w:t>
      </w:r>
      <w:r>
        <w:rPr>
          <w:rFonts w:ascii="Times New Roman" w:hAnsi="Times New Roman" w:eastAsia="仿宋_GB2312" w:cs="Times New Roman"/>
          <w:color w:val="auto"/>
          <w:sz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2月14日0时—3月3日24时。</w:t>
      </w:r>
    </w:p>
    <w:p w14:paraId="35D492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contextualSpacing/>
        <w:textAlignment w:val="auto"/>
        <w:rPr>
          <w:rFonts w:ascii="Times New Roman" w:hAnsi="Times New Roman" w:eastAsia="楷体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color w:val="auto"/>
          <w:sz w:val="32"/>
        </w:rPr>
        <w:t>（三）拟发放规模</w:t>
      </w:r>
    </w:p>
    <w:p w14:paraId="753E69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2026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“潮新春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·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马上购”</w:t>
      </w:r>
      <w:r>
        <w:rPr>
          <w:rFonts w:ascii="Times New Roman" w:hAnsi="Times New Roman" w:eastAsia="仿宋_GB2312" w:cs="Times New Roman"/>
          <w:color w:val="auto"/>
          <w:sz w:val="32"/>
        </w:rPr>
        <w:t>消费券零售</w:t>
      </w:r>
      <w:r>
        <w:rPr>
          <w:rFonts w:hint="default" w:ascii="Times New Roman" w:hAnsi="Times New Roman" w:eastAsia="楷体_GB2312" w:cs="Times New Roman"/>
          <w:color w:val="auto"/>
          <w:sz w:val="28"/>
          <w:szCs w:val="20"/>
        </w:rPr>
        <w:t>（不含汽车、投资类黄金）</w:t>
      </w:r>
      <w:r>
        <w:rPr>
          <w:rFonts w:ascii="Times New Roman" w:hAnsi="Times New Roman" w:eastAsia="仿宋_GB2312" w:cs="Times New Roman"/>
          <w:color w:val="auto"/>
          <w:sz w:val="32"/>
        </w:rPr>
        <w:t>、餐饮、出行服务领域共计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1000</w:t>
      </w:r>
      <w:r>
        <w:rPr>
          <w:rFonts w:ascii="Times New Roman" w:hAnsi="Times New Roman" w:eastAsia="仿宋_GB2312" w:cs="Times New Roman"/>
          <w:color w:val="auto"/>
          <w:sz w:val="32"/>
        </w:rPr>
        <w:t>万元，由朝阳区商务局负责组织发放。</w:t>
      </w:r>
    </w:p>
    <w:p w14:paraId="3A34FC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contextualSpacing/>
        <w:textAlignment w:val="auto"/>
        <w:rPr>
          <w:rFonts w:ascii="Times New Roman" w:hAnsi="Times New Roman" w:eastAsia="楷体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color w:val="auto"/>
          <w:sz w:val="32"/>
        </w:rPr>
        <w:t>（四）券面设置</w:t>
      </w:r>
    </w:p>
    <w:p w14:paraId="4E619E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1.零售</w:t>
      </w:r>
      <w:r>
        <w:rPr>
          <w:rFonts w:hint="default" w:ascii="Times New Roman" w:hAnsi="Times New Roman" w:eastAsia="楷体_GB2312" w:cs="Times New Roman"/>
          <w:color w:val="auto"/>
          <w:sz w:val="28"/>
          <w:szCs w:val="20"/>
        </w:rPr>
        <w:t>（不含汽车、投资类黄金）</w:t>
      </w:r>
      <w:r>
        <w:rPr>
          <w:rFonts w:ascii="Times New Roman" w:hAnsi="Times New Roman" w:eastAsia="仿宋_GB2312" w:cs="Times New Roman"/>
          <w:color w:val="auto"/>
          <w:sz w:val="32"/>
        </w:rPr>
        <w:t>、餐饮消费券</w:t>
      </w:r>
    </w:p>
    <w:p w14:paraId="1D4A7F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拟设置四档消费券面额：满200元减60元，满500元减150元，满1000元减300元，满2000元减600元。每笔订单仅可使用1张政府消费券。</w:t>
      </w:r>
    </w:p>
    <w:p w14:paraId="650F8A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2.出行服务消费券</w:t>
      </w:r>
    </w:p>
    <w:p w14:paraId="45F14B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拟设置一档消费券面额：无门槛立减10元。每笔订单仅可使用1张政府消费券。</w:t>
      </w:r>
    </w:p>
    <w:p w14:paraId="1F6D92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contextualSpacing/>
        <w:textAlignment w:val="auto"/>
        <w:rPr>
          <w:rFonts w:ascii="Times New Roman" w:hAnsi="Times New Roman" w:eastAsia="楷体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color w:val="auto"/>
          <w:sz w:val="32"/>
        </w:rPr>
        <w:t>（五）发放主体</w:t>
      </w:r>
    </w:p>
    <w:p w14:paraId="19052E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发放主体应具备消费券电子化发放和核销能力，能够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结合春节</w:t>
      </w:r>
      <w:r>
        <w:rPr>
          <w:rFonts w:ascii="Times New Roman" w:hAnsi="Times New Roman" w:eastAsia="仿宋_GB2312" w:cs="Times New Roman"/>
          <w:color w:val="auto"/>
          <w:sz w:val="32"/>
        </w:rPr>
        <w:t>策划促消费活动，突出体现消费券拉动作用。我局将结合企业申报情况，综合考虑经济拉动、知名度、影响力、配套资源等因素，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采用公开比选方式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选定发放主体。具体要求如下：</w:t>
      </w:r>
    </w:p>
    <w:p w14:paraId="2CF37C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1.零售</w:t>
      </w:r>
      <w:r>
        <w:rPr>
          <w:rFonts w:hint="default" w:ascii="Times New Roman" w:hAnsi="Times New Roman" w:eastAsia="楷体_GB2312" w:cs="Times New Roman"/>
          <w:color w:val="auto"/>
          <w:sz w:val="28"/>
          <w:szCs w:val="20"/>
        </w:rPr>
        <w:t>（不含汽车、投资类黄金）</w:t>
      </w:r>
      <w:r>
        <w:rPr>
          <w:rFonts w:ascii="Times New Roman" w:hAnsi="Times New Roman" w:eastAsia="仿宋_GB2312" w:cs="Times New Roman"/>
          <w:color w:val="auto"/>
          <w:sz w:val="32"/>
        </w:rPr>
        <w:t>、餐饮消费券</w:t>
      </w:r>
    </w:p>
    <w:p w14:paraId="252BD6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发放主体为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互联网或支付</w:t>
      </w:r>
      <w:r>
        <w:rPr>
          <w:rFonts w:ascii="Times New Roman" w:hAnsi="Times New Roman" w:eastAsia="仿宋_GB2312" w:cs="Times New Roman"/>
          <w:color w:val="auto"/>
          <w:sz w:val="32"/>
        </w:rPr>
        <w:t>平台，能够组织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在</w:t>
      </w:r>
      <w:r>
        <w:rPr>
          <w:rFonts w:ascii="Times New Roman" w:hAnsi="Times New Roman" w:eastAsia="仿宋_GB2312" w:cs="Times New Roman"/>
          <w:color w:val="auto"/>
          <w:sz w:val="32"/>
        </w:rPr>
        <w:t>朝阳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</w:t>
      </w:r>
      <w:r>
        <w:rPr>
          <w:rFonts w:ascii="Times New Roman" w:hAnsi="Times New Roman" w:eastAsia="仿宋_GB2312" w:cs="Times New Roman"/>
          <w:color w:val="auto"/>
          <w:sz w:val="32"/>
        </w:rPr>
        <w:t>规范经营的零售、餐饮商户积极参与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活动</w:t>
      </w:r>
      <w:r>
        <w:rPr>
          <w:rFonts w:ascii="Times New Roman" w:hAnsi="Times New Roman" w:eastAsia="仿宋_GB2312" w:cs="Times New Roman"/>
          <w:color w:val="auto"/>
          <w:sz w:val="32"/>
        </w:rPr>
        <w:t>。</w:t>
      </w:r>
    </w:p>
    <w:p w14:paraId="43065B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2.出行服务消费券</w:t>
      </w:r>
    </w:p>
    <w:p w14:paraId="5D7F90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发放主体为规范经营的出行服务平台，能够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通过手机地理位置定位及相关要素对消费者信息进行核验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7C0132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contextualSpacing/>
        <w:textAlignment w:val="auto"/>
        <w:rPr>
          <w:rFonts w:ascii="Times New Roman" w:hAnsi="Times New Roman" w:eastAsia="楷体_GB2312" w:cs="Times New Roman"/>
          <w:color w:val="auto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</w:rPr>
        <w:t>（六）</w:t>
      </w:r>
      <w:r>
        <w:rPr>
          <w:rFonts w:ascii="Times New Roman" w:hAnsi="Times New Roman" w:eastAsia="楷体_GB2312" w:cs="Times New Roman"/>
          <w:color w:val="auto"/>
          <w:sz w:val="32"/>
        </w:rPr>
        <w:t>参与规则</w:t>
      </w:r>
    </w:p>
    <w:p w14:paraId="52356D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1.发放规则：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由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朝阳区商务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局向全社会发放参与活动企业征集公告，区内规范经营的零售、餐饮企业自行向发放平台申报。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结合企业申报情况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朝阳区商务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局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1000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万元消费券额度使用权统筹分配至平台，由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对消费者进行公平公正公开的发放。</w:t>
      </w:r>
    </w:p>
    <w:p w14:paraId="0A6ECC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2.核销规则：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活动期间由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自行核销。结合活动进程，由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适时提交核销明细以及证明完成核销的材料</w:t>
      </w:r>
      <w:r>
        <w:rPr>
          <w:rFonts w:ascii="Times New Roman" w:hAnsi="Times New Roman" w:eastAsia="楷体_GB2312" w:cs="Times New Roman"/>
          <w:color w:val="auto"/>
          <w:sz w:val="28"/>
          <w:szCs w:val="28"/>
        </w:rPr>
        <w:t>（包括但不限于加盖单位公章的核销情况说明、核销明细等）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。政府委托第三方审核企业核销材料并按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%比例抽查核销明细。如材料或核销明细不齐全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或有误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，应由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退还相应金额。</w:t>
      </w:r>
    </w:p>
    <w:p w14:paraId="7E62A5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3.动态监管：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朝阳区商务局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对消费券发放情况进行动态监管，发放结束后，发券平台需及时向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局真实、准确提供核销情况。</w:t>
      </w:r>
    </w:p>
    <w:p w14:paraId="32CE3C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lang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其他说明：</w:t>
      </w:r>
    </w:p>
    <w:p w14:paraId="077A6D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（1）消费者获取消费券后，电子消费券不找零、不拆分、不转让、不重复使用，截屏、复制、修改、转发无效。每笔消费限用一张，可同时叠加活动商户的其它优惠活动。</w:t>
      </w:r>
    </w:p>
    <w:p w14:paraId="648882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（2）政府消费券核销的交易如发生退款、撤销，退款金额扣除核销的优惠金额后退回至消费者原付款卡，已核销的消费券资金需退回资金池。</w:t>
      </w:r>
    </w:p>
    <w:p w14:paraId="227470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3）活动期间，消费者与平台、参与商户应自觉遵守活动规则，坚决抵制消费券套利等违法违规行为。消费券仅限本人真实消费使用，禁止转售，不得用于购买购物卡、对虚拟账户充值、虚拟交易、自买自卖、刷单、分单、恶意套利等违反消费券发放规则、损害公共利益或其他违反国家法律法规的行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。一经发现取消补贴资格或采取限制领取、使用消费券等措施。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如存在违法违规行为造成严重后果的，将依法依规追究相应责任。</w:t>
      </w:r>
    </w:p>
    <w:p w14:paraId="13CA311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437E7A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YzFhMGNiNWM4NTJmYjVlYjgyODg0ZDA5YWE1YTMifQ=="/>
  </w:docVars>
  <w:rsids>
    <w:rsidRoot w:val="7C630494"/>
    <w:rsid w:val="7C63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2026-01-26T05:43:00Z</dcterms:created>
  <dc:creator>孙彤</dc:creator>
  <cp:lastModifiedBy>孙彤</cp:lastModifiedBy>
  <dcterms:modified xsi:type="dcterms:W3CDTF">2026-01-26T05:43:55Z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977BF5B38D0C42F3A9358AC7D1B64B61_11</vt:lpwstr>
  </property>
</Properties>
</file>