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00000"/>
          <w:kern w:val="0"/>
          <w:sz w:val="44"/>
          <w:szCs w:val="44"/>
        </w:rPr>
      </w:pPr>
    </w:p>
    <w:p>
      <w:pPr>
        <w:jc w:val="center"/>
        <w:rPr>
          <w:rFonts w:ascii="黑体" w:hAnsi="黑体" w:eastAsia="黑体"/>
          <w:color w:val="000000"/>
          <w:kern w:val="0"/>
          <w:sz w:val="44"/>
          <w:szCs w:val="44"/>
        </w:rPr>
      </w:pPr>
    </w:p>
    <w:p>
      <w:pPr>
        <w:jc w:val="center"/>
        <w:rPr>
          <w:rFonts w:ascii="黑体" w:hAnsi="黑体" w:eastAsia="黑体"/>
          <w:color w:val="000000"/>
          <w:kern w:val="0"/>
          <w:sz w:val="44"/>
          <w:szCs w:val="44"/>
        </w:rPr>
      </w:pPr>
    </w:p>
    <w:p>
      <w:pPr>
        <w:jc w:val="center"/>
        <w:rPr>
          <w:rFonts w:ascii="黑体" w:hAnsi="黑体" w:eastAsia="黑体"/>
          <w:color w:val="000000"/>
          <w:kern w:val="0"/>
          <w:sz w:val="44"/>
          <w:szCs w:val="44"/>
        </w:rPr>
      </w:pPr>
    </w:p>
    <w:p>
      <w:pPr>
        <w:jc w:val="center"/>
        <w:rPr>
          <w:rFonts w:ascii="黑体" w:hAnsi="黑体" w:eastAsia="黑体"/>
          <w:color w:val="000000"/>
          <w:kern w:val="0"/>
          <w:sz w:val="44"/>
          <w:szCs w:val="44"/>
        </w:rPr>
      </w:pPr>
    </w:p>
    <w:p>
      <w:pPr>
        <w:spacing w:before="0" w:after="0" w:line="560" w:lineRule="exact"/>
        <w:jc w:val="center"/>
        <w:rPr>
          <w:rFonts w:ascii="黑体" w:hAnsi="黑体" w:eastAsia="黑体"/>
          <w:color w:val="000000"/>
          <w:kern w:val="0"/>
          <w:sz w:val="44"/>
          <w:szCs w:val="44"/>
        </w:rPr>
      </w:pPr>
    </w:p>
    <w:p>
      <w:pPr>
        <w:spacing w:before="0" w:after="0"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eastAsia="zh-CN"/>
        </w:rPr>
        <w:t>北京市</w:t>
      </w:r>
      <w:r>
        <w:rPr>
          <w:rFonts w:hint="eastAsia" w:ascii="方正小标宋简体" w:hAnsi="方正小标宋简体" w:eastAsia="方正小标宋简体" w:cs="方正小标宋简体"/>
          <w:color w:val="000000"/>
          <w:kern w:val="0"/>
          <w:sz w:val="44"/>
          <w:szCs w:val="44"/>
        </w:rPr>
        <w:t>延庆区“十五五”时期社会治理规划</w:t>
      </w:r>
    </w:p>
    <w:p>
      <w:pPr>
        <w:spacing w:before="0" w:after="0" w:line="560" w:lineRule="exact"/>
        <w:jc w:val="center"/>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eastAsia="zh-CN"/>
        </w:rPr>
        <w:t>征求意见</w:t>
      </w:r>
      <w:r>
        <w:rPr>
          <w:rFonts w:hint="eastAsia" w:ascii="楷体_GB2312" w:hAnsi="楷体_GB2312" w:eastAsia="楷体_GB2312" w:cs="楷体_GB2312"/>
          <w:color w:val="000000"/>
          <w:kern w:val="0"/>
          <w:sz w:val="32"/>
          <w:szCs w:val="32"/>
        </w:rPr>
        <w:t>稿)</w:t>
      </w:r>
    </w:p>
    <w:p>
      <w:pPr>
        <w:spacing w:before="0" w:after="0" w:line="560" w:lineRule="exact"/>
        <w:jc w:val="center"/>
        <w:rPr>
          <w:rFonts w:ascii="黑体" w:hAnsi="黑体" w:eastAsia="黑体"/>
          <w:color w:val="000000"/>
          <w:kern w:val="0"/>
          <w:sz w:val="28"/>
          <w:szCs w:val="28"/>
        </w:rPr>
      </w:pPr>
    </w:p>
    <w:p>
      <w:pPr>
        <w:jc w:val="center"/>
        <w:rPr>
          <w:rFonts w:ascii="黑体" w:hAnsi="黑体" w:eastAsia="黑体"/>
          <w:color w:val="000000"/>
          <w:kern w:val="0"/>
          <w:sz w:val="28"/>
          <w:szCs w:val="28"/>
        </w:rPr>
      </w:pPr>
    </w:p>
    <w:p>
      <w:pPr>
        <w:jc w:val="center"/>
        <w:rPr>
          <w:rFonts w:ascii="黑体" w:hAnsi="黑体" w:eastAsia="黑体"/>
          <w:color w:val="000000"/>
          <w:kern w:val="0"/>
          <w:sz w:val="28"/>
          <w:szCs w:val="28"/>
        </w:rPr>
      </w:pPr>
    </w:p>
    <w:p>
      <w:pPr>
        <w:jc w:val="center"/>
        <w:rPr>
          <w:rFonts w:ascii="黑体" w:hAnsi="黑体" w:eastAsia="黑体"/>
          <w:color w:val="000000"/>
          <w:kern w:val="0"/>
          <w:sz w:val="28"/>
          <w:szCs w:val="28"/>
        </w:rPr>
      </w:pPr>
    </w:p>
    <w:p>
      <w:pPr>
        <w:jc w:val="center"/>
        <w:rPr>
          <w:rFonts w:ascii="黑体" w:hAnsi="黑体" w:eastAsia="黑体"/>
          <w:color w:val="000000"/>
          <w:kern w:val="0"/>
          <w:sz w:val="28"/>
          <w:szCs w:val="28"/>
        </w:rPr>
      </w:pPr>
    </w:p>
    <w:p>
      <w:pPr>
        <w:jc w:val="center"/>
        <w:rPr>
          <w:rFonts w:ascii="黑体" w:hAnsi="黑体" w:eastAsia="黑体"/>
          <w:color w:val="000000"/>
          <w:kern w:val="0"/>
          <w:sz w:val="28"/>
          <w:szCs w:val="28"/>
        </w:rPr>
      </w:pPr>
    </w:p>
    <w:p>
      <w:pPr>
        <w:jc w:val="center"/>
        <w:rPr>
          <w:rFonts w:ascii="黑体" w:hAnsi="黑体" w:eastAsia="黑体"/>
          <w:color w:val="000000"/>
          <w:kern w:val="0"/>
          <w:sz w:val="28"/>
          <w:szCs w:val="28"/>
        </w:rPr>
      </w:pPr>
    </w:p>
    <w:p>
      <w:pPr>
        <w:jc w:val="center"/>
        <w:rPr>
          <w:rFonts w:ascii="黑体" w:hAnsi="黑体" w:eastAsia="黑体"/>
          <w:color w:val="000000"/>
          <w:kern w:val="0"/>
          <w:sz w:val="28"/>
          <w:szCs w:val="28"/>
        </w:rPr>
      </w:pPr>
    </w:p>
    <w:p>
      <w:pPr>
        <w:jc w:val="center"/>
        <w:rPr>
          <w:rFonts w:ascii="黑体" w:hAnsi="黑体" w:eastAsia="黑体"/>
          <w:color w:val="000000"/>
          <w:kern w:val="0"/>
          <w:sz w:val="28"/>
          <w:szCs w:val="28"/>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二〇二</w:t>
      </w:r>
      <w:r>
        <w:rPr>
          <w:rFonts w:hint="eastAsia" w:ascii="黑体" w:hAnsi="黑体" w:eastAsia="黑体" w:cs="黑体"/>
          <w:sz w:val="32"/>
          <w:szCs w:val="32"/>
          <w:lang w:eastAsia="zh-CN"/>
        </w:rPr>
        <w:t>六</w:t>
      </w:r>
      <w:r>
        <w:rPr>
          <w:rFonts w:hint="eastAsia" w:ascii="黑体" w:hAnsi="黑体" w:eastAsia="黑体" w:cs="黑体"/>
          <w:sz w:val="32"/>
          <w:szCs w:val="32"/>
        </w:rPr>
        <w:t>年</w:t>
      </w:r>
      <w:r>
        <w:rPr>
          <w:rFonts w:hint="eastAsia" w:ascii="黑体" w:hAnsi="黑体" w:eastAsia="黑体" w:cs="黑体"/>
          <w:sz w:val="32"/>
          <w:szCs w:val="32"/>
          <w:lang w:eastAsia="zh-CN"/>
        </w:rPr>
        <w:t>一</w:t>
      </w:r>
      <w:r>
        <w:rPr>
          <w:rFonts w:hint="eastAsia" w:ascii="黑体" w:hAnsi="黑体" w:eastAsia="黑体" w:cs="黑体"/>
          <w:sz w:val="32"/>
          <w:szCs w:val="32"/>
        </w:rPr>
        <w:t>月</w:t>
      </w:r>
    </w:p>
    <w:p>
      <w:pPr>
        <w:tabs>
          <w:tab w:val="right" w:leader="dot" w:pos="8296"/>
        </w:tabs>
        <w:spacing w:before="0" w:after="0" w:line="560" w:lineRule="exact"/>
        <w:jc w:val="both"/>
        <w:rPr>
          <w:rFonts w:ascii="Times New Roman" w:hAnsi="Times New Roman" w:cs="Times New Roman"/>
          <w:color w:val="auto"/>
          <w:sz w:val="44"/>
        </w:rPr>
      </w:pPr>
    </w:p>
    <w:p>
      <w:pPr>
        <w:tabs>
          <w:tab w:val="right" w:leader="dot" w:pos="8296"/>
        </w:tabs>
        <w:spacing w:before="0" w:after="0" w:line="560" w:lineRule="exact"/>
        <w:jc w:val="center"/>
        <w:rPr>
          <w:rFonts w:ascii="Times New Roman" w:hAnsi="Times New Roman" w:cs="Times New Roman"/>
          <w:color w:val="auto"/>
          <w:sz w:val="44"/>
        </w:rPr>
      </w:pPr>
    </w:p>
    <w:p>
      <w:pPr>
        <w:pStyle w:val="2"/>
        <w:ind w:firstLine="600"/>
      </w:pPr>
    </w:p>
    <w:p>
      <w:pPr>
        <w:tabs>
          <w:tab w:val="right" w:leader="dot" w:pos="8296"/>
        </w:tabs>
        <w:spacing w:before="0" w:after="0" w:line="560" w:lineRule="exact"/>
        <w:jc w:val="center"/>
        <w:rPr>
          <w:rFonts w:ascii="Times New Roman" w:hAnsi="Times New Roman" w:eastAsia="方正小标宋简体" w:cs="Times New Roman"/>
          <w:color w:val="auto"/>
          <w:sz w:val="44"/>
        </w:rPr>
        <w:sectPr>
          <w:pgSz w:w="11906" w:h="16838"/>
          <w:pgMar w:top="2098" w:right="1474" w:bottom="1984" w:left="1587" w:header="851" w:footer="992" w:gutter="0"/>
          <w:pgNumType w:fmt="numberInDash"/>
          <w:cols w:space="0" w:num="1"/>
          <w:docGrid w:type="lines" w:linePitch="387" w:charSpace="0"/>
        </w:sectPr>
      </w:pPr>
    </w:p>
    <w:p>
      <w:pPr>
        <w:tabs>
          <w:tab w:val="right" w:leader="dot" w:pos="8296"/>
        </w:tabs>
        <w:spacing w:before="0" w:after="0" w:line="560" w:lineRule="exact"/>
        <w:jc w:val="center"/>
        <w:rPr>
          <w:rFonts w:ascii="Times New Roman" w:hAnsi="Times New Roman" w:cs="Times New Roman"/>
          <w:color w:val="auto"/>
          <w:sz w:val="44"/>
        </w:rPr>
      </w:pPr>
      <w:r>
        <w:rPr>
          <w:rFonts w:hint="eastAsia" w:ascii="Times New Roman" w:hAnsi="Times New Roman" w:eastAsia="方正小标宋简体" w:cs="Times New Roman"/>
          <w:color w:val="auto"/>
          <w:sz w:val="44"/>
        </w:rPr>
        <w:t>前  言</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“十五五”时期是我国向</w:t>
      </w:r>
      <w:r>
        <w:rPr>
          <w:rFonts w:hint="eastAsia" w:ascii="仿宋_GB2312" w:hAnsi="仿宋_GB2312" w:eastAsia="仿宋_GB2312" w:cs="仿宋_GB2312"/>
          <w:color w:val="auto"/>
          <w:sz w:val="32"/>
          <w:highlight w:val="none"/>
        </w:rPr>
        <w:t>2035</w:t>
      </w:r>
      <w:r>
        <w:rPr>
          <w:rFonts w:ascii="Times New Roman" w:hAnsi="Times New Roman" w:eastAsia="仿宋_GB2312" w:cs="Times New Roman"/>
          <w:color w:val="auto"/>
          <w:sz w:val="32"/>
          <w:highlight w:val="none"/>
        </w:rPr>
        <w:t>年基本实现社会主义现代化目标奋进的承前启后阶段，是基本实现社会主义现代化夯实基础、全面发力的关键时期</w:t>
      </w:r>
      <w:r>
        <w:rPr>
          <w:rFonts w:hint="eastAsia" w:ascii="Times New Roman" w:hAnsi="Times New Roman" w:eastAsia="仿宋_GB2312" w:cs="Times New Roman"/>
          <w:color w:val="auto"/>
          <w:sz w:val="32"/>
          <w:highlight w:val="none"/>
        </w:rPr>
        <w:t>，</w:t>
      </w:r>
      <w:r>
        <w:rPr>
          <w:rFonts w:ascii="Times New Roman" w:hAnsi="Times New Roman" w:eastAsia="仿宋_GB2312" w:cs="Times New Roman"/>
          <w:color w:val="auto"/>
          <w:sz w:val="32"/>
          <w:highlight w:val="none"/>
        </w:rPr>
        <w:t>对延庆区而言，更是</w:t>
      </w:r>
      <w:r>
        <w:rPr>
          <w:rFonts w:hint="eastAsia" w:ascii="Times New Roman" w:hAnsi="Times New Roman" w:eastAsia="仿宋_GB2312" w:cs="Times New Roman"/>
          <w:color w:val="auto"/>
          <w:sz w:val="32"/>
          <w:highlight w:val="none"/>
        </w:rPr>
        <w:t>基本建成生态文明幸福的最美冬奥城，建设国际一流的生态文明示范区</w:t>
      </w:r>
      <w:r>
        <w:rPr>
          <w:rFonts w:ascii="Times New Roman" w:hAnsi="Times New Roman" w:eastAsia="仿宋_GB2312" w:cs="Times New Roman"/>
          <w:color w:val="auto"/>
          <w:sz w:val="32"/>
          <w:highlight w:val="none"/>
        </w:rPr>
        <w:t>的关键五年。社会治理对延庆区产业发展、地区稳定和社会文明具有基础性的推动作用。立足新阶段，特编制本社会治理规划，为延庆</w:t>
      </w:r>
      <w:r>
        <w:rPr>
          <w:rFonts w:hint="eastAsia" w:ascii="Times New Roman" w:hAnsi="Times New Roman" w:eastAsia="仿宋_GB2312" w:cs="Times New Roman"/>
          <w:color w:val="auto"/>
          <w:sz w:val="32"/>
          <w:highlight w:val="none"/>
        </w:rPr>
        <w:t>区</w:t>
      </w:r>
      <w:r>
        <w:rPr>
          <w:rFonts w:ascii="Times New Roman" w:hAnsi="Times New Roman" w:eastAsia="仿宋_GB2312" w:cs="Times New Roman"/>
          <w:color w:val="auto"/>
          <w:sz w:val="32"/>
          <w:highlight w:val="none"/>
        </w:rPr>
        <w:t>有效应对社会结构深刻变化、精准回应人民美好生活新期待、系统构建</w:t>
      </w:r>
      <w:r>
        <w:rPr>
          <w:rFonts w:hint="eastAsia" w:ascii="Times New Roman" w:hAnsi="Times New Roman" w:eastAsia="仿宋_GB2312" w:cs="Times New Roman"/>
          <w:color w:val="auto"/>
          <w:sz w:val="32"/>
          <w:highlight w:val="none"/>
        </w:rPr>
        <w:t>共建共治共享</w:t>
      </w:r>
      <w:r>
        <w:rPr>
          <w:rFonts w:ascii="Times New Roman" w:hAnsi="Times New Roman" w:eastAsia="仿宋_GB2312" w:cs="Times New Roman"/>
          <w:color w:val="auto"/>
          <w:sz w:val="32"/>
          <w:highlight w:val="none"/>
        </w:rPr>
        <w:t>的社会治理共同体提供战略指引。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《北京市延庆区“十五五”时期社会治理规划》（以下简称《规划》）以习近平新时代中国特色社会主义思想为根本遵循，以推进社会治理体系与治理能力现代化为核心，系统描绘未来五年延庆</w:t>
      </w:r>
      <w:r>
        <w:rPr>
          <w:rFonts w:hint="eastAsia" w:ascii="Times New Roman" w:hAnsi="Times New Roman" w:eastAsia="仿宋_GB2312" w:cs="Times New Roman"/>
          <w:color w:val="auto"/>
          <w:sz w:val="32"/>
          <w:highlight w:val="none"/>
        </w:rPr>
        <w:t>区</w:t>
      </w:r>
      <w:r>
        <w:rPr>
          <w:rFonts w:ascii="Times New Roman" w:hAnsi="Times New Roman" w:eastAsia="仿宋_GB2312" w:cs="Times New Roman"/>
          <w:color w:val="auto"/>
          <w:sz w:val="32"/>
          <w:highlight w:val="none"/>
        </w:rPr>
        <w:t>社会治理的发展愿景与实践路径。《规划》依据</w:t>
      </w:r>
      <w:r>
        <w:rPr>
          <w:rFonts w:ascii="Times New Roman" w:hAnsi="Times New Roman" w:eastAsia="仿宋_GB2312" w:cs="Times New Roman"/>
          <w:color w:val="auto"/>
          <w:sz w:val="32"/>
          <w:highlight w:val="none"/>
          <w:shd w:val="clear"/>
        </w:rPr>
        <w:t>《中共中央关于制定国民经济和社会发展第十五个五年规划的建议》</w:t>
      </w:r>
      <w:bookmarkStart w:id="0" w:name="OLE_LINK10"/>
      <w:r>
        <w:rPr>
          <w:rFonts w:ascii="Times New Roman" w:hAnsi="Times New Roman" w:eastAsia="仿宋_GB2312" w:cs="Times New Roman"/>
          <w:color w:val="auto"/>
          <w:sz w:val="32"/>
          <w:highlight w:val="none"/>
          <w:shd w:val="clear"/>
        </w:rPr>
        <w:t>《中共北京市委关于制定北京市国民经济和社会发展第十五个五年规划的建议》</w:t>
      </w:r>
      <w:bookmarkEnd w:id="0"/>
      <w:r>
        <w:rPr>
          <w:rFonts w:ascii="Times New Roman" w:hAnsi="Times New Roman" w:eastAsia="仿宋_GB2312" w:cs="Times New Roman"/>
          <w:color w:val="auto"/>
          <w:sz w:val="32"/>
          <w:highlight w:val="none"/>
          <w:shd w:val="clear"/>
        </w:rPr>
        <w:t>《中共北京市</w:t>
      </w:r>
      <w:r>
        <w:rPr>
          <w:rFonts w:hint="eastAsia" w:ascii="Times New Roman" w:hAnsi="Times New Roman" w:eastAsia="仿宋_GB2312" w:cs="Times New Roman"/>
          <w:color w:val="auto"/>
          <w:sz w:val="32"/>
          <w:highlight w:val="none"/>
          <w:shd w:val="clear"/>
          <w:lang w:eastAsia="zh-CN"/>
        </w:rPr>
        <w:t>延庆区</w:t>
      </w:r>
      <w:r>
        <w:rPr>
          <w:rFonts w:ascii="Times New Roman" w:hAnsi="Times New Roman" w:eastAsia="仿宋_GB2312" w:cs="Times New Roman"/>
          <w:color w:val="auto"/>
          <w:sz w:val="32"/>
          <w:highlight w:val="none"/>
          <w:shd w:val="clear"/>
        </w:rPr>
        <w:t>委关于制定北京市</w:t>
      </w:r>
      <w:r>
        <w:rPr>
          <w:rFonts w:hint="eastAsia" w:ascii="Times New Roman" w:hAnsi="Times New Roman" w:eastAsia="仿宋_GB2312" w:cs="Times New Roman"/>
          <w:color w:val="auto"/>
          <w:sz w:val="32"/>
          <w:highlight w:val="none"/>
          <w:shd w:val="clear"/>
          <w:lang w:eastAsia="zh-CN"/>
        </w:rPr>
        <w:t>延庆区</w:t>
      </w:r>
      <w:r>
        <w:rPr>
          <w:rFonts w:ascii="Times New Roman" w:hAnsi="Times New Roman" w:eastAsia="仿宋_GB2312" w:cs="Times New Roman"/>
          <w:color w:val="auto"/>
          <w:sz w:val="32"/>
          <w:highlight w:val="none"/>
          <w:shd w:val="clear"/>
        </w:rPr>
        <w:t>国民经济和社会发展第十五个五年规划的建议》精神，</w:t>
      </w:r>
      <w:r>
        <w:rPr>
          <w:rFonts w:ascii="Times New Roman" w:hAnsi="Times New Roman" w:eastAsia="仿宋_GB2312" w:cs="Times New Roman"/>
          <w:color w:val="auto"/>
          <w:sz w:val="32"/>
          <w:highlight w:val="none"/>
        </w:rPr>
        <w:t>充分结合延庆区社会工作与社会治理的区域优势与特点，全面落实区委区政府战略部署，是“十五五”时期凝聚</w:t>
      </w:r>
      <w:r>
        <w:rPr>
          <w:rFonts w:hint="eastAsia" w:ascii="Times New Roman" w:hAnsi="Times New Roman" w:eastAsia="仿宋_GB2312" w:cs="Times New Roman"/>
          <w:color w:val="auto"/>
          <w:sz w:val="32"/>
          <w:highlight w:val="none"/>
        </w:rPr>
        <w:t>社会共识、促进社会参与、</w:t>
      </w:r>
      <w:r>
        <w:rPr>
          <w:rFonts w:ascii="Times New Roman" w:hAnsi="Times New Roman" w:eastAsia="仿宋_GB2312" w:cs="Times New Roman"/>
          <w:color w:val="auto"/>
          <w:sz w:val="32"/>
          <w:highlight w:val="none"/>
        </w:rPr>
        <w:t>完善共治格局、优化服务供给、深化党建引领</w:t>
      </w:r>
      <w:r>
        <w:rPr>
          <w:rFonts w:hint="eastAsia" w:ascii="Times New Roman" w:hAnsi="Times New Roman" w:eastAsia="仿宋_GB2312" w:cs="Times New Roman"/>
          <w:color w:val="auto"/>
          <w:sz w:val="32"/>
          <w:highlight w:val="none"/>
        </w:rPr>
        <w:t>的</w:t>
      </w:r>
      <w:r>
        <w:rPr>
          <w:rFonts w:ascii="Times New Roman" w:hAnsi="Times New Roman" w:eastAsia="仿宋_GB2312" w:cs="Times New Roman"/>
          <w:color w:val="auto"/>
          <w:sz w:val="32"/>
          <w:highlight w:val="none"/>
        </w:rPr>
        <w:t>行动方案</w:t>
      </w:r>
      <w:r>
        <w:rPr>
          <w:rFonts w:hint="eastAsia" w:ascii="Times New Roman" w:hAnsi="Times New Roman" w:eastAsia="仿宋_GB2312" w:cs="Times New Roman"/>
          <w:color w:val="auto"/>
          <w:sz w:val="32"/>
          <w:highlight w:val="none"/>
        </w:rPr>
        <w:t>，</w:t>
      </w:r>
      <w:r>
        <w:rPr>
          <w:rFonts w:ascii="Times New Roman" w:hAnsi="Times New Roman" w:eastAsia="仿宋_GB2312" w:cs="Times New Roman"/>
          <w:color w:val="auto"/>
          <w:sz w:val="32"/>
          <w:highlight w:val="none"/>
        </w:rPr>
        <w:t>为谱写中国式现代化延庆篇章奠定坚实的社会根基。</w:t>
      </w:r>
    </w:p>
    <w:p>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本规划实施期</w:t>
      </w:r>
      <w:r>
        <w:rPr>
          <w:rFonts w:hint="eastAsia" w:ascii="仿宋_GB2312" w:hAnsi="仿宋_GB2312" w:eastAsia="仿宋_GB2312" w:cs="仿宋_GB2312"/>
          <w:color w:val="auto"/>
          <w:sz w:val="32"/>
          <w:highlight w:val="none"/>
        </w:rPr>
        <w:t>限为2026年至2030年</w:t>
      </w:r>
      <w:r>
        <w:rPr>
          <w:rFonts w:ascii="Times New Roman" w:hAnsi="Times New Roman" w:eastAsia="仿宋_GB2312" w:cs="Times New Roman"/>
          <w:color w:val="auto"/>
          <w:sz w:val="32"/>
          <w:highlight w:val="none"/>
        </w:rPr>
        <w:t>。</w:t>
      </w:r>
    </w:p>
    <w:p>
      <w:pPr>
        <w:spacing w:before="0" w:after="0" w:line="560" w:lineRule="exact"/>
        <w:jc w:val="center"/>
        <w:rPr>
          <w:rFonts w:ascii="Times New Roman" w:hAnsi="Times New Roman" w:eastAsia="等线" w:cs="Times New Roman"/>
          <w:color w:val="auto"/>
          <w:sz w:val="32"/>
        </w:rPr>
      </w:pPr>
      <w:r>
        <w:rPr>
          <w:rFonts w:ascii="Times New Roman" w:hAnsi="Times New Roman" w:eastAsia="等线" w:cs="Times New Roman"/>
          <w:color w:val="auto"/>
          <w:sz w:val="32"/>
        </w:rPr>
        <w:t>目  录</w:t>
      </w:r>
    </w:p>
    <w:p>
      <w:pPr>
        <w:tabs>
          <w:tab w:val="left" w:pos="1350"/>
        </w:tabs>
        <w:spacing w:before="0" w:after="0" w:line="560" w:lineRule="exact"/>
        <w:ind w:firstLine="640" w:firstLineChars="200"/>
        <w:rPr>
          <w:rFonts w:ascii="Times New Roman" w:hAnsi="Times New Roman" w:eastAsia="等线" w:cs="Times New Roman"/>
          <w:color w:val="auto"/>
          <w:sz w:val="32"/>
        </w:rPr>
      </w:pPr>
      <w:r>
        <w:rPr>
          <w:rFonts w:ascii="Times New Roman" w:hAnsi="Times New Roman" w:eastAsia="等线" w:cs="Times New Roman"/>
          <w:color w:val="auto"/>
          <w:sz w:val="32"/>
        </w:rPr>
        <w:tab/>
      </w:r>
    </w:p>
    <w:p>
      <w:pPr>
        <w:pStyle w:val="18"/>
        <w:tabs>
          <w:tab w:val="right" w:leader="dot" w:pos="8302"/>
        </w:tabs>
        <w:rPr>
          <w:rFonts w:cstheme="minorBidi"/>
          <w:kern w:val="2"/>
          <w:sz w:val="21"/>
        </w:rPr>
      </w:pPr>
      <w:r>
        <w:rPr>
          <w:rFonts w:ascii="Times New Roman" w:hAnsi="Times New Roman" w:eastAsia="等线"/>
          <w:sz w:val="32"/>
        </w:rPr>
        <w:fldChar w:fldCharType="begin"/>
      </w:r>
      <w:r>
        <w:rPr>
          <w:rFonts w:ascii="Times New Roman" w:hAnsi="Times New Roman" w:eastAsia="等线"/>
          <w:sz w:val="32"/>
        </w:rPr>
        <w:instrText xml:space="preserve"> TOC \o "1-2" \h \z \u </w:instrText>
      </w:r>
      <w:r>
        <w:rPr>
          <w:rFonts w:ascii="Times New Roman" w:hAnsi="Times New Roman" w:eastAsia="等线"/>
          <w:sz w:val="32"/>
        </w:rPr>
        <w:fldChar w:fldCharType="separate"/>
      </w:r>
      <w:r>
        <w:fldChar w:fldCharType="begin"/>
      </w:r>
      <w:r>
        <w:instrText xml:space="preserve"> HYPERLINK \l "_Toc214629546" </w:instrText>
      </w:r>
      <w:r>
        <w:fldChar w:fldCharType="separate"/>
      </w:r>
      <w:r>
        <w:rPr>
          <w:rStyle w:val="28"/>
          <w:rFonts w:ascii="Times New Roman" w:hAnsi="Times New Roman" w:eastAsia="黑体"/>
        </w:rPr>
        <w:t>一、发展基础</w:t>
      </w:r>
      <w:r>
        <w:tab/>
      </w:r>
      <w:r>
        <w:rPr>
          <w:rFonts w:hint="eastAsia"/>
        </w:rPr>
        <w:t>1</w:t>
      </w:r>
      <w:r>
        <w:rPr>
          <w:rFonts w:hint="eastAsia"/>
        </w:rPr>
        <w:fldChar w:fldCharType="end"/>
      </w:r>
    </w:p>
    <w:p>
      <w:pPr>
        <w:pStyle w:val="18"/>
        <w:tabs>
          <w:tab w:val="right" w:leader="dot" w:pos="8302"/>
        </w:tabs>
        <w:rPr>
          <w:rFonts w:cstheme="minorBidi"/>
          <w:kern w:val="2"/>
          <w:sz w:val="21"/>
        </w:rPr>
      </w:pPr>
      <w:r>
        <w:fldChar w:fldCharType="begin"/>
      </w:r>
      <w:r>
        <w:instrText xml:space="preserve"> HYPERLINK \l "_Toc214629547" </w:instrText>
      </w:r>
      <w:r>
        <w:fldChar w:fldCharType="separate"/>
      </w:r>
      <w:r>
        <w:rPr>
          <w:rStyle w:val="28"/>
          <w:rFonts w:ascii="Times New Roman" w:hAnsi="Times New Roman" w:eastAsia="楷体_GB2312"/>
        </w:rPr>
        <w:t>（一）“十四五”时期社会治理取得的成绩</w:t>
      </w:r>
      <w:r>
        <w:tab/>
      </w:r>
      <w:r>
        <w:rPr>
          <w:rFonts w:hint="eastAsia"/>
        </w:rPr>
        <w:t>1</w:t>
      </w:r>
      <w:r>
        <w:rPr>
          <w:rFonts w:hint="eastAsia"/>
        </w:rPr>
        <w:fldChar w:fldCharType="end"/>
      </w:r>
    </w:p>
    <w:p>
      <w:pPr>
        <w:pStyle w:val="18"/>
        <w:tabs>
          <w:tab w:val="right" w:leader="dot" w:pos="8302"/>
        </w:tabs>
        <w:rPr>
          <w:rFonts w:cstheme="minorBidi"/>
          <w:kern w:val="2"/>
          <w:sz w:val="21"/>
        </w:rPr>
      </w:pPr>
      <w:r>
        <w:fldChar w:fldCharType="begin"/>
      </w:r>
      <w:r>
        <w:instrText xml:space="preserve"> HYPERLINK \l "_Toc214629548" </w:instrText>
      </w:r>
      <w:r>
        <w:fldChar w:fldCharType="separate"/>
      </w:r>
      <w:r>
        <w:rPr>
          <w:rStyle w:val="28"/>
          <w:rFonts w:ascii="Times New Roman" w:hAnsi="Times New Roman" w:eastAsia="楷体_GB2312"/>
        </w:rPr>
        <w:t>（二）当前社会治理面临的主要问题</w:t>
      </w:r>
      <w:r>
        <w:tab/>
      </w:r>
      <w:r>
        <w:rPr>
          <w:rFonts w:hint="eastAsia"/>
        </w:rPr>
        <w:t>4</w:t>
      </w:r>
      <w:r>
        <w:rPr>
          <w:rFonts w:hint="eastAsia"/>
        </w:rPr>
        <w:fldChar w:fldCharType="end"/>
      </w:r>
    </w:p>
    <w:p>
      <w:pPr>
        <w:pStyle w:val="18"/>
        <w:tabs>
          <w:tab w:val="right" w:leader="dot" w:pos="8302"/>
        </w:tabs>
        <w:rPr>
          <w:rFonts w:cstheme="minorBidi"/>
          <w:kern w:val="2"/>
          <w:sz w:val="21"/>
        </w:rPr>
      </w:pPr>
      <w:r>
        <w:fldChar w:fldCharType="begin"/>
      </w:r>
      <w:r>
        <w:instrText xml:space="preserve"> HYPERLINK \l "_Toc214629549" </w:instrText>
      </w:r>
      <w:r>
        <w:fldChar w:fldCharType="separate"/>
      </w:r>
      <w:r>
        <w:rPr>
          <w:rStyle w:val="28"/>
          <w:rFonts w:ascii="Times New Roman" w:hAnsi="Times New Roman" w:eastAsia="黑体"/>
        </w:rPr>
        <w:t>二、“十五五”</w:t>
      </w:r>
      <w:r>
        <w:rPr>
          <w:rStyle w:val="28"/>
          <w:rFonts w:hint="eastAsia" w:ascii="Times New Roman" w:hAnsi="Times New Roman" w:eastAsia="黑体"/>
        </w:rPr>
        <w:t>时期</w:t>
      </w:r>
      <w:r>
        <w:rPr>
          <w:rStyle w:val="28"/>
          <w:rFonts w:ascii="Times New Roman" w:hAnsi="Times New Roman" w:eastAsia="黑体"/>
        </w:rPr>
        <w:t>面临的形势与挑战</w:t>
      </w:r>
      <w:r>
        <w:tab/>
      </w:r>
      <w:r>
        <w:rPr>
          <w:rFonts w:hint="eastAsia"/>
        </w:rPr>
        <w:t>5</w:t>
      </w:r>
      <w:r>
        <w:rPr>
          <w:rFonts w:hint="eastAsia"/>
        </w:rPr>
        <w:fldChar w:fldCharType="end"/>
      </w:r>
    </w:p>
    <w:p>
      <w:pPr>
        <w:pStyle w:val="18"/>
        <w:tabs>
          <w:tab w:val="right" w:leader="dot" w:pos="8302"/>
        </w:tabs>
        <w:rPr>
          <w:rFonts w:cstheme="minorBidi"/>
          <w:kern w:val="2"/>
          <w:sz w:val="21"/>
        </w:rPr>
      </w:pPr>
      <w:r>
        <w:fldChar w:fldCharType="begin"/>
      </w:r>
      <w:r>
        <w:instrText xml:space="preserve"> HYPERLINK \l "_Toc214629550" </w:instrText>
      </w:r>
      <w:r>
        <w:fldChar w:fldCharType="separate"/>
      </w:r>
      <w:r>
        <w:rPr>
          <w:rStyle w:val="28"/>
          <w:rFonts w:ascii="Times New Roman" w:hAnsi="Times New Roman" w:eastAsia="楷体_GB2312"/>
        </w:rPr>
        <w:t>（一）社会治理面临的新形势</w:t>
      </w:r>
      <w:r>
        <w:tab/>
      </w:r>
      <w:r>
        <w:rPr>
          <w:rFonts w:hint="eastAsia"/>
        </w:rPr>
        <w:t>5</w:t>
      </w:r>
      <w:r>
        <w:rPr>
          <w:rFonts w:hint="eastAsia"/>
        </w:rPr>
        <w:fldChar w:fldCharType="end"/>
      </w:r>
    </w:p>
    <w:p>
      <w:pPr>
        <w:pStyle w:val="18"/>
        <w:tabs>
          <w:tab w:val="right" w:leader="dot" w:pos="8302"/>
        </w:tabs>
        <w:rPr>
          <w:rFonts w:cstheme="minorBidi"/>
          <w:kern w:val="2"/>
          <w:sz w:val="21"/>
        </w:rPr>
      </w:pPr>
      <w:r>
        <w:fldChar w:fldCharType="begin"/>
      </w:r>
      <w:r>
        <w:instrText xml:space="preserve"> HYPERLINK \l "_Toc214629551" </w:instrText>
      </w:r>
      <w:r>
        <w:fldChar w:fldCharType="separate"/>
      </w:r>
      <w:r>
        <w:rPr>
          <w:rStyle w:val="28"/>
          <w:rFonts w:ascii="Times New Roman" w:hAnsi="Times New Roman" w:eastAsia="楷体_GB2312"/>
        </w:rPr>
        <w:t>（二）</w:t>
      </w:r>
      <w:r>
        <w:rPr>
          <w:rStyle w:val="28"/>
          <w:rFonts w:hint="eastAsia" w:ascii="Times New Roman" w:hAnsi="Times New Roman" w:eastAsia="楷体_GB2312"/>
        </w:rPr>
        <w:t>社会治理面临的</w:t>
      </w:r>
      <w:r>
        <w:rPr>
          <w:rStyle w:val="28"/>
          <w:rFonts w:hint="eastAsia" w:ascii="Times New Roman" w:hAnsi="Times New Roman" w:eastAsia="楷体_GB2312"/>
          <w:lang w:eastAsia="zh-CN"/>
        </w:rPr>
        <w:t>新</w:t>
      </w:r>
      <w:r>
        <w:rPr>
          <w:rStyle w:val="28"/>
          <w:rFonts w:hint="eastAsia" w:ascii="Times New Roman" w:hAnsi="Times New Roman" w:eastAsia="楷体_GB2312"/>
        </w:rPr>
        <w:t>挑战</w:t>
      </w:r>
      <w:r>
        <w:tab/>
      </w:r>
      <w:r>
        <w:rPr>
          <w:rFonts w:hint="eastAsia"/>
        </w:rPr>
        <w:t>6</w:t>
      </w:r>
      <w:r>
        <w:rPr>
          <w:rFonts w:hint="eastAsia"/>
        </w:rPr>
        <w:fldChar w:fldCharType="end"/>
      </w:r>
    </w:p>
    <w:p>
      <w:pPr>
        <w:pStyle w:val="18"/>
        <w:tabs>
          <w:tab w:val="right" w:leader="dot" w:pos="8302"/>
        </w:tabs>
        <w:rPr>
          <w:rFonts w:cstheme="minorBidi"/>
          <w:kern w:val="2"/>
          <w:sz w:val="21"/>
        </w:rPr>
      </w:pPr>
      <w:r>
        <w:fldChar w:fldCharType="begin"/>
      </w:r>
      <w:r>
        <w:instrText xml:space="preserve"> HYPERLINK \l "_Toc214629552" </w:instrText>
      </w:r>
      <w:r>
        <w:fldChar w:fldCharType="separate"/>
      </w:r>
      <w:r>
        <w:rPr>
          <w:rStyle w:val="28"/>
          <w:rFonts w:ascii="Times New Roman" w:hAnsi="Times New Roman" w:eastAsia="黑体"/>
        </w:rPr>
        <w:t>三、“十五五”</w:t>
      </w:r>
      <w:r>
        <w:rPr>
          <w:rStyle w:val="28"/>
          <w:rFonts w:hint="eastAsia" w:ascii="Times New Roman" w:hAnsi="Times New Roman" w:eastAsia="黑体"/>
        </w:rPr>
        <w:t>时期</w:t>
      </w:r>
      <w:r>
        <w:rPr>
          <w:rStyle w:val="28"/>
          <w:rFonts w:ascii="Times New Roman" w:hAnsi="Times New Roman" w:eastAsia="黑体"/>
        </w:rPr>
        <w:t>发展思路、原则和目标</w:t>
      </w:r>
      <w:r>
        <w:tab/>
      </w:r>
      <w:r>
        <w:rPr>
          <w:rFonts w:hint="eastAsia"/>
        </w:rPr>
        <w:t>8</w:t>
      </w:r>
      <w:r>
        <w:rPr>
          <w:rFonts w:hint="eastAsia"/>
        </w:rPr>
        <w:fldChar w:fldCharType="end"/>
      </w:r>
    </w:p>
    <w:p>
      <w:pPr>
        <w:pStyle w:val="18"/>
        <w:tabs>
          <w:tab w:val="right" w:leader="dot" w:pos="8302"/>
        </w:tabs>
        <w:rPr>
          <w:rFonts w:cstheme="minorBidi"/>
          <w:kern w:val="2"/>
          <w:sz w:val="21"/>
        </w:rPr>
      </w:pPr>
      <w:r>
        <w:fldChar w:fldCharType="begin"/>
      </w:r>
      <w:r>
        <w:instrText xml:space="preserve"> HYPERLINK \l "_Toc214629553" </w:instrText>
      </w:r>
      <w:r>
        <w:fldChar w:fldCharType="separate"/>
      </w:r>
      <w:r>
        <w:rPr>
          <w:rStyle w:val="28"/>
          <w:rFonts w:ascii="Times New Roman" w:hAnsi="Times New Roman" w:eastAsia="楷体_GB2312"/>
        </w:rPr>
        <w:t>（一）指导思想</w:t>
      </w:r>
      <w:r>
        <w:tab/>
      </w:r>
      <w:r>
        <w:rPr>
          <w:rFonts w:hint="eastAsia"/>
        </w:rPr>
        <w:t>8</w:t>
      </w:r>
      <w:r>
        <w:rPr>
          <w:rFonts w:hint="eastAsia"/>
        </w:rPr>
        <w:fldChar w:fldCharType="end"/>
      </w:r>
    </w:p>
    <w:p>
      <w:pPr>
        <w:pStyle w:val="18"/>
        <w:tabs>
          <w:tab w:val="right" w:leader="dot" w:pos="8302"/>
        </w:tabs>
        <w:rPr>
          <w:rFonts w:cstheme="minorBidi"/>
          <w:kern w:val="2"/>
          <w:sz w:val="21"/>
        </w:rPr>
      </w:pPr>
      <w:r>
        <w:fldChar w:fldCharType="begin"/>
      </w:r>
      <w:r>
        <w:instrText xml:space="preserve"> HYPERLINK \l "_Toc214629554" </w:instrText>
      </w:r>
      <w:r>
        <w:fldChar w:fldCharType="separate"/>
      </w:r>
      <w:r>
        <w:rPr>
          <w:rStyle w:val="28"/>
          <w:rFonts w:ascii="Times New Roman" w:hAnsi="Times New Roman" w:eastAsia="楷体_GB2312"/>
        </w:rPr>
        <w:t>（二）基本原则</w:t>
      </w:r>
      <w:r>
        <w:tab/>
      </w:r>
      <w:r>
        <w:rPr>
          <w:rFonts w:hint="eastAsia"/>
          <w:lang w:val="en-US" w:eastAsia="zh-CN"/>
        </w:rPr>
        <w:t>9</w:t>
      </w:r>
      <w:r>
        <w:rPr>
          <w:rFonts w:hint="eastAsia"/>
        </w:rPr>
        <w:fldChar w:fldCharType="end"/>
      </w:r>
    </w:p>
    <w:p>
      <w:pPr>
        <w:pStyle w:val="18"/>
        <w:tabs>
          <w:tab w:val="right" w:leader="dot" w:pos="8302"/>
        </w:tabs>
        <w:rPr>
          <w:rFonts w:cstheme="minorBidi"/>
          <w:kern w:val="2"/>
          <w:sz w:val="21"/>
        </w:rPr>
      </w:pPr>
      <w:r>
        <w:fldChar w:fldCharType="begin"/>
      </w:r>
      <w:r>
        <w:instrText xml:space="preserve"> HYPERLINK \l "_Toc214629555" </w:instrText>
      </w:r>
      <w:r>
        <w:fldChar w:fldCharType="separate"/>
      </w:r>
      <w:r>
        <w:rPr>
          <w:rStyle w:val="28"/>
          <w:rFonts w:ascii="Times New Roman" w:hAnsi="Times New Roman" w:eastAsia="楷体_GB2312"/>
        </w:rPr>
        <w:t>（三）总体任务</w:t>
      </w:r>
      <w:r>
        <w:tab/>
      </w:r>
      <w:r>
        <w:rPr>
          <w:rFonts w:hint="eastAsia"/>
        </w:rPr>
        <w:t>1</w:t>
      </w:r>
      <w:r>
        <w:rPr>
          <w:rFonts w:hint="eastAsia"/>
        </w:rPr>
        <w:fldChar w:fldCharType="end"/>
      </w:r>
      <w:r>
        <w:rPr>
          <w:rFonts w:hint="eastAsia"/>
        </w:rPr>
        <w:t>0</w:t>
      </w:r>
    </w:p>
    <w:p>
      <w:pPr>
        <w:pStyle w:val="18"/>
        <w:tabs>
          <w:tab w:val="right" w:leader="dot" w:pos="8302"/>
        </w:tabs>
        <w:rPr>
          <w:rFonts w:hint="eastAsia" w:eastAsiaTheme="minorEastAsia" w:cstheme="minorBidi"/>
          <w:kern w:val="2"/>
          <w:sz w:val="21"/>
          <w:lang w:val="en-US" w:eastAsia="zh-CN"/>
        </w:rPr>
      </w:pPr>
      <w:r>
        <w:fldChar w:fldCharType="begin"/>
      </w:r>
      <w:r>
        <w:instrText xml:space="preserve"> HYPERLINK \l "_Toc214629556" </w:instrText>
      </w:r>
      <w:r>
        <w:fldChar w:fldCharType="separate"/>
      </w:r>
      <w:r>
        <w:rPr>
          <w:rStyle w:val="28"/>
          <w:rFonts w:ascii="Times New Roman" w:hAnsi="Times New Roman" w:eastAsia="楷体_GB2312"/>
        </w:rPr>
        <w:t>（四）具体指标</w:t>
      </w:r>
      <w:r>
        <w:tab/>
      </w:r>
      <w:r>
        <w:rPr>
          <w:rFonts w:hint="eastAsia"/>
        </w:rPr>
        <w:t>1</w:t>
      </w:r>
      <w:r>
        <w:rPr>
          <w:rFonts w:hint="eastAsia"/>
        </w:rPr>
        <w:fldChar w:fldCharType="end"/>
      </w:r>
      <w:r>
        <w:rPr>
          <w:rFonts w:hint="eastAsia"/>
          <w:lang w:val="en-US" w:eastAsia="zh-CN"/>
        </w:rPr>
        <w:t>1</w:t>
      </w:r>
    </w:p>
    <w:p>
      <w:pPr>
        <w:pStyle w:val="18"/>
        <w:tabs>
          <w:tab w:val="right" w:leader="dot" w:pos="8302"/>
        </w:tabs>
        <w:rPr>
          <w:rFonts w:hint="eastAsia" w:eastAsiaTheme="minorEastAsia" w:cstheme="minorBidi"/>
          <w:kern w:val="2"/>
          <w:sz w:val="21"/>
          <w:lang w:eastAsia="zh-CN"/>
        </w:rPr>
      </w:pPr>
      <w:r>
        <w:fldChar w:fldCharType="begin"/>
      </w:r>
      <w:r>
        <w:instrText xml:space="preserve"> HYPERLINK \l "_Toc214629557" </w:instrText>
      </w:r>
      <w:r>
        <w:fldChar w:fldCharType="separate"/>
      </w:r>
      <w:r>
        <w:rPr>
          <w:rStyle w:val="28"/>
          <w:rFonts w:ascii="Times New Roman" w:hAnsi="Times New Roman" w:eastAsia="黑体"/>
        </w:rPr>
        <w:t>四、夯实社会共识基础，汇聚“最美冬奥城”治理合力</w:t>
      </w:r>
      <w:r>
        <w:tab/>
      </w:r>
      <w:r>
        <w:rPr>
          <w:rFonts w:hint="eastAsia"/>
        </w:rPr>
        <w:t>1</w:t>
      </w:r>
      <w:r>
        <w:rPr>
          <w:rFonts w:hint="eastAsia"/>
        </w:rPr>
        <w:fldChar w:fldCharType="end"/>
      </w:r>
      <w:r>
        <w:rPr>
          <w:rFonts w:hint="eastAsia"/>
          <w:lang w:val="en-US" w:eastAsia="zh-CN"/>
        </w:rPr>
        <w:t>3</w:t>
      </w:r>
    </w:p>
    <w:p>
      <w:pPr>
        <w:pStyle w:val="18"/>
        <w:tabs>
          <w:tab w:val="right" w:leader="dot" w:pos="8302"/>
        </w:tabs>
        <w:rPr>
          <w:rFonts w:hint="eastAsia" w:eastAsiaTheme="minorEastAsia" w:cstheme="minorBidi"/>
          <w:kern w:val="2"/>
          <w:sz w:val="21"/>
          <w:lang w:eastAsia="zh-CN"/>
        </w:rPr>
      </w:pPr>
      <w:r>
        <w:fldChar w:fldCharType="begin"/>
      </w:r>
      <w:r>
        <w:instrText xml:space="preserve"> HYPERLINK \l "_Toc214629558" </w:instrText>
      </w:r>
      <w:r>
        <w:fldChar w:fldCharType="separate"/>
      </w:r>
      <w:r>
        <w:rPr>
          <w:rStyle w:val="28"/>
          <w:rFonts w:ascii="Times New Roman" w:hAnsi="Times New Roman" w:eastAsia="楷体_GB2312"/>
        </w:rPr>
        <w:t>（一）健全干群联系机制，夯实群众路线实践基础</w:t>
      </w:r>
      <w:r>
        <w:tab/>
      </w:r>
      <w:r>
        <w:rPr>
          <w:rFonts w:hint="eastAsia"/>
        </w:rPr>
        <w:t>1</w:t>
      </w:r>
      <w:r>
        <w:rPr>
          <w:rFonts w:hint="eastAsia"/>
        </w:rPr>
        <w:fldChar w:fldCharType="end"/>
      </w:r>
      <w:r>
        <w:rPr>
          <w:rFonts w:hint="eastAsia"/>
          <w:lang w:val="en-US" w:eastAsia="zh-CN"/>
        </w:rPr>
        <w:t>3</w:t>
      </w:r>
    </w:p>
    <w:p>
      <w:pPr>
        <w:pStyle w:val="18"/>
        <w:tabs>
          <w:tab w:val="right" w:leader="dot" w:pos="8302"/>
        </w:tabs>
        <w:rPr>
          <w:rFonts w:cstheme="minorBidi"/>
          <w:kern w:val="2"/>
          <w:sz w:val="21"/>
        </w:rPr>
      </w:pPr>
      <w:r>
        <w:fldChar w:fldCharType="begin"/>
      </w:r>
      <w:r>
        <w:instrText xml:space="preserve"> HYPERLINK \l "_Toc214629559" </w:instrText>
      </w:r>
      <w:r>
        <w:fldChar w:fldCharType="separate"/>
      </w:r>
      <w:r>
        <w:rPr>
          <w:rStyle w:val="28"/>
          <w:rFonts w:ascii="Times New Roman" w:hAnsi="Times New Roman" w:eastAsia="楷体_GB2312"/>
        </w:rPr>
        <w:t>（二）完善民意征集机制，提升民意吸纳与转化效能</w:t>
      </w:r>
      <w:r>
        <w:tab/>
      </w:r>
      <w:r>
        <w:rPr>
          <w:rFonts w:hint="eastAsia"/>
        </w:rPr>
        <w:t>1</w:t>
      </w:r>
      <w:r>
        <w:rPr>
          <w:rFonts w:hint="eastAsia"/>
        </w:rPr>
        <w:fldChar w:fldCharType="end"/>
      </w:r>
      <w:r>
        <w:rPr>
          <w:rFonts w:hint="eastAsia"/>
        </w:rPr>
        <w:t>4</w:t>
      </w:r>
    </w:p>
    <w:p>
      <w:pPr>
        <w:pStyle w:val="18"/>
        <w:tabs>
          <w:tab w:val="right" w:leader="dot" w:pos="8302"/>
        </w:tabs>
        <w:rPr>
          <w:rFonts w:cstheme="minorBidi"/>
          <w:kern w:val="2"/>
          <w:sz w:val="21"/>
        </w:rPr>
      </w:pPr>
      <w:r>
        <w:fldChar w:fldCharType="begin"/>
      </w:r>
      <w:r>
        <w:instrText xml:space="preserve"> HYPERLINK \l "_Toc214629560" </w:instrText>
      </w:r>
      <w:r>
        <w:fldChar w:fldCharType="separate"/>
      </w:r>
      <w:r>
        <w:rPr>
          <w:rStyle w:val="28"/>
          <w:rFonts w:ascii="Times New Roman" w:hAnsi="Times New Roman" w:eastAsia="楷体_GB2312"/>
        </w:rPr>
        <w:t>（三）深化宣传教育实践，培育“延庆好地方”共同价值</w:t>
      </w:r>
      <w:r>
        <w:tab/>
      </w:r>
      <w:r>
        <w:rPr>
          <w:rFonts w:hint="eastAsia"/>
        </w:rPr>
        <w:t>1</w:t>
      </w:r>
      <w:r>
        <w:rPr>
          <w:rFonts w:hint="eastAsia"/>
        </w:rPr>
        <w:fldChar w:fldCharType="end"/>
      </w:r>
      <w:r>
        <w:rPr>
          <w:rFonts w:hint="eastAsia"/>
        </w:rPr>
        <w:t>5</w:t>
      </w:r>
    </w:p>
    <w:p>
      <w:pPr>
        <w:pStyle w:val="18"/>
        <w:tabs>
          <w:tab w:val="right" w:leader="dot" w:pos="8302"/>
        </w:tabs>
        <w:rPr>
          <w:rFonts w:hint="eastAsia" w:eastAsiaTheme="minorEastAsia" w:cstheme="minorBidi"/>
          <w:kern w:val="2"/>
          <w:sz w:val="21"/>
          <w:lang w:eastAsia="zh-CN"/>
        </w:rPr>
      </w:pPr>
      <w:r>
        <w:fldChar w:fldCharType="begin"/>
      </w:r>
      <w:r>
        <w:instrText xml:space="preserve"> HYPERLINK \l "_Toc214629561" </w:instrText>
      </w:r>
      <w:r>
        <w:fldChar w:fldCharType="separate"/>
      </w:r>
      <w:r>
        <w:rPr>
          <w:rStyle w:val="28"/>
          <w:rFonts w:ascii="Times New Roman" w:hAnsi="Times New Roman" w:eastAsia="黑体"/>
        </w:rPr>
        <w:t>五、健全社会动员体系，壮大“延庆乡亲”参与力量</w:t>
      </w:r>
      <w:r>
        <w:tab/>
      </w:r>
      <w:r>
        <w:rPr>
          <w:rFonts w:hint="eastAsia"/>
        </w:rPr>
        <w:t>1</w:t>
      </w:r>
      <w:r>
        <w:rPr>
          <w:rFonts w:hint="eastAsia"/>
        </w:rPr>
        <w:fldChar w:fldCharType="end"/>
      </w:r>
      <w:r>
        <w:rPr>
          <w:rFonts w:hint="eastAsia"/>
          <w:lang w:val="en-US" w:eastAsia="zh-CN"/>
        </w:rPr>
        <w:t>7</w:t>
      </w:r>
    </w:p>
    <w:p>
      <w:pPr>
        <w:pStyle w:val="18"/>
        <w:tabs>
          <w:tab w:val="right" w:leader="dot" w:pos="8302"/>
        </w:tabs>
        <w:rPr>
          <w:rFonts w:cstheme="minorBidi"/>
          <w:kern w:val="2"/>
          <w:sz w:val="21"/>
        </w:rPr>
      </w:pPr>
      <w:r>
        <w:fldChar w:fldCharType="begin"/>
      </w:r>
      <w:r>
        <w:instrText xml:space="preserve"> HYPERLINK \l "_Toc214629562" </w:instrText>
      </w:r>
      <w:r>
        <w:fldChar w:fldCharType="separate"/>
      </w:r>
      <w:r>
        <w:rPr>
          <w:rStyle w:val="28"/>
          <w:rFonts w:ascii="Times New Roman" w:hAnsi="Times New Roman" w:eastAsia="楷体_GB2312"/>
        </w:rPr>
        <w:t>（一）完善条块结合体系，夯实社会动员组织基础</w:t>
      </w:r>
      <w:r>
        <w:tab/>
      </w:r>
      <w:r>
        <w:rPr>
          <w:rFonts w:hint="eastAsia"/>
        </w:rPr>
        <w:t>1</w:t>
      </w:r>
      <w:r>
        <w:rPr>
          <w:rFonts w:hint="eastAsia"/>
        </w:rPr>
        <w:fldChar w:fldCharType="end"/>
      </w:r>
      <w:r>
        <w:rPr>
          <w:rFonts w:hint="eastAsia"/>
        </w:rPr>
        <w:t>7</w:t>
      </w:r>
    </w:p>
    <w:p>
      <w:pPr>
        <w:pStyle w:val="18"/>
        <w:tabs>
          <w:tab w:val="right" w:leader="dot" w:pos="8302"/>
        </w:tabs>
        <w:rPr>
          <w:rFonts w:cstheme="minorBidi"/>
          <w:kern w:val="2"/>
          <w:sz w:val="21"/>
        </w:rPr>
      </w:pPr>
      <w:r>
        <w:fldChar w:fldCharType="begin"/>
      </w:r>
      <w:r>
        <w:instrText xml:space="preserve"> HYPERLINK \l "_Toc214629563" </w:instrText>
      </w:r>
      <w:r>
        <w:fldChar w:fldCharType="separate"/>
      </w:r>
      <w:r>
        <w:rPr>
          <w:rStyle w:val="28"/>
          <w:rFonts w:ascii="Times New Roman" w:hAnsi="Times New Roman" w:eastAsia="楷体_GB2312"/>
        </w:rPr>
        <w:t>（二）优化多元协同机制，激发城乡社会参与活力</w:t>
      </w:r>
      <w:r>
        <w:tab/>
      </w:r>
      <w:r>
        <w:rPr>
          <w:rFonts w:hint="eastAsia"/>
        </w:rPr>
        <w:t>1</w:t>
      </w:r>
      <w:r>
        <w:rPr>
          <w:rFonts w:hint="eastAsia"/>
        </w:rPr>
        <w:fldChar w:fldCharType="end"/>
      </w:r>
      <w:r>
        <w:rPr>
          <w:rFonts w:hint="eastAsia"/>
        </w:rPr>
        <w:t>8</w:t>
      </w:r>
    </w:p>
    <w:p>
      <w:pPr>
        <w:pStyle w:val="18"/>
        <w:tabs>
          <w:tab w:val="right" w:leader="dot" w:pos="8302"/>
        </w:tabs>
        <w:rPr>
          <w:rFonts w:cstheme="minorBidi"/>
          <w:kern w:val="2"/>
          <w:sz w:val="21"/>
        </w:rPr>
      </w:pPr>
      <w:r>
        <w:fldChar w:fldCharType="begin"/>
      </w:r>
      <w:r>
        <w:instrText xml:space="preserve"> HYPERLINK \l "_Toc214629564" </w:instrText>
      </w:r>
      <w:r>
        <w:fldChar w:fldCharType="separate"/>
      </w:r>
      <w:r>
        <w:rPr>
          <w:rStyle w:val="28"/>
          <w:rFonts w:ascii="Times New Roman" w:hAnsi="Times New Roman" w:eastAsia="楷体_GB2312"/>
        </w:rPr>
        <w:t>（三）强化组织化志愿服务力量，提升社会动员参与支撑</w:t>
      </w:r>
      <w:r>
        <w:tab/>
      </w:r>
      <w:r>
        <w:rPr>
          <w:rFonts w:hint="eastAsia"/>
        </w:rPr>
        <w:t>1</w:t>
      </w:r>
      <w:r>
        <w:rPr>
          <w:rFonts w:hint="eastAsia"/>
        </w:rPr>
        <w:fldChar w:fldCharType="end"/>
      </w:r>
      <w:r>
        <w:rPr>
          <w:rFonts w:hint="eastAsia"/>
        </w:rPr>
        <w:t>9</w:t>
      </w:r>
    </w:p>
    <w:p>
      <w:pPr>
        <w:pStyle w:val="18"/>
        <w:tabs>
          <w:tab w:val="right" w:leader="dot" w:pos="8302"/>
        </w:tabs>
        <w:rPr>
          <w:rFonts w:cstheme="minorBidi"/>
          <w:kern w:val="2"/>
          <w:sz w:val="21"/>
        </w:rPr>
      </w:pPr>
      <w:r>
        <w:fldChar w:fldCharType="begin"/>
      </w:r>
      <w:r>
        <w:instrText xml:space="preserve"> HYPERLINK \l "_Toc214629565" </w:instrText>
      </w:r>
      <w:r>
        <w:fldChar w:fldCharType="separate"/>
      </w:r>
      <w:r>
        <w:rPr>
          <w:rStyle w:val="28"/>
          <w:rFonts w:ascii="Times New Roman" w:hAnsi="Times New Roman" w:eastAsia="楷体_GB2312"/>
        </w:rPr>
        <w:t>（四）推进数字技术赋能，构建智慧动员一体化体系</w:t>
      </w:r>
      <w:r>
        <w:tab/>
      </w:r>
      <w:r>
        <w:rPr>
          <w:rFonts w:hint="eastAsia"/>
        </w:rPr>
        <w:t>2</w:t>
      </w:r>
      <w:r>
        <w:rPr>
          <w:rFonts w:hint="eastAsia"/>
        </w:rPr>
        <w:fldChar w:fldCharType="end"/>
      </w:r>
      <w:r>
        <w:rPr>
          <w:rFonts w:hint="eastAsia"/>
        </w:rPr>
        <w:t>0</w:t>
      </w:r>
    </w:p>
    <w:p>
      <w:pPr>
        <w:pStyle w:val="18"/>
        <w:tabs>
          <w:tab w:val="right" w:leader="dot" w:pos="8302"/>
        </w:tabs>
        <w:rPr>
          <w:rFonts w:cstheme="minorBidi"/>
          <w:kern w:val="2"/>
          <w:sz w:val="21"/>
        </w:rPr>
      </w:pPr>
      <w:r>
        <w:fldChar w:fldCharType="begin"/>
      </w:r>
      <w:r>
        <w:instrText xml:space="preserve"> HYPERLINK \l "_Toc214629566" </w:instrText>
      </w:r>
      <w:r>
        <w:fldChar w:fldCharType="separate"/>
      </w:r>
      <w:r>
        <w:rPr>
          <w:rStyle w:val="28"/>
          <w:rFonts w:ascii="Times New Roman" w:hAnsi="Times New Roman" w:eastAsia="黑体"/>
        </w:rPr>
        <w:t>六、完善社会共治格局，推进“和美延庆”基层善治</w:t>
      </w:r>
      <w:r>
        <w:tab/>
      </w:r>
      <w:r>
        <w:rPr>
          <w:rFonts w:hint="eastAsia"/>
        </w:rPr>
        <w:t>2</w:t>
      </w:r>
      <w:r>
        <w:rPr>
          <w:rFonts w:hint="eastAsia"/>
        </w:rPr>
        <w:fldChar w:fldCharType="end"/>
      </w:r>
      <w:r>
        <w:rPr>
          <w:rFonts w:hint="eastAsia"/>
        </w:rPr>
        <w:t>1</w:t>
      </w:r>
    </w:p>
    <w:p>
      <w:pPr>
        <w:pStyle w:val="18"/>
        <w:tabs>
          <w:tab w:val="right" w:leader="dot" w:pos="8302"/>
        </w:tabs>
        <w:rPr>
          <w:rFonts w:hint="eastAsia" w:eastAsiaTheme="minorEastAsia" w:cstheme="minorBidi"/>
          <w:kern w:val="2"/>
          <w:sz w:val="21"/>
          <w:lang w:val="en-US" w:eastAsia="zh-CN"/>
        </w:rPr>
      </w:pPr>
      <w:r>
        <w:fldChar w:fldCharType="begin"/>
      </w:r>
      <w:r>
        <w:instrText xml:space="preserve"> HYPERLINK \l "_Toc214629567" </w:instrText>
      </w:r>
      <w:r>
        <w:fldChar w:fldCharType="separate"/>
      </w:r>
      <w:r>
        <w:rPr>
          <w:rStyle w:val="28"/>
          <w:rFonts w:ascii="Times New Roman" w:hAnsi="Times New Roman" w:eastAsia="楷体_GB2312"/>
        </w:rPr>
        <w:t>（一）强化绿色低碳导向，夯实基层善治生态空间基础</w:t>
      </w:r>
      <w:r>
        <w:tab/>
      </w:r>
      <w:r>
        <w:rPr>
          <w:rFonts w:hint="eastAsia"/>
        </w:rPr>
        <w:t>2</w:t>
      </w:r>
      <w:r>
        <w:rPr>
          <w:rFonts w:hint="eastAsia"/>
        </w:rPr>
        <w:fldChar w:fldCharType="end"/>
      </w:r>
      <w:r>
        <w:rPr>
          <w:rFonts w:hint="eastAsia"/>
          <w:lang w:val="en-US" w:eastAsia="zh-CN"/>
        </w:rPr>
        <w:t>1</w:t>
      </w:r>
    </w:p>
    <w:p>
      <w:pPr>
        <w:pStyle w:val="18"/>
        <w:tabs>
          <w:tab w:val="right" w:leader="dot" w:pos="8302"/>
        </w:tabs>
        <w:rPr>
          <w:rFonts w:cstheme="minorBidi"/>
          <w:kern w:val="2"/>
          <w:sz w:val="21"/>
        </w:rPr>
      </w:pPr>
      <w:r>
        <w:fldChar w:fldCharType="begin"/>
      </w:r>
      <w:r>
        <w:instrText xml:space="preserve"> HYPERLINK \l "_Toc214629568" </w:instrText>
      </w:r>
      <w:r>
        <w:fldChar w:fldCharType="separate"/>
      </w:r>
      <w:r>
        <w:rPr>
          <w:rStyle w:val="28"/>
          <w:rFonts w:ascii="Times New Roman" w:hAnsi="Times New Roman" w:eastAsia="楷体_GB2312"/>
        </w:rPr>
        <w:t>（二）健全物业治理体系，提升社区物业服务品质</w:t>
      </w:r>
      <w:r>
        <w:tab/>
      </w:r>
      <w:r>
        <w:rPr>
          <w:rFonts w:hint="eastAsia"/>
        </w:rPr>
        <w:t>2</w:t>
      </w:r>
      <w:r>
        <w:rPr>
          <w:rFonts w:hint="eastAsia"/>
        </w:rPr>
        <w:fldChar w:fldCharType="end"/>
      </w:r>
      <w:r>
        <w:rPr>
          <w:rFonts w:hint="eastAsia"/>
        </w:rPr>
        <w:t>2</w:t>
      </w:r>
    </w:p>
    <w:p>
      <w:pPr>
        <w:pStyle w:val="18"/>
        <w:tabs>
          <w:tab w:val="right" w:leader="dot" w:pos="8302"/>
        </w:tabs>
        <w:rPr>
          <w:rFonts w:cstheme="minorBidi"/>
          <w:kern w:val="2"/>
          <w:sz w:val="21"/>
        </w:rPr>
      </w:pPr>
      <w:r>
        <w:fldChar w:fldCharType="begin"/>
      </w:r>
      <w:r>
        <w:instrText xml:space="preserve"> HYPERLINK \l "_Toc214629569" </w:instrText>
      </w:r>
      <w:r>
        <w:fldChar w:fldCharType="separate"/>
      </w:r>
      <w:r>
        <w:rPr>
          <w:rStyle w:val="28"/>
          <w:rFonts w:ascii="Times New Roman" w:hAnsi="Times New Roman" w:eastAsia="楷体_GB2312"/>
        </w:rPr>
        <w:t>（三）深化“三治融合”实践，完善基层协商共治体系</w:t>
      </w:r>
      <w:r>
        <w:tab/>
      </w:r>
      <w:r>
        <w:rPr>
          <w:rFonts w:hint="eastAsia"/>
        </w:rPr>
        <w:t>2</w:t>
      </w:r>
      <w:r>
        <w:rPr>
          <w:rFonts w:hint="eastAsia"/>
        </w:rPr>
        <w:fldChar w:fldCharType="end"/>
      </w:r>
      <w:r>
        <w:rPr>
          <w:rFonts w:hint="eastAsia"/>
        </w:rPr>
        <w:t>3</w:t>
      </w:r>
    </w:p>
    <w:p>
      <w:pPr>
        <w:pStyle w:val="18"/>
        <w:tabs>
          <w:tab w:val="right" w:leader="dot" w:pos="8302"/>
        </w:tabs>
        <w:rPr>
          <w:rFonts w:hint="eastAsia" w:eastAsiaTheme="minorEastAsia" w:cstheme="minorBidi"/>
          <w:kern w:val="2"/>
          <w:sz w:val="21"/>
          <w:lang w:val="en-US" w:eastAsia="zh-CN"/>
        </w:rPr>
      </w:pPr>
      <w:r>
        <w:fldChar w:fldCharType="begin"/>
      </w:r>
      <w:r>
        <w:instrText xml:space="preserve"> HYPERLINK \l "_Toc214629570" </w:instrText>
      </w:r>
      <w:r>
        <w:fldChar w:fldCharType="separate"/>
      </w:r>
      <w:r>
        <w:rPr>
          <w:rStyle w:val="28"/>
          <w:rFonts w:ascii="Times New Roman" w:hAnsi="Times New Roman" w:eastAsia="楷体_GB2312"/>
        </w:rPr>
        <w:t>（四）</w:t>
      </w:r>
      <w:r>
        <w:rPr>
          <w:rStyle w:val="28"/>
          <w:rFonts w:hint="eastAsia" w:ascii="Times New Roman" w:hAnsi="Times New Roman" w:eastAsia="楷体_GB2312"/>
        </w:rPr>
        <w:t>激</w:t>
      </w:r>
      <w:r>
        <w:rPr>
          <w:rStyle w:val="28"/>
          <w:rFonts w:hint="eastAsia" w:ascii="Times New Roman" w:hAnsi="Times New Roman" w:eastAsia="楷体_GB2312"/>
          <w:lang w:eastAsia="zh-CN"/>
        </w:rPr>
        <w:t>活</w:t>
      </w:r>
      <w:r>
        <w:rPr>
          <w:rStyle w:val="28"/>
          <w:rFonts w:hint="eastAsia" w:ascii="Times New Roman" w:hAnsi="Times New Roman" w:eastAsia="楷体_GB2312"/>
        </w:rPr>
        <w:t>社区治理末梢，发挥守望相助与专业支持作用</w:t>
      </w:r>
      <w:r>
        <w:tab/>
      </w:r>
      <w:r>
        <w:rPr>
          <w:rFonts w:hint="eastAsia"/>
        </w:rPr>
        <w:t>2</w:t>
      </w:r>
      <w:r>
        <w:rPr>
          <w:rFonts w:hint="eastAsia"/>
        </w:rPr>
        <w:fldChar w:fldCharType="end"/>
      </w:r>
      <w:r>
        <w:rPr>
          <w:rFonts w:hint="eastAsia"/>
          <w:lang w:val="en-US" w:eastAsia="zh-CN"/>
        </w:rPr>
        <w:t>4</w:t>
      </w:r>
    </w:p>
    <w:p>
      <w:pPr>
        <w:pStyle w:val="18"/>
        <w:tabs>
          <w:tab w:val="right" w:leader="dot" w:pos="8302"/>
        </w:tabs>
        <w:rPr>
          <w:rFonts w:hint="eastAsia" w:eastAsiaTheme="minorEastAsia" w:cstheme="minorBidi"/>
          <w:kern w:val="2"/>
          <w:sz w:val="21"/>
          <w:lang w:eastAsia="zh-CN"/>
        </w:rPr>
      </w:pPr>
      <w:r>
        <w:fldChar w:fldCharType="begin"/>
      </w:r>
      <w:r>
        <w:instrText xml:space="preserve"> HYPERLINK \l "_Toc214629571" </w:instrText>
      </w:r>
      <w:r>
        <w:fldChar w:fldCharType="separate"/>
      </w:r>
      <w:r>
        <w:rPr>
          <w:rStyle w:val="28"/>
          <w:rFonts w:ascii="Times New Roman" w:hAnsi="Times New Roman" w:eastAsia="黑体"/>
        </w:rPr>
        <w:t>七、优化社会服务供给，深化“幸福延庆”民生建设</w:t>
      </w:r>
      <w:r>
        <w:tab/>
      </w:r>
      <w:r>
        <w:rPr>
          <w:rFonts w:hint="eastAsia"/>
        </w:rPr>
        <w:t>2</w:t>
      </w:r>
      <w:r>
        <w:rPr>
          <w:rFonts w:hint="eastAsia"/>
        </w:rPr>
        <w:fldChar w:fldCharType="end"/>
      </w:r>
      <w:r>
        <w:rPr>
          <w:rFonts w:hint="eastAsia"/>
          <w:lang w:val="en-US" w:eastAsia="zh-CN"/>
        </w:rPr>
        <w:t>6</w:t>
      </w:r>
    </w:p>
    <w:p>
      <w:pPr>
        <w:pStyle w:val="18"/>
        <w:tabs>
          <w:tab w:val="right" w:leader="dot" w:pos="8302"/>
        </w:tabs>
        <w:rPr>
          <w:rFonts w:hint="eastAsia" w:eastAsiaTheme="minorEastAsia" w:cstheme="minorBidi"/>
          <w:kern w:val="2"/>
          <w:sz w:val="21"/>
          <w:lang w:eastAsia="zh-CN"/>
        </w:rPr>
      </w:pPr>
      <w:r>
        <w:fldChar w:fldCharType="begin"/>
      </w:r>
      <w:r>
        <w:instrText xml:space="preserve"> HYPERLINK \l "_Toc214629572" </w:instrText>
      </w:r>
      <w:r>
        <w:fldChar w:fldCharType="separate"/>
      </w:r>
      <w:r>
        <w:rPr>
          <w:rStyle w:val="28"/>
          <w:rFonts w:ascii="Times New Roman" w:hAnsi="Times New Roman" w:eastAsia="楷体_GB2312"/>
        </w:rPr>
        <w:t>（一）完善多元供给体系，提升基本公共服务整体能级</w:t>
      </w:r>
      <w:r>
        <w:tab/>
      </w:r>
      <w:r>
        <w:rPr>
          <w:rFonts w:hint="eastAsia"/>
        </w:rPr>
        <w:t>2</w:t>
      </w:r>
      <w:r>
        <w:rPr>
          <w:rFonts w:hint="eastAsia"/>
        </w:rPr>
        <w:fldChar w:fldCharType="end"/>
      </w:r>
      <w:r>
        <w:rPr>
          <w:rFonts w:hint="eastAsia"/>
          <w:lang w:val="en-US" w:eastAsia="zh-CN"/>
        </w:rPr>
        <w:t>6</w:t>
      </w:r>
    </w:p>
    <w:p>
      <w:pPr>
        <w:pStyle w:val="18"/>
        <w:tabs>
          <w:tab w:val="right" w:leader="dot" w:pos="8302"/>
        </w:tabs>
        <w:rPr>
          <w:rFonts w:hint="eastAsia" w:eastAsiaTheme="minorEastAsia" w:cstheme="minorBidi"/>
          <w:kern w:val="2"/>
          <w:sz w:val="21"/>
          <w:lang w:val="en-US" w:eastAsia="zh-CN"/>
        </w:rPr>
      </w:pPr>
      <w:r>
        <w:fldChar w:fldCharType="begin"/>
      </w:r>
      <w:r>
        <w:instrText xml:space="preserve"> HYPERLINK \l "_Toc214629573" </w:instrText>
      </w:r>
      <w:r>
        <w:fldChar w:fldCharType="separate"/>
      </w:r>
      <w:r>
        <w:rPr>
          <w:rStyle w:val="28"/>
          <w:rFonts w:ascii="Times New Roman" w:hAnsi="Times New Roman" w:eastAsia="楷体_GB2312"/>
        </w:rPr>
        <w:t>（二）</w:t>
      </w:r>
      <w:r>
        <w:rPr>
          <w:rStyle w:val="28"/>
          <w:rFonts w:hint="eastAsia" w:ascii="Times New Roman" w:hAnsi="Times New Roman" w:eastAsia="楷体_GB2312"/>
        </w:rPr>
        <w:t>聚焦“</w:t>
      </w:r>
      <w:r>
        <w:rPr>
          <w:rStyle w:val="28"/>
          <w:rFonts w:hint="eastAsia" w:ascii="Times New Roman" w:hAnsi="Times New Roman" w:eastAsia="楷体_GB2312"/>
          <w:lang w:val="en-US" w:eastAsia="zh-CN"/>
        </w:rPr>
        <w:t>一老一小</w:t>
      </w:r>
      <w:r>
        <w:rPr>
          <w:rStyle w:val="28"/>
          <w:rFonts w:hint="eastAsia" w:ascii="Times New Roman" w:hAnsi="Times New Roman" w:eastAsia="楷体_GB2312"/>
        </w:rPr>
        <w:t>”，构建城乡均衡全龄友好服务体系</w:t>
      </w:r>
      <w:r>
        <w:tab/>
      </w:r>
      <w:r>
        <w:rPr>
          <w:rFonts w:hint="eastAsia"/>
        </w:rPr>
        <w:t>2</w:t>
      </w:r>
      <w:r>
        <w:rPr>
          <w:rFonts w:hint="eastAsia"/>
        </w:rPr>
        <w:fldChar w:fldCharType="end"/>
      </w:r>
      <w:r>
        <w:rPr>
          <w:rFonts w:hint="eastAsia"/>
          <w:lang w:val="en-US" w:eastAsia="zh-CN"/>
        </w:rPr>
        <w:t>8</w:t>
      </w:r>
    </w:p>
    <w:p>
      <w:pPr>
        <w:pStyle w:val="18"/>
        <w:tabs>
          <w:tab w:val="right" w:leader="dot" w:pos="8302"/>
        </w:tabs>
        <w:rPr>
          <w:rFonts w:hint="eastAsia" w:eastAsiaTheme="minorEastAsia" w:cstheme="minorBidi"/>
          <w:kern w:val="2"/>
          <w:sz w:val="21"/>
          <w:lang w:val="en-US" w:eastAsia="zh-CN"/>
        </w:rPr>
      </w:pPr>
      <w:r>
        <w:fldChar w:fldCharType="begin"/>
      </w:r>
      <w:r>
        <w:instrText xml:space="preserve"> HYPERLINK \l "_Toc214629574" </w:instrText>
      </w:r>
      <w:r>
        <w:fldChar w:fldCharType="separate"/>
      </w:r>
      <w:r>
        <w:rPr>
          <w:rStyle w:val="28"/>
          <w:rFonts w:ascii="Times New Roman" w:hAnsi="Times New Roman" w:eastAsia="楷体_GB2312"/>
        </w:rPr>
        <w:t>（三）提升专业服务能力，夯实社会服务专业化与可持续支撑</w:t>
      </w:r>
      <w:r>
        <w:tab/>
      </w:r>
      <w:r>
        <w:rPr>
          <w:rFonts w:hint="eastAsia"/>
          <w:lang w:val="en-US" w:eastAsia="zh-CN"/>
        </w:rPr>
        <w:t>2</w:t>
      </w:r>
      <w:r>
        <w:rPr>
          <w:rFonts w:hint="eastAsia"/>
        </w:rPr>
        <w:fldChar w:fldCharType="end"/>
      </w:r>
      <w:r>
        <w:rPr>
          <w:rFonts w:hint="eastAsia"/>
          <w:lang w:val="en-US" w:eastAsia="zh-CN"/>
        </w:rPr>
        <w:t>9</w:t>
      </w:r>
    </w:p>
    <w:p>
      <w:pPr>
        <w:pStyle w:val="18"/>
        <w:tabs>
          <w:tab w:val="right" w:leader="dot" w:pos="8302"/>
        </w:tabs>
        <w:rPr>
          <w:rFonts w:hint="eastAsia" w:eastAsiaTheme="minorEastAsia" w:cstheme="minorBidi"/>
          <w:kern w:val="2"/>
          <w:sz w:val="21"/>
          <w:lang w:val="en-US" w:eastAsia="zh-CN"/>
        </w:rPr>
      </w:pPr>
      <w:r>
        <w:fldChar w:fldCharType="begin"/>
      </w:r>
      <w:r>
        <w:instrText xml:space="preserve"> HYPERLINK \l "_Toc214629575" </w:instrText>
      </w:r>
      <w:r>
        <w:fldChar w:fldCharType="separate"/>
      </w:r>
      <w:r>
        <w:rPr>
          <w:rStyle w:val="28"/>
          <w:rFonts w:ascii="Times New Roman" w:hAnsi="Times New Roman" w:eastAsia="黑体"/>
        </w:rPr>
        <w:t>八、强化党建统领作用，发挥“</w:t>
      </w:r>
      <w:r>
        <w:rPr>
          <w:rStyle w:val="28"/>
          <w:rFonts w:hint="eastAsia" w:ascii="Times New Roman" w:hAnsi="Times New Roman" w:eastAsia="黑体"/>
          <w:lang w:eastAsia="zh-CN"/>
        </w:rPr>
        <w:t>美丽延庆</w:t>
      </w:r>
      <w:r>
        <w:rPr>
          <w:rStyle w:val="28"/>
          <w:rFonts w:hint="eastAsia" w:ascii="Times New Roman" w:hAnsi="Times New Roman" w:eastAsia="黑体"/>
          <w:lang w:val="en-US" w:eastAsia="zh-CN"/>
        </w:rPr>
        <w:t>·</w:t>
      </w:r>
      <w:r>
        <w:rPr>
          <w:rStyle w:val="28"/>
          <w:rFonts w:ascii="Times New Roman" w:hAnsi="Times New Roman" w:eastAsia="黑体"/>
        </w:rPr>
        <w:t>五彩党建”全面引领效应</w:t>
      </w:r>
      <w:r>
        <w:tab/>
      </w:r>
      <w:r>
        <w:rPr>
          <w:rFonts w:hint="eastAsia"/>
          <w:lang w:val="en-US" w:eastAsia="zh-CN"/>
        </w:rPr>
        <w:t>3</w:t>
      </w:r>
      <w:r>
        <w:fldChar w:fldCharType="end"/>
      </w:r>
      <w:r>
        <w:rPr>
          <w:rFonts w:hint="eastAsia"/>
          <w:lang w:val="en-US" w:eastAsia="zh-CN"/>
        </w:rPr>
        <w:t>1</w:t>
      </w:r>
    </w:p>
    <w:p>
      <w:pPr>
        <w:pStyle w:val="18"/>
        <w:tabs>
          <w:tab w:val="right" w:leader="dot" w:pos="8302"/>
        </w:tabs>
        <w:rPr>
          <w:rFonts w:hint="eastAsia" w:eastAsiaTheme="minorEastAsia" w:cstheme="minorBidi"/>
          <w:kern w:val="2"/>
          <w:sz w:val="21"/>
          <w:lang w:val="en-US" w:eastAsia="zh-CN"/>
        </w:rPr>
      </w:pPr>
      <w:r>
        <w:fldChar w:fldCharType="begin"/>
      </w:r>
      <w:r>
        <w:instrText xml:space="preserve"> HYPERLINK \l "_Toc214629576" </w:instrText>
      </w:r>
      <w:r>
        <w:fldChar w:fldCharType="separate"/>
      </w:r>
      <w:r>
        <w:rPr>
          <w:rStyle w:val="28"/>
          <w:rFonts w:ascii="Times New Roman" w:hAnsi="Times New Roman" w:eastAsia="楷体_GB2312"/>
        </w:rPr>
        <w:t>（一）</w:t>
      </w:r>
      <w:r>
        <w:rPr>
          <w:rStyle w:val="28"/>
          <w:rFonts w:hint="eastAsia" w:ascii="Times New Roman" w:hAnsi="Times New Roman" w:eastAsia="楷体_GB2312"/>
        </w:rPr>
        <w:t>完善统筹运行体系，健全党的</w:t>
      </w:r>
      <w:r>
        <w:rPr>
          <w:rStyle w:val="28"/>
          <w:rFonts w:hint="eastAsia" w:ascii="Times New Roman" w:hAnsi="Times New Roman" w:eastAsia="楷体_GB2312"/>
          <w:lang w:val="en-US" w:eastAsia="zh-CN"/>
        </w:rPr>
        <w:t>社会治理</w:t>
      </w:r>
      <w:r>
        <w:rPr>
          <w:rStyle w:val="28"/>
          <w:rFonts w:hint="eastAsia" w:ascii="Times New Roman" w:hAnsi="Times New Roman" w:eastAsia="楷体_GB2312"/>
        </w:rPr>
        <w:t>体制机制</w:t>
      </w:r>
      <w:r>
        <w:tab/>
      </w:r>
      <w:r>
        <w:rPr>
          <w:rFonts w:hint="eastAsia"/>
          <w:lang w:val="en-US" w:eastAsia="zh-CN"/>
        </w:rPr>
        <w:t>3</w:t>
      </w:r>
      <w:r>
        <w:fldChar w:fldCharType="end"/>
      </w:r>
      <w:r>
        <w:rPr>
          <w:rFonts w:hint="eastAsia"/>
          <w:lang w:val="en-US" w:eastAsia="zh-CN"/>
        </w:rPr>
        <w:t>1</w:t>
      </w:r>
    </w:p>
    <w:p>
      <w:pPr>
        <w:pStyle w:val="18"/>
        <w:tabs>
          <w:tab w:val="right" w:leader="dot" w:pos="8302"/>
        </w:tabs>
        <w:rPr>
          <w:rFonts w:hint="eastAsia" w:eastAsiaTheme="minorEastAsia" w:cstheme="minorBidi"/>
          <w:kern w:val="2"/>
          <w:sz w:val="21"/>
          <w:lang w:val="en-US" w:eastAsia="zh-CN"/>
        </w:rPr>
      </w:pPr>
      <w:r>
        <w:fldChar w:fldCharType="begin"/>
      </w:r>
      <w:r>
        <w:instrText xml:space="preserve"> HYPERLINK \l "_Toc214629577" </w:instrText>
      </w:r>
      <w:r>
        <w:fldChar w:fldCharType="separate"/>
      </w:r>
      <w:r>
        <w:rPr>
          <w:rStyle w:val="28"/>
          <w:rFonts w:ascii="Times New Roman" w:hAnsi="Times New Roman" w:eastAsia="楷体_GB2312"/>
        </w:rPr>
        <w:t>（二）拓展“两个覆盖”深度，夯实新兴领域党建组织基础</w:t>
      </w:r>
      <w:r>
        <w:tab/>
      </w:r>
      <w:r>
        <w:rPr>
          <w:rFonts w:hint="eastAsia"/>
          <w:lang w:val="en-US" w:eastAsia="zh-CN"/>
        </w:rPr>
        <w:t>3</w:t>
      </w:r>
      <w:r>
        <w:fldChar w:fldCharType="end"/>
      </w:r>
      <w:r>
        <w:rPr>
          <w:rFonts w:hint="eastAsia"/>
          <w:lang w:val="en-US" w:eastAsia="zh-CN"/>
        </w:rPr>
        <w:t>2</w:t>
      </w:r>
    </w:p>
    <w:p>
      <w:pPr>
        <w:pStyle w:val="18"/>
        <w:tabs>
          <w:tab w:val="right" w:leader="dot" w:pos="8302"/>
        </w:tabs>
        <w:rPr>
          <w:rFonts w:hint="eastAsia" w:eastAsiaTheme="minorEastAsia" w:cstheme="minorBidi"/>
          <w:kern w:val="2"/>
          <w:sz w:val="21"/>
          <w:lang w:val="en-US" w:eastAsia="zh-CN"/>
        </w:rPr>
      </w:pPr>
      <w:r>
        <w:fldChar w:fldCharType="begin"/>
      </w:r>
      <w:r>
        <w:instrText xml:space="preserve"> HYPERLINK \l "_Toc214629578" </w:instrText>
      </w:r>
      <w:r>
        <w:fldChar w:fldCharType="separate"/>
      </w:r>
      <w:r>
        <w:rPr>
          <w:rStyle w:val="28"/>
          <w:rFonts w:ascii="Times New Roman" w:hAnsi="Times New Roman" w:eastAsia="楷体_GB2312"/>
        </w:rPr>
        <w:t>（三）汇聚多元组织力量，提升群团与社会组织治理凝聚效能</w:t>
      </w:r>
      <w:r>
        <w:tab/>
      </w:r>
      <w:r>
        <w:rPr>
          <w:rFonts w:hint="eastAsia"/>
          <w:lang w:val="en-US" w:eastAsia="zh-CN"/>
        </w:rPr>
        <w:t>3</w:t>
      </w:r>
      <w:r>
        <w:fldChar w:fldCharType="end"/>
      </w:r>
      <w:r>
        <w:rPr>
          <w:rFonts w:hint="eastAsia"/>
          <w:lang w:val="en-US" w:eastAsia="zh-CN"/>
        </w:rPr>
        <w:t>4</w:t>
      </w:r>
    </w:p>
    <w:p>
      <w:pPr>
        <w:pStyle w:val="18"/>
        <w:tabs>
          <w:tab w:val="right" w:leader="dot" w:pos="8302"/>
        </w:tabs>
        <w:rPr>
          <w:rFonts w:hint="eastAsia" w:eastAsiaTheme="minorEastAsia" w:cstheme="minorBidi"/>
          <w:kern w:val="2"/>
          <w:sz w:val="21"/>
          <w:lang w:val="en-US" w:eastAsia="zh-CN"/>
        </w:rPr>
      </w:pPr>
      <w:r>
        <w:fldChar w:fldCharType="begin"/>
      </w:r>
      <w:r>
        <w:instrText xml:space="preserve"> HYPERLINK \l "_Toc214629579" </w:instrText>
      </w:r>
      <w:r>
        <w:fldChar w:fldCharType="separate"/>
      </w:r>
      <w:r>
        <w:rPr>
          <w:rStyle w:val="28"/>
          <w:rFonts w:ascii="Times New Roman" w:hAnsi="Times New Roman" w:eastAsia="楷体_GB2312"/>
        </w:rPr>
        <w:t>（四）强化基层政权建设，提升基层党组织统筹治理组织力与执行力</w:t>
      </w:r>
      <w:r>
        <w:tab/>
      </w:r>
      <w:r>
        <w:rPr>
          <w:rFonts w:hint="eastAsia"/>
          <w:lang w:val="en-US" w:eastAsia="zh-CN"/>
        </w:rPr>
        <w:t>3</w:t>
      </w:r>
      <w:r>
        <w:fldChar w:fldCharType="end"/>
      </w:r>
      <w:r>
        <w:rPr>
          <w:rFonts w:hint="eastAsia"/>
          <w:lang w:val="en-US" w:eastAsia="zh-CN"/>
        </w:rPr>
        <w:t>5</w:t>
      </w:r>
    </w:p>
    <w:p>
      <w:pPr>
        <w:pStyle w:val="18"/>
        <w:tabs>
          <w:tab w:val="right" w:leader="dot" w:pos="8302"/>
        </w:tabs>
        <w:rPr>
          <w:rFonts w:hint="eastAsia" w:eastAsiaTheme="minorEastAsia" w:cstheme="minorBidi"/>
          <w:kern w:val="2"/>
          <w:sz w:val="21"/>
          <w:lang w:val="en-US" w:eastAsia="zh-CN"/>
        </w:rPr>
      </w:pPr>
      <w:r>
        <w:fldChar w:fldCharType="begin"/>
      </w:r>
      <w:r>
        <w:instrText xml:space="preserve"> HYPERLINK \l "_Toc214629580" </w:instrText>
      </w:r>
      <w:r>
        <w:fldChar w:fldCharType="separate"/>
      </w:r>
      <w:r>
        <w:rPr>
          <w:rStyle w:val="28"/>
          <w:rFonts w:ascii="Times New Roman" w:hAnsi="Times New Roman" w:eastAsia="黑体"/>
        </w:rPr>
        <w:t>九、保障措施</w:t>
      </w:r>
      <w:r>
        <w:tab/>
      </w:r>
      <w:r>
        <w:rPr>
          <w:rFonts w:hint="eastAsia"/>
          <w:lang w:val="en-US" w:eastAsia="zh-CN"/>
        </w:rPr>
        <w:t>3</w:t>
      </w:r>
      <w:r>
        <w:fldChar w:fldCharType="end"/>
      </w:r>
      <w:r>
        <w:rPr>
          <w:rFonts w:hint="eastAsia"/>
          <w:lang w:val="en-US" w:eastAsia="zh-CN"/>
        </w:rPr>
        <w:t>6</w:t>
      </w:r>
    </w:p>
    <w:p>
      <w:pPr>
        <w:pStyle w:val="18"/>
        <w:tabs>
          <w:tab w:val="right" w:leader="dot" w:pos="8302"/>
        </w:tabs>
        <w:rPr>
          <w:rFonts w:hint="eastAsia" w:eastAsiaTheme="minorEastAsia" w:cstheme="minorBidi"/>
          <w:kern w:val="2"/>
          <w:sz w:val="21"/>
          <w:lang w:val="en-US" w:eastAsia="zh-CN"/>
        </w:rPr>
      </w:pPr>
      <w:r>
        <w:fldChar w:fldCharType="begin"/>
      </w:r>
      <w:r>
        <w:instrText xml:space="preserve"> HYPERLINK \l "_Toc214629581" </w:instrText>
      </w:r>
      <w:r>
        <w:fldChar w:fldCharType="separate"/>
      </w:r>
      <w:r>
        <w:rPr>
          <w:rStyle w:val="28"/>
          <w:rFonts w:ascii="Times New Roman" w:hAnsi="Times New Roman" w:eastAsia="楷体_GB2312"/>
        </w:rPr>
        <w:t>（一）组织与资金保障</w:t>
      </w:r>
      <w:r>
        <w:tab/>
      </w:r>
      <w:r>
        <w:rPr>
          <w:rFonts w:hint="eastAsia"/>
          <w:lang w:val="en-US" w:eastAsia="zh-CN"/>
        </w:rPr>
        <w:t>3</w:t>
      </w:r>
      <w:r>
        <w:fldChar w:fldCharType="end"/>
      </w:r>
      <w:r>
        <w:rPr>
          <w:rFonts w:hint="eastAsia"/>
          <w:lang w:val="en-US" w:eastAsia="zh-CN"/>
        </w:rPr>
        <w:t>6</w:t>
      </w:r>
    </w:p>
    <w:p>
      <w:pPr>
        <w:pStyle w:val="18"/>
        <w:tabs>
          <w:tab w:val="right" w:leader="dot" w:pos="8302"/>
        </w:tabs>
        <w:rPr>
          <w:rFonts w:hint="eastAsia" w:eastAsiaTheme="minorEastAsia" w:cstheme="minorBidi"/>
          <w:kern w:val="2"/>
          <w:sz w:val="21"/>
          <w:lang w:val="en-US" w:eastAsia="zh-CN"/>
        </w:rPr>
      </w:pPr>
      <w:r>
        <w:fldChar w:fldCharType="begin"/>
      </w:r>
      <w:r>
        <w:instrText xml:space="preserve"> HYPERLINK \l "_Toc214629582" </w:instrText>
      </w:r>
      <w:r>
        <w:fldChar w:fldCharType="separate"/>
      </w:r>
      <w:r>
        <w:rPr>
          <w:rStyle w:val="28"/>
          <w:rFonts w:ascii="Times New Roman" w:hAnsi="Times New Roman" w:eastAsia="楷体_GB2312"/>
        </w:rPr>
        <w:t>（二）安全与科技保障</w:t>
      </w:r>
      <w:r>
        <w:rPr>
          <w:rStyle w:val="28"/>
          <w:rFonts w:ascii="Times New Roman" w:hAnsi="Times New Roman" w:eastAsia="MS Gothic"/>
        </w:rPr>
        <w:t>​</w:t>
      </w:r>
      <w:r>
        <w:tab/>
      </w:r>
      <w:r>
        <w:rPr>
          <w:rFonts w:hint="eastAsia"/>
          <w:lang w:val="en-US" w:eastAsia="zh-CN"/>
        </w:rPr>
        <w:t>3</w:t>
      </w:r>
      <w:r>
        <w:fldChar w:fldCharType="end"/>
      </w:r>
      <w:r>
        <w:rPr>
          <w:rFonts w:hint="eastAsia"/>
          <w:lang w:val="en-US" w:eastAsia="zh-CN"/>
        </w:rPr>
        <w:t>8</w:t>
      </w:r>
    </w:p>
    <w:p>
      <w:pPr>
        <w:pStyle w:val="18"/>
        <w:tabs>
          <w:tab w:val="right" w:leader="dot" w:pos="8302"/>
        </w:tabs>
        <w:rPr>
          <w:rFonts w:hint="eastAsia" w:eastAsiaTheme="minorEastAsia" w:cstheme="minorBidi"/>
          <w:kern w:val="2"/>
          <w:sz w:val="21"/>
          <w:lang w:eastAsia="zh-CN"/>
        </w:rPr>
      </w:pPr>
      <w:r>
        <w:fldChar w:fldCharType="begin"/>
      </w:r>
      <w:r>
        <w:instrText xml:space="preserve"> HYPERLINK \l "_Toc214629583" </w:instrText>
      </w:r>
      <w:r>
        <w:fldChar w:fldCharType="separate"/>
      </w:r>
      <w:r>
        <w:rPr>
          <w:rStyle w:val="28"/>
          <w:rFonts w:ascii="Times New Roman" w:hAnsi="Times New Roman" w:eastAsia="楷体_GB2312"/>
        </w:rPr>
        <w:t>（三）心理与法治保障</w:t>
      </w:r>
      <w:r>
        <w:tab/>
      </w:r>
      <w:r>
        <w:rPr>
          <w:rFonts w:hint="eastAsia"/>
        </w:rPr>
        <w:t>3</w:t>
      </w:r>
      <w:r>
        <w:rPr>
          <w:rFonts w:hint="eastAsia"/>
        </w:rPr>
        <w:fldChar w:fldCharType="end"/>
      </w:r>
      <w:r>
        <w:rPr>
          <w:rFonts w:hint="eastAsia"/>
          <w:lang w:val="en-US" w:eastAsia="zh-CN"/>
        </w:rPr>
        <w:t>8</w:t>
      </w:r>
    </w:p>
    <w:p>
      <w:pPr>
        <w:pStyle w:val="18"/>
        <w:tabs>
          <w:tab w:val="right" w:leader="dot" w:pos="8302"/>
        </w:tabs>
        <w:rPr>
          <w:rFonts w:hint="eastAsia" w:eastAsiaTheme="minorEastAsia" w:cstheme="minorBidi"/>
          <w:kern w:val="2"/>
          <w:sz w:val="21"/>
          <w:lang w:val="en-US" w:eastAsia="zh-CN"/>
        </w:rPr>
      </w:pPr>
      <w:r>
        <w:fldChar w:fldCharType="begin"/>
      </w:r>
      <w:r>
        <w:instrText xml:space="preserve"> HYPERLINK \l "_Toc214629584" </w:instrText>
      </w:r>
      <w:r>
        <w:fldChar w:fldCharType="separate"/>
      </w:r>
      <w:r>
        <w:rPr>
          <w:rStyle w:val="28"/>
          <w:rFonts w:ascii="Times New Roman" w:hAnsi="Times New Roman" w:eastAsia="楷体_GB2312"/>
        </w:rPr>
        <w:t>（四）社会工作队伍支撑</w:t>
      </w:r>
      <w:r>
        <w:tab/>
      </w:r>
      <w:r>
        <w:rPr>
          <w:rFonts w:hint="eastAsia"/>
          <w:lang w:val="en-US" w:eastAsia="zh-CN"/>
        </w:rPr>
        <w:t>3</w:t>
      </w:r>
      <w:r>
        <w:rPr>
          <w:rFonts w:hint="eastAsia"/>
        </w:rPr>
        <w:fldChar w:fldCharType="end"/>
      </w:r>
      <w:r>
        <w:rPr>
          <w:rFonts w:hint="eastAsia"/>
          <w:lang w:val="en-US" w:eastAsia="zh-CN"/>
        </w:rPr>
        <w:t>9</w:t>
      </w:r>
    </w:p>
    <w:p>
      <w:pPr>
        <w:ind w:firstLine="660" w:firstLineChars="300"/>
        <w:rPr>
          <w:rFonts w:hint="default" w:eastAsia="微软雅黑"/>
          <w:lang w:val="en-US" w:eastAsia="zh-CN"/>
        </w:rPr>
      </w:pPr>
    </w:p>
    <w:p>
      <w:pPr>
        <w:spacing w:before="0" w:after="0" w:line="560" w:lineRule="exact"/>
        <w:ind w:firstLine="640" w:firstLineChars="200"/>
        <w:rPr>
          <w:rFonts w:ascii="Times New Roman" w:hAnsi="Times New Roman" w:eastAsia="等线" w:cs="Times New Roman"/>
          <w:color w:val="auto"/>
          <w:sz w:val="32"/>
        </w:rPr>
        <w:sectPr>
          <w:footerReference r:id="rId4" w:type="default"/>
          <w:pgSz w:w="11906" w:h="16838"/>
          <w:pgMar w:top="2098" w:right="1474" w:bottom="1984" w:left="1587" w:header="851" w:footer="992" w:gutter="0"/>
          <w:pgNumType w:fmt="numberInDash" w:start="1"/>
          <w:cols w:space="0" w:num="1"/>
          <w:docGrid w:type="lines" w:linePitch="387" w:charSpace="0"/>
        </w:sectPr>
      </w:pPr>
      <w:r>
        <w:rPr>
          <w:rFonts w:ascii="Times New Roman" w:hAnsi="Times New Roman" w:eastAsia="等线" w:cs="Times New Roman"/>
          <w:color w:val="auto"/>
          <w:sz w:val="32"/>
        </w:rPr>
        <w:fldChar w:fldCharType="end"/>
      </w:r>
    </w:p>
    <w:p>
      <w:pPr>
        <w:pStyle w:val="3"/>
        <w:spacing w:before="0" w:after="0" w:line="560" w:lineRule="exact"/>
        <w:ind w:firstLine="640" w:firstLineChars="200"/>
        <w:rPr>
          <w:rFonts w:ascii="Times New Roman" w:hAnsi="Times New Roman" w:cs="Times New Roman"/>
          <w:b w:val="0"/>
          <w:bCs/>
          <w:color w:val="auto"/>
        </w:rPr>
      </w:pPr>
      <w:bookmarkStart w:id="1" w:name="_Toc214629546"/>
      <w:r>
        <w:rPr>
          <w:rFonts w:ascii="Times New Roman" w:hAnsi="Times New Roman" w:eastAsia="黑体" w:cs="Times New Roman"/>
          <w:b w:val="0"/>
          <w:bCs/>
          <w:color w:val="auto"/>
          <w:sz w:val="32"/>
        </w:rPr>
        <w:t>一、发展基础</w:t>
      </w:r>
      <w:bookmarkEnd w:id="1"/>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2" w:name="_Toc214629547"/>
      <w:r>
        <w:rPr>
          <w:rFonts w:hint="eastAsia" w:ascii="楷体_GB2312" w:hAnsi="楷体_GB2312" w:eastAsia="楷体_GB2312" w:cs="楷体_GB2312"/>
          <w:b w:val="0"/>
          <w:bCs/>
          <w:color w:val="auto"/>
          <w:sz w:val="32"/>
        </w:rPr>
        <w:t>（一）“十四五”时期社会治理取得的成绩</w:t>
      </w:r>
      <w:bookmarkEnd w:id="2"/>
    </w:p>
    <w:p>
      <w:pPr>
        <w:snapToGrid w:val="0"/>
        <w:spacing w:before="0" w:after="0" w:line="560" w:lineRule="exact"/>
        <w:ind w:firstLine="640" w:firstLineChars="200"/>
        <w:rPr>
          <w:rFonts w:ascii="Times New Roman" w:hAnsi="Times New Roman" w:eastAsia="仿宋_GB2312" w:cs="Times New Roman"/>
          <w:color w:val="auto"/>
          <w:sz w:val="32"/>
        </w:rPr>
      </w:pPr>
      <w:r>
        <w:rPr>
          <w:rFonts w:hint="eastAsia" w:ascii="Times New Roman" w:hAnsi="Times New Roman" w:eastAsia="仿宋_GB2312" w:cs="Times New Roman"/>
          <w:color w:val="auto"/>
          <w:sz w:val="32"/>
          <w:lang w:eastAsia="zh-CN"/>
        </w:rPr>
        <w:t>“</w:t>
      </w:r>
      <w:r>
        <w:rPr>
          <w:rFonts w:ascii="Times New Roman" w:hAnsi="Times New Roman" w:eastAsia="仿宋_GB2312" w:cs="Times New Roman"/>
          <w:color w:val="auto"/>
          <w:sz w:val="32"/>
        </w:rPr>
        <w:t>十四五</w:t>
      </w:r>
      <w:r>
        <w:rPr>
          <w:rFonts w:hint="eastAsia" w:ascii="Times New Roman" w:hAnsi="Times New Roman" w:eastAsia="仿宋_GB2312" w:cs="Times New Roman"/>
          <w:color w:val="auto"/>
          <w:sz w:val="32"/>
          <w:lang w:eastAsia="zh-CN"/>
        </w:rPr>
        <w:t>”</w:t>
      </w:r>
      <w:r>
        <w:rPr>
          <w:rFonts w:ascii="Times New Roman" w:hAnsi="Times New Roman" w:eastAsia="仿宋_GB2312" w:cs="Times New Roman"/>
          <w:color w:val="auto"/>
          <w:sz w:val="32"/>
        </w:rPr>
        <w:t>期间，延庆区深入贯彻党中央关于社会治理现代化的战略部署，全面落实市委、市政府工作要求，聚焦党建引领、服务优化、治理协同、群众参与、社会文明与社会安全等核心领域，持续推动社会治理体系和治理能力现代化建设，社会治理效能显著提升。</w:t>
      </w:r>
    </w:p>
    <w:p>
      <w:pPr>
        <w:snapToGrid w:val="0"/>
        <w:spacing w:before="0" w:after="0" w:line="560" w:lineRule="exact"/>
        <w:ind w:firstLine="643" w:firstLineChars="200"/>
        <w:rPr>
          <w:rFonts w:ascii="Times New Roman" w:hAnsi="Times New Roman" w:eastAsia="仿宋_GB2312" w:cs="Times New Roman"/>
          <w:b/>
          <w:color w:val="auto"/>
          <w:sz w:val="32"/>
        </w:rPr>
      </w:pPr>
      <w:r>
        <w:rPr>
          <w:rFonts w:hint="eastAsia" w:ascii="仿宋_GB2312" w:hAnsi="仿宋_GB2312" w:eastAsia="仿宋_GB2312" w:cs="仿宋_GB2312"/>
          <w:b/>
          <w:color w:val="auto"/>
          <w:sz w:val="32"/>
          <w:lang w:val="en-US" w:eastAsia="zh-CN"/>
        </w:rPr>
        <w:t>1.</w:t>
      </w:r>
      <w:r>
        <w:rPr>
          <w:rFonts w:ascii="Times New Roman" w:hAnsi="Times New Roman" w:eastAsia="仿宋_GB2312" w:cs="Times New Roman"/>
          <w:b/>
          <w:color w:val="auto"/>
          <w:sz w:val="32"/>
        </w:rPr>
        <w:t>制度设计细化落地，社会治理体系不断完善。</w:t>
      </w:r>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延庆区坚持以党建引领为核心，系统构建统筹协调、上下联动的社会治理体系，推动治理模式由单一管理向多元协同共治转变。成</w:t>
      </w:r>
      <w:r>
        <w:rPr>
          <w:rFonts w:hint="eastAsia" w:ascii="Times New Roman" w:hAnsi="Times New Roman" w:eastAsia="仿宋_GB2312" w:cs="Times New Roman"/>
          <w:color w:val="auto"/>
          <w:sz w:val="32"/>
        </w:rPr>
        <w:t>立区委社建引领基层治理、“两企三新”党建工作、社会组织发展管理</w:t>
      </w:r>
      <w:r>
        <w:rPr>
          <w:rFonts w:hint="eastAsia" w:ascii="仿宋_GB2312" w:hAnsi="仿宋_GB2312" w:eastAsia="仿宋_GB2312" w:cs="仿宋_GB2312"/>
          <w:color w:val="auto"/>
          <w:sz w:val="32"/>
          <w:highlight w:val="none"/>
        </w:rPr>
        <w:t>、志愿服务统筹4项专项协调机制，形成“机制统筹、专班推进、部门落实”的工作模式。优化街道乡镇机构设置，推进街道综合执法改革，规范协管力量管理，街道乡镇统筹协调与服务能力显著增强。贯彻落实《北京市街道办事处条例》等政策法规，构建</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1+1+1+N</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政策体系，</w:t>
      </w:r>
      <w:r>
        <w:rPr>
          <w:rFonts w:hint="eastAsia" w:ascii="仿宋_GB2312" w:hAnsi="仿宋_GB2312" w:eastAsia="仿宋_GB2312" w:cs="仿宋_GB2312"/>
          <w:color w:val="auto"/>
          <w:sz w:val="32"/>
          <w:highlight w:val="none"/>
          <w:lang w:eastAsia="zh-CN"/>
        </w:rPr>
        <w:t>“十四五”期间，累计完成街道工作重点任务</w:t>
      </w:r>
      <w:r>
        <w:rPr>
          <w:rFonts w:hint="eastAsia" w:ascii="仿宋_GB2312" w:hAnsi="仿宋_GB2312" w:eastAsia="仿宋_GB2312" w:cs="仿宋_GB2312"/>
          <w:color w:val="auto"/>
          <w:sz w:val="32"/>
          <w:highlight w:val="none"/>
          <w:lang w:val="en-US" w:eastAsia="zh-CN"/>
        </w:rPr>
        <w:t>103项，</w:t>
      </w:r>
      <w:r>
        <w:rPr>
          <w:rFonts w:hint="eastAsia" w:ascii="仿宋_GB2312" w:hAnsi="仿宋_GB2312" w:eastAsia="仿宋_GB2312" w:cs="仿宋_GB2312"/>
          <w:color w:val="auto"/>
          <w:sz w:val="32"/>
          <w:highlight w:val="none"/>
        </w:rPr>
        <w:t>依托社区党</w:t>
      </w:r>
      <w:r>
        <w:rPr>
          <w:rFonts w:hint="eastAsia" w:ascii="仿宋_GB2312" w:hAnsi="仿宋_GB2312" w:eastAsia="仿宋_GB2312" w:cs="仿宋_GB2312"/>
          <w:color w:val="auto"/>
          <w:sz w:val="32"/>
          <w:highlight w:val="none"/>
          <w:lang w:eastAsia="zh-CN"/>
        </w:rPr>
        <w:t>组织</w:t>
      </w:r>
      <w:r>
        <w:rPr>
          <w:rFonts w:hint="eastAsia" w:ascii="仿宋_GB2312" w:hAnsi="仿宋_GB2312" w:eastAsia="仿宋_GB2312" w:cs="仿宋_GB2312"/>
          <w:color w:val="auto"/>
          <w:sz w:val="32"/>
          <w:highlight w:val="none"/>
        </w:rPr>
        <w:t>、服务站、“枢</w:t>
      </w:r>
      <w:r>
        <w:rPr>
          <w:rFonts w:hint="eastAsia" w:ascii="Times New Roman" w:hAnsi="Times New Roman" w:eastAsia="仿宋_GB2312" w:cs="Times New Roman"/>
          <w:color w:val="auto"/>
          <w:sz w:val="32"/>
        </w:rPr>
        <w:t>纽型”社会组织</w:t>
      </w:r>
      <w:r>
        <w:rPr>
          <w:rFonts w:hint="eastAsia" w:ascii="Times New Roman" w:hAnsi="Times New Roman" w:eastAsia="仿宋_GB2312" w:cs="Times New Roman"/>
          <w:color w:val="auto"/>
          <w:sz w:val="32"/>
          <w:lang w:eastAsia="zh-CN"/>
        </w:rPr>
        <w:t>等</w:t>
      </w:r>
      <w:r>
        <w:rPr>
          <w:rFonts w:hint="eastAsia" w:ascii="Times New Roman" w:hAnsi="Times New Roman" w:eastAsia="仿宋_GB2312" w:cs="Times New Roman"/>
          <w:color w:val="auto"/>
          <w:sz w:val="32"/>
        </w:rPr>
        <w:t>，实现社区治理资源整合与多元参与。</w:t>
      </w:r>
    </w:p>
    <w:p>
      <w:pPr>
        <w:snapToGrid w:val="0"/>
        <w:spacing w:before="0" w:after="0" w:line="560" w:lineRule="exact"/>
        <w:ind w:firstLine="643" w:firstLineChars="200"/>
        <w:rPr>
          <w:rFonts w:ascii="Times New Roman" w:hAnsi="Times New Roman" w:eastAsia="仿宋_GB2312" w:cs="Times New Roman"/>
          <w:b/>
          <w:color w:val="auto"/>
          <w:sz w:val="32"/>
        </w:rPr>
      </w:pPr>
      <w:r>
        <w:rPr>
          <w:rFonts w:hint="eastAsia" w:ascii="仿宋_GB2312" w:hAnsi="仿宋_GB2312" w:eastAsia="仿宋_GB2312" w:cs="仿宋_GB2312"/>
          <w:b/>
          <w:color w:val="auto"/>
          <w:sz w:val="32"/>
          <w:lang w:val="en-US" w:eastAsia="zh-CN"/>
        </w:rPr>
        <w:t>2.</w:t>
      </w:r>
      <w:r>
        <w:rPr>
          <w:rFonts w:ascii="Times New Roman" w:hAnsi="Times New Roman" w:eastAsia="仿宋_GB2312" w:cs="Times New Roman"/>
          <w:b/>
          <w:color w:val="auto"/>
          <w:sz w:val="32"/>
        </w:rPr>
        <w:t>服务体系供给能力不断增强，服务资源更加均衡发展。</w:t>
      </w:r>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延庆区以落实“七有”要求、满足“五性”需求为导向，持续提升公共服务供给能力，完善民生保障体系。教育领域普惠与公平并举，学前三年毛入园率达95%，高中阶段毛入学率超98%。医疗体系持续完善，卫生机构增至4</w:t>
      </w:r>
      <w:r>
        <w:rPr>
          <w:rFonts w:hint="eastAsia" w:ascii="仿宋_GB2312" w:hAnsi="仿宋_GB2312" w:eastAsia="仿宋_GB2312" w:cs="仿宋_GB2312"/>
          <w:color w:val="auto"/>
          <w:sz w:val="32"/>
          <w:highlight w:val="none"/>
          <w:lang w:val="en-US" w:eastAsia="zh-CN"/>
        </w:rPr>
        <w:t>67</w:t>
      </w:r>
      <w:r>
        <w:rPr>
          <w:rFonts w:hint="eastAsia" w:ascii="仿宋_GB2312" w:hAnsi="仿宋_GB2312" w:eastAsia="仿宋_GB2312" w:cs="仿宋_GB2312"/>
          <w:color w:val="auto"/>
          <w:sz w:val="32"/>
          <w:highlight w:val="none"/>
        </w:rPr>
        <w:t>个，基本实现社区卫生服务全覆盖。养老服务体系更加多样，</w:t>
      </w:r>
      <w:r>
        <w:rPr>
          <w:rFonts w:hint="eastAsia" w:ascii="仿宋_GB2312" w:hAnsi="仿宋_GB2312" w:eastAsia="仿宋_GB2312" w:cs="仿宋_GB2312"/>
          <w:color w:val="auto"/>
          <w:sz w:val="32"/>
          <w:highlight w:val="none"/>
          <w:lang w:eastAsia="zh-CN"/>
        </w:rPr>
        <w:t>建成区域养老服务中心</w:t>
      </w:r>
      <w:r>
        <w:rPr>
          <w:rFonts w:hint="eastAsia" w:ascii="仿宋_GB2312" w:hAnsi="仿宋_GB2312" w:eastAsia="仿宋_GB2312" w:cs="仿宋_GB2312"/>
          <w:color w:val="auto"/>
          <w:sz w:val="32"/>
          <w:highlight w:val="none"/>
          <w:lang w:val="en-US" w:eastAsia="zh-CN"/>
        </w:rPr>
        <w:t>7家、</w:t>
      </w:r>
      <w:r>
        <w:rPr>
          <w:rFonts w:hint="eastAsia" w:ascii="仿宋_GB2312" w:hAnsi="仿宋_GB2312" w:eastAsia="仿宋_GB2312" w:cs="仿宋_GB2312"/>
          <w:color w:val="auto"/>
          <w:sz w:val="32"/>
          <w:highlight w:val="none"/>
        </w:rPr>
        <w:t>养老服务驿站</w:t>
      </w:r>
      <w:r>
        <w:rPr>
          <w:rFonts w:hint="eastAsia" w:ascii="仿宋_GB2312" w:hAnsi="仿宋_GB2312" w:eastAsia="仿宋_GB2312" w:cs="仿宋_GB2312"/>
          <w:color w:val="auto"/>
          <w:sz w:val="32"/>
          <w:highlight w:val="none"/>
          <w:lang w:val="en-US" w:eastAsia="zh-CN"/>
        </w:rPr>
        <w:t>33</w:t>
      </w:r>
      <w:r>
        <w:rPr>
          <w:rFonts w:hint="eastAsia" w:ascii="仿宋_GB2312" w:hAnsi="仿宋_GB2312" w:eastAsia="仿宋_GB2312" w:cs="仿宋_GB2312"/>
          <w:color w:val="auto"/>
          <w:sz w:val="32"/>
          <w:highlight w:val="none"/>
        </w:rPr>
        <w:t>家、养老助餐点1</w:t>
      </w:r>
      <w:r>
        <w:rPr>
          <w:rFonts w:hint="eastAsia" w:ascii="仿宋_GB2312" w:hAnsi="仿宋_GB2312" w:eastAsia="仿宋_GB2312" w:cs="仿宋_GB2312"/>
          <w:color w:val="auto"/>
          <w:sz w:val="32"/>
          <w:highlight w:val="none"/>
          <w:lang w:val="en-US" w:eastAsia="zh-CN"/>
        </w:rPr>
        <w:t>13</w:t>
      </w:r>
      <w:r>
        <w:rPr>
          <w:rFonts w:hint="eastAsia" w:ascii="仿宋_GB2312" w:hAnsi="仿宋_GB2312" w:eastAsia="仿宋_GB2312" w:cs="仿宋_GB2312"/>
          <w:color w:val="auto"/>
          <w:sz w:val="32"/>
          <w:highlight w:val="none"/>
        </w:rPr>
        <w:t>家，助餐、助医、助洁等功能不断拓展。公共文化体育设施实现全覆盖，人均体育场地面积7.7平方米居全市首位。</w:t>
      </w:r>
      <w:r>
        <w:rPr>
          <w:rFonts w:hint="eastAsia" w:ascii="仿宋_GB2312" w:hAnsi="仿宋_GB2312" w:eastAsia="仿宋_GB2312" w:cs="仿宋_GB2312"/>
          <w:color w:val="auto"/>
          <w:sz w:val="32"/>
          <w:highlight w:val="none"/>
          <w:lang w:eastAsia="zh-CN"/>
        </w:rPr>
        <w:t>健全</w:t>
      </w:r>
      <w:r>
        <w:rPr>
          <w:rFonts w:hint="eastAsia" w:ascii="仿宋_GB2312" w:hAnsi="仿宋_GB2312" w:eastAsia="仿宋_GB2312" w:cs="仿宋_GB2312"/>
          <w:color w:val="auto"/>
          <w:sz w:val="32"/>
          <w:highlight w:val="none"/>
        </w:rPr>
        <w:t>三级社会工作服务体系，实现18个街乡93个社区（村）级社工站服务网络辐射全区。深化社会服务专业化、社会化改革，支持社会力量参与公共服务供给，建设“一刻钟社区服务圈”，形成政府主导、社会协同、共建共享的现代民生服务格局。</w:t>
      </w:r>
    </w:p>
    <w:p>
      <w:pPr>
        <w:snapToGrid w:val="0"/>
        <w:spacing w:before="0" w:after="0" w:line="560" w:lineRule="exact"/>
        <w:ind w:firstLine="643" w:firstLineChars="200"/>
        <w:rPr>
          <w:rFonts w:ascii="Times New Roman" w:hAnsi="Times New Roman" w:eastAsia="仿宋_GB2312" w:cs="Times New Roman"/>
          <w:b/>
          <w:color w:val="auto"/>
          <w:sz w:val="32"/>
        </w:rPr>
      </w:pPr>
      <w:r>
        <w:rPr>
          <w:rFonts w:hint="eastAsia" w:ascii="仿宋_GB2312" w:hAnsi="仿宋_GB2312" w:eastAsia="仿宋_GB2312" w:cs="仿宋_GB2312"/>
          <w:b/>
          <w:color w:val="auto"/>
          <w:sz w:val="32"/>
          <w:lang w:val="en-US" w:eastAsia="zh-CN"/>
        </w:rPr>
        <w:t>3.</w:t>
      </w:r>
      <w:r>
        <w:rPr>
          <w:rFonts w:ascii="Times New Roman" w:hAnsi="Times New Roman" w:eastAsia="仿宋_GB2312" w:cs="Times New Roman"/>
          <w:b/>
          <w:color w:val="auto"/>
          <w:sz w:val="32"/>
        </w:rPr>
        <w:t>基层治理不断深入，党建引领成效明显增强。</w:t>
      </w:r>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延庆区以党建引领体制机制创新，持续深化“吹哨报到”改革，完善“接诉即办”机制，</w:t>
      </w:r>
      <w:r>
        <w:rPr>
          <w:rFonts w:hint="eastAsia" w:ascii="仿宋_GB2312" w:hAnsi="仿宋_GB2312" w:eastAsia="仿宋_GB2312" w:cs="仿宋_GB2312"/>
          <w:color w:val="auto"/>
          <w:sz w:val="32"/>
          <w:highlight w:val="none"/>
          <w:lang w:eastAsia="zh-CN"/>
        </w:rPr>
        <w:t>百泉街道、儒林街道、</w:t>
      </w:r>
      <w:r>
        <w:rPr>
          <w:rFonts w:hint="eastAsia" w:ascii="仿宋_GB2312" w:hAnsi="仿宋_GB2312" w:eastAsia="仿宋_GB2312" w:cs="仿宋_GB2312"/>
          <w:color w:val="auto"/>
          <w:sz w:val="32"/>
          <w:highlight w:val="none"/>
          <w:lang w:val="en-US" w:eastAsia="zh-CN"/>
        </w:rPr>
        <w:t>大庄科乡、珍珠泉乡、四海镇</w:t>
      </w:r>
      <w:r>
        <w:rPr>
          <w:rFonts w:hint="eastAsia" w:ascii="仿宋_GB2312" w:hAnsi="仿宋_GB2312" w:eastAsia="仿宋_GB2312" w:cs="仿宋_GB2312"/>
          <w:color w:val="auto"/>
          <w:sz w:val="32"/>
          <w:highlight w:val="none"/>
          <w:lang w:eastAsia="zh-CN"/>
        </w:rPr>
        <w:t>市民服务热线综合成绩累计多个月排名全市第一，</w:t>
      </w:r>
      <w:r>
        <w:rPr>
          <w:rFonts w:hint="eastAsia" w:ascii="仿宋_GB2312" w:hAnsi="仿宋_GB2312" w:eastAsia="仿宋_GB2312" w:cs="仿宋_GB2312"/>
          <w:color w:val="auto"/>
          <w:sz w:val="32"/>
          <w:highlight w:val="none"/>
        </w:rPr>
        <w:t>推行“15分钟响应”“问题台账”</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包村蹲点调研</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等</w:t>
      </w:r>
      <w:r>
        <w:rPr>
          <w:rFonts w:hint="eastAsia" w:ascii="仿宋_GB2312" w:hAnsi="仿宋_GB2312" w:eastAsia="仿宋_GB2312" w:cs="仿宋_GB2312"/>
          <w:color w:val="auto"/>
          <w:sz w:val="32"/>
          <w:highlight w:val="none"/>
        </w:rPr>
        <w:t>制度，推动“零工单”社区（村）建设，居民满意率保持全市前列。深化“美丽延庆·五彩党建”品牌建设，党建与社会治理、乡村振兴、产业发展深度融合，累计培育</w:t>
      </w:r>
      <w:r>
        <w:rPr>
          <w:rFonts w:hint="eastAsia" w:ascii="仿宋_GB2312" w:hAnsi="仿宋_GB2312" w:eastAsia="仿宋_GB2312" w:cs="仿宋_GB2312"/>
          <w:color w:val="auto"/>
          <w:sz w:val="32"/>
          <w:highlight w:val="none"/>
          <w:lang w:val="en-US" w:eastAsia="zh-CN"/>
        </w:rPr>
        <w:t>150</w:t>
      </w:r>
      <w:r>
        <w:rPr>
          <w:rFonts w:hint="eastAsia" w:ascii="仿宋_GB2312" w:hAnsi="仿宋_GB2312" w:eastAsia="仿宋_GB2312" w:cs="仿宋_GB2312"/>
          <w:color w:val="auto"/>
          <w:sz w:val="32"/>
          <w:highlight w:val="none"/>
        </w:rPr>
        <w:t>个特色党建品牌。</w:t>
      </w:r>
      <w:r>
        <w:rPr>
          <w:rFonts w:hint="eastAsia" w:ascii="仿宋_GB2312" w:hAnsi="仿宋_GB2312" w:eastAsia="仿宋_GB2312" w:cs="仿宋_GB2312"/>
          <w:color w:val="auto"/>
          <w:sz w:val="32"/>
          <w:highlight w:val="none"/>
          <w:lang w:val="en-US" w:eastAsia="zh-CN"/>
        </w:rPr>
        <w:t>首次完成</w:t>
      </w:r>
      <w:r>
        <w:rPr>
          <w:rFonts w:hint="eastAsia" w:ascii="仿宋_GB2312" w:hAnsi="仿宋_GB2312" w:eastAsia="仿宋_GB2312" w:cs="仿宋_GB2312"/>
          <w:color w:val="auto"/>
          <w:sz w:val="32"/>
          <w:highlight w:val="none"/>
        </w:rPr>
        <w:t>李四官庄、谷家营撤村建居</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推进民主村、南辛堡撤村建居，明确商品房小区、回迁房小区、农民上楼小区的管理权属，</w:t>
      </w:r>
      <w:r>
        <w:rPr>
          <w:rFonts w:hint="eastAsia" w:ascii="仿宋_GB2312" w:hAnsi="仿宋_GB2312" w:eastAsia="仿宋_GB2312" w:cs="仿宋_GB2312"/>
          <w:color w:val="auto"/>
          <w:sz w:val="32"/>
          <w:highlight w:val="none"/>
          <w:lang w:eastAsia="zh-CN"/>
        </w:rPr>
        <w:t>提升</w:t>
      </w:r>
      <w:r>
        <w:rPr>
          <w:rFonts w:hint="eastAsia" w:ascii="仿宋_GB2312" w:hAnsi="仿宋_GB2312" w:eastAsia="仿宋_GB2312" w:cs="仿宋_GB2312"/>
          <w:color w:val="auto"/>
          <w:sz w:val="32"/>
          <w:highlight w:val="none"/>
        </w:rPr>
        <w:t>社区治理精细化、规范化水平。推行“楼门管家”项目，完善“党建+网格”治理模式，形成基层“微治理”样板。全区18个街道（乡镇）和48个成建制社区全部建立党建工作协调委员会，形成“大党委”共治格局。推行领导干部基层联系点制度，完善“固定+阶段”联系模式，促进民生问题有效解决。儒林街道《如家共治，邻睦公举，传递“儒林温度”》获评2023全国城乡社区高质量发展典型案例。加大“两新”组织党建</w:t>
      </w:r>
      <w:r>
        <w:rPr>
          <w:rFonts w:hint="eastAsia" w:ascii="仿宋_GB2312" w:hAnsi="仿宋_GB2312" w:eastAsia="仿宋_GB2312" w:cs="仿宋_GB2312"/>
          <w:color w:val="auto"/>
          <w:sz w:val="32"/>
          <w:highlight w:val="none"/>
          <w:lang w:eastAsia="zh-CN"/>
        </w:rPr>
        <w:t>工作</w:t>
      </w:r>
      <w:r>
        <w:rPr>
          <w:rFonts w:hint="eastAsia" w:ascii="仿宋_GB2312" w:hAnsi="仿宋_GB2312" w:eastAsia="仿宋_GB2312" w:cs="仿宋_GB2312"/>
          <w:color w:val="auto"/>
          <w:sz w:val="32"/>
          <w:highlight w:val="none"/>
        </w:rPr>
        <w:t>力度，</w:t>
      </w:r>
      <w:r>
        <w:rPr>
          <w:rFonts w:hint="eastAsia" w:ascii="仿宋_GB2312" w:hAnsi="仿宋_GB2312" w:eastAsia="仿宋_GB2312" w:cs="仿宋_GB2312"/>
          <w:color w:val="auto"/>
          <w:sz w:val="32"/>
          <w:highlight w:val="none"/>
          <w:lang w:eastAsia="zh-CN"/>
        </w:rPr>
        <w:t>充分发挥基层党支部的战斗堡垒作用，</w:t>
      </w:r>
      <w:r>
        <w:rPr>
          <w:rFonts w:hint="eastAsia" w:ascii="仿宋_GB2312" w:hAnsi="仿宋_GB2312" w:eastAsia="仿宋_GB2312" w:cs="仿宋_GB2312"/>
          <w:color w:val="auto"/>
          <w:sz w:val="32"/>
          <w:highlight w:val="none"/>
        </w:rPr>
        <w:t>党的组织覆盖率和引领力显著提升。</w:t>
      </w:r>
    </w:p>
    <w:p>
      <w:pPr>
        <w:snapToGrid w:val="0"/>
        <w:spacing w:before="0" w:after="0" w:line="560" w:lineRule="exact"/>
        <w:ind w:firstLine="643" w:firstLineChars="200"/>
        <w:rPr>
          <w:rFonts w:ascii="Times New Roman" w:hAnsi="Times New Roman" w:eastAsia="仿宋_GB2312" w:cs="Times New Roman"/>
          <w:b/>
          <w:color w:val="auto"/>
          <w:sz w:val="32"/>
        </w:rPr>
      </w:pPr>
      <w:r>
        <w:rPr>
          <w:rFonts w:hint="eastAsia" w:ascii="仿宋_GB2312" w:hAnsi="仿宋_GB2312" w:eastAsia="仿宋_GB2312" w:cs="仿宋_GB2312"/>
          <w:b/>
          <w:color w:val="auto"/>
          <w:sz w:val="32"/>
          <w:lang w:val="en-US" w:eastAsia="zh-CN"/>
        </w:rPr>
        <w:t>4.</w:t>
      </w:r>
      <w:r>
        <w:rPr>
          <w:rFonts w:ascii="Times New Roman" w:hAnsi="Times New Roman" w:eastAsia="仿宋_GB2312" w:cs="Times New Roman"/>
          <w:b/>
          <w:color w:val="auto"/>
          <w:sz w:val="32"/>
        </w:rPr>
        <w:t>社会文明水平不断提升，群众社会参与意识日益增强。</w:t>
      </w:r>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延庆区以巩固全国文明城区创建成果为方向，实施全民文明素质提升五年行动，制定《延庆乡亲文明公约》，健全诚信与社会责任体系，“争做文明有礼的延庆人”深入人心。</w:t>
      </w:r>
      <w:r>
        <w:rPr>
          <w:rFonts w:hint="eastAsia" w:ascii="仿宋_GB2312" w:hAnsi="仿宋_GB2312" w:eastAsia="仿宋_GB2312" w:cs="仿宋_GB2312"/>
          <w:color w:val="auto"/>
          <w:sz w:val="32"/>
          <w:highlight w:val="none"/>
          <w:lang w:eastAsia="zh-CN"/>
        </w:rPr>
        <w:t>持续加强社会组织培育管理，</w:t>
      </w:r>
      <w:r>
        <w:rPr>
          <w:rFonts w:hint="eastAsia" w:ascii="仿宋_GB2312" w:hAnsi="仿宋_GB2312" w:eastAsia="仿宋_GB2312" w:cs="仿宋_GB2312"/>
          <w:color w:val="auto"/>
          <w:sz w:val="32"/>
          <w:highlight w:val="none"/>
          <w:lang w:val="en-US" w:eastAsia="zh-CN"/>
        </w:rPr>
        <w:t>284家社会组</w:t>
      </w:r>
      <w:bookmarkStart w:id="49" w:name="_GoBack"/>
      <w:bookmarkEnd w:id="49"/>
      <w:r>
        <w:rPr>
          <w:rFonts w:hint="eastAsia" w:ascii="仿宋_GB2312" w:hAnsi="仿宋_GB2312" w:eastAsia="仿宋_GB2312" w:cs="仿宋_GB2312"/>
          <w:color w:val="auto"/>
          <w:sz w:val="32"/>
          <w:highlight w:val="none"/>
          <w:lang w:val="en-US" w:eastAsia="zh-CN"/>
        </w:rPr>
        <w:t>织全部完成党建入章，备案社区社会组织4068家，建立健全社会组织综合监管体系，引导社会组织发挥积极作用。</w:t>
      </w:r>
      <w:r>
        <w:rPr>
          <w:rFonts w:hint="eastAsia" w:ascii="仿宋_GB2312" w:hAnsi="仿宋_GB2312" w:eastAsia="仿宋_GB2312" w:cs="仿宋_GB2312"/>
          <w:color w:val="auto"/>
          <w:sz w:val="32"/>
          <w:highlight w:val="none"/>
        </w:rPr>
        <w:t>大力发展志愿服务，</w:t>
      </w:r>
      <w:r>
        <w:rPr>
          <w:rFonts w:hint="eastAsia" w:ascii="仿宋_GB2312" w:hAnsi="仿宋_GB2312" w:eastAsia="仿宋_GB2312" w:cs="仿宋_GB2312"/>
          <w:color w:val="auto"/>
          <w:sz w:val="32"/>
          <w:highlight w:val="none"/>
          <w:lang w:eastAsia="zh-CN"/>
        </w:rPr>
        <w:t>“延庆乡亲”在服务保障</w:t>
      </w:r>
      <w:r>
        <w:rPr>
          <w:rFonts w:hint="eastAsia" w:ascii="仿宋_GB2312" w:hAnsi="仿宋_GB2312" w:eastAsia="仿宋_GB2312" w:cs="仿宋_GB2312"/>
          <w:color w:val="auto"/>
          <w:sz w:val="32"/>
          <w:highlight w:val="none"/>
          <w:lang w:val="en-US" w:eastAsia="zh-CN"/>
        </w:rPr>
        <w:t>2022年北京冬奥会中成长壮大，</w:t>
      </w:r>
      <w:r>
        <w:rPr>
          <w:rFonts w:hint="eastAsia" w:ascii="仿宋_GB2312" w:hAnsi="仿宋_GB2312" w:eastAsia="仿宋_GB2312" w:cs="仿宋_GB2312"/>
          <w:color w:val="auto"/>
          <w:sz w:val="32"/>
          <w:highlight w:val="none"/>
        </w:rPr>
        <w:t>八达岭镇石峡村村民的守护长城志愿行动得到了习近平总书记的回信肯定，“</w:t>
      </w:r>
      <w:bookmarkStart w:id="3" w:name="OLE_LINK3"/>
      <w:bookmarkStart w:id="4" w:name="OLE_LINK4"/>
      <w:r>
        <w:rPr>
          <w:rFonts w:hint="eastAsia" w:ascii="仿宋_GB2312" w:hAnsi="仿宋_GB2312" w:eastAsia="仿宋_GB2312" w:cs="仿宋_GB2312"/>
          <w:color w:val="auto"/>
          <w:sz w:val="32"/>
          <w:highlight w:val="none"/>
        </w:rPr>
        <w:t>长城守望者</w:t>
      </w:r>
      <w:bookmarkEnd w:id="3"/>
      <w:bookmarkEnd w:id="4"/>
      <w:r>
        <w:rPr>
          <w:rFonts w:hint="eastAsia" w:ascii="仿宋_GB2312" w:hAnsi="仿宋_GB2312" w:eastAsia="仿宋_GB2312" w:cs="仿宋_GB2312"/>
          <w:color w:val="auto"/>
          <w:sz w:val="32"/>
          <w:highlight w:val="none"/>
        </w:rPr>
        <w:t>”项目荣获中国青年志愿服务项目大赛金奖。推动基层民主协商，康庄</w:t>
      </w:r>
      <w:r>
        <w:rPr>
          <w:rFonts w:hint="eastAsia" w:ascii="仿宋_GB2312" w:hAnsi="仿宋_GB2312" w:eastAsia="仿宋_GB2312" w:cs="仿宋_GB2312"/>
          <w:color w:val="auto"/>
          <w:sz w:val="32"/>
          <w:highlight w:val="none"/>
          <w:lang w:eastAsia="zh-CN"/>
        </w:rPr>
        <w:t>镇</w:t>
      </w:r>
      <w:r>
        <w:rPr>
          <w:rFonts w:hint="eastAsia" w:ascii="仿宋_GB2312" w:hAnsi="仿宋_GB2312" w:eastAsia="仿宋_GB2312" w:cs="仿宋_GB2312"/>
          <w:color w:val="auto"/>
          <w:sz w:val="32"/>
          <w:highlight w:val="none"/>
        </w:rPr>
        <w:t>“村民说事”、香水园</w:t>
      </w:r>
      <w:r>
        <w:rPr>
          <w:rFonts w:hint="eastAsia" w:ascii="仿宋_GB2312" w:hAnsi="仿宋_GB2312" w:eastAsia="仿宋_GB2312" w:cs="仿宋_GB2312"/>
          <w:color w:val="auto"/>
          <w:sz w:val="32"/>
          <w:highlight w:val="none"/>
          <w:lang w:eastAsia="zh-CN"/>
        </w:rPr>
        <w:t>街道</w:t>
      </w:r>
      <w:r>
        <w:rPr>
          <w:rFonts w:hint="eastAsia" w:ascii="仿宋_GB2312" w:hAnsi="仿宋_GB2312" w:eastAsia="仿宋_GB2312" w:cs="仿宋_GB2312"/>
          <w:color w:val="auto"/>
          <w:sz w:val="32"/>
          <w:highlight w:val="none"/>
        </w:rPr>
        <w:t>“香里香亲”等经验被广泛推广，火烧营村入选全国村级议事协商创新实验试点，社区自治与居民参与显著增强。</w:t>
      </w:r>
    </w:p>
    <w:p>
      <w:pPr>
        <w:snapToGrid w:val="0"/>
        <w:spacing w:before="0" w:after="0" w:line="560" w:lineRule="exact"/>
        <w:ind w:firstLine="643" w:firstLineChars="200"/>
        <w:rPr>
          <w:rFonts w:ascii="Times New Roman" w:hAnsi="Times New Roman" w:eastAsia="仿宋_GB2312" w:cs="Times New Roman"/>
          <w:b/>
          <w:color w:val="auto"/>
          <w:sz w:val="32"/>
        </w:rPr>
      </w:pPr>
      <w:r>
        <w:rPr>
          <w:rFonts w:hint="eastAsia" w:ascii="仿宋_GB2312" w:hAnsi="仿宋_GB2312" w:eastAsia="仿宋_GB2312" w:cs="仿宋_GB2312"/>
          <w:b/>
          <w:color w:val="auto"/>
          <w:sz w:val="32"/>
          <w:lang w:val="en-US" w:eastAsia="zh-CN"/>
        </w:rPr>
        <w:t>5.</w:t>
      </w:r>
      <w:r>
        <w:rPr>
          <w:rFonts w:ascii="Times New Roman" w:hAnsi="Times New Roman" w:eastAsia="仿宋_GB2312" w:cs="Times New Roman"/>
          <w:b/>
          <w:color w:val="auto"/>
          <w:sz w:val="32"/>
        </w:rPr>
        <w:t>社会安全体系更加立体，人民群众的安全感保持高位。</w:t>
      </w:r>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延庆区坚持系统治理与源头防控并重，深化“平安延庆”建设，持续优化社会治安防控体系，构建“主动预防、快速响应”的立体化安全格局。依托“雪亮工程”“智慧安防”“视频巡查”等平台，实现重点区域全覆盖，治安管控智能化水平显著提升。2024年居民安全感达99.25%，安全质量感提升至80.88%。深入践行新时代“枫桥经验”，规范街道乡镇综治中心建设，聚焦重点人群，推行“人房统一、专人联系、风险预警”机制，</w:t>
      </w:r>
      <w:r>
        <w:rPr>
          <w:rFonts w:hint="eastAsia" w:ascii="仿宋_GB2312" w:hAnsi="仿宋_GB2312" w:eastAsia="仿宋_GB2312" w:cs="仿宋_GB2312"/>
          <w:color w:val="auto"/>
          <w:sz w:val="32"/>
          <w:highlight w:val="none"/>
          <w:lang w:val="en-US" w:eastAsia="zh-CN"/>
        </w:rPr>
        <w:t>开展“定期+专项+动态”三位一体常态化矛盾纠纷排查，</w:t>
      </w:r>
      <w:r>
        <w:rPr>
          <w:rFonts w:hint="eastAsia" w:ascii="仿宋_GB2312" w:hAnsi="仿宋_GB2312" w:eastAsia="仿宋_GB2312" w:cs="仿宋_GB2312"/>
          <w:color w:val="auto"/>
          <w:sz w:val="32"/>
          <w:highlight w:val="none"/>
        </w:rPr>
        <w:t>构建“源头化解、动态稳控、共建共享”的安全治理体系。同步强化心理疏导、法治宣传和家庭干预，推进“八五”普法规划</w:t>
      </w:r>
      <w:r>
        <w:rPr>
          <w:rFonts w:hint="eastAsia" w:ascii="仿宋_GB2312" w:hAnsi="仿宋_GB2312" w:eastAsia="仿宋_GB2312" w:cs="仿宋_GB2312"/>
          <w:color w:val="auto"/>
          <w:sz w:val="32"/>
          <w:highlight w:val="none"/>
          <w:lang w:eastAsia="zh-CN"/>
        </w:rPr>
        <w:t>，完善</w:t>
      </w:r>
      <w:r>
        <w:rPr>
          <w:rFonts w:hint="eastAsia" w:ascii="仿宋_GB2312" w:hAnsi="仿宋_GB2312" w:eastAsia="仿宋_GB2312" w:cs="仿宋_GB2312"/>
          <w:color w:val="auto"/>
          <w:sz w:val="32"/>
          <w:highlight w:val="none"/>
        </w:rPr>
        <w:t>访调对接机制，促进矛盾依法化解。推进物业管理改革与社区安全联动，完成173栋自管楼移交属地，破解社区安全治理难题，持续培育健康向上的社会心态，人民群众安全感和满意度保持高位。</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5" w:name="_Toc214629548"/>
      <w:r>
        <w:rPr>
          <w:rFonts w:hint="eastAsia" w:ascii="楷体_GB2312" w:hAnsi="楷体_GB2312" w:eastAsia="楷体_GB2312" w:cs="楷体_GB2312"/>
          <w:b w:val="0"/>
          <w:bCs/>
          <w:color w:val="auto"/>
          <w:sz w:val="32"/>
        </w:rPr>
        <w:t>（二）当前社会治理面临的主要问题</w:t>
      </w:r>
      <w:bookmarkEnd w:id="5"/>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尽管延庆区社会治理体系建设取得显著成效，但从整体看，其社会治理现代化仍面临多重制约与深层挑战。</w:t>
      </w:r>
    </w:p>
    <w:p>
      <w:pPr>
        <w:snapToGrid w:val="0"/>
        <w:spacing w:before="0" w:after="0" w:line="560" w:lineRule="exact"/>
        <w:ind w:firstLine="643" w:firstLineChars="200"/>
        <w:rPr>
          <w:rFonts w:ascii="Times New Roman" w:hAnsi="Times New Roman" w:eastAsia="仿宋_GB2312" w:cs="Times New Roman"/>
          <w:color w:val="auto"/>
          <w:sz w:val="32"/>
        </w:rPr>
      </w:pPr>
      <w:r>
        <w:rPr>
          <w:rFonts w:ascii="Times New Roman" w:hAnsi="Times New Roman" w:eastAsia="仿宋_GB2312" w:cs="Times New Roman"/>
          <w:b/>
          <w:bCs/>
          <w:color w:val="auto"/>
          <w:sz w:val="32"/>
        </w:rPr>
        <w:t>一是统筹协调机制仍需完善。</w:t>
      </w:r>
      <w:r>
        <w:rPr>
          <w:rFonts w:ascii="Times New Roman" w:hAnsi="Times New Roman" w:eastAsia="仿宋_GB2312" w:cs="Times New Roman"/>
          <w:color w:val="auto"/>
          <w:sz w:val="32"/>
        </w:rPr>
        <w:t>当前</w:t>
      </w:r>
      <w:r>
        <w:rPr>
          <w:rFonts w:hint="eastAsia" w:ascii="仿宋_GB2312" w:hAnsi="仿宋_GB2312" w:eastAsia="仿宋_GB2312" w:cs="仿宋_GB2312"/>
          <w:color w:val="auto"/>
          <w:sz w:val="32"/>
          <w:highlight w:val="none"/>
        </w:rPr>
        <w:t>体制中仍存在部门壁垒、职责交叉和“多轨运行”现象，社会治理工作在条块间衔接不畅，影响整体合力，社会治理效能难以满足高</w:t>
      </w:r>
      <w:r>
        <w:rPr>
          <w:rFonts w:ascii="Times New Roman" w:hAnsi="Times New Roman" w:eastAsia="仿宋_GB2312" w:cs="Times New Roman"/>
          <w:color w:val="auto"/>
          <w:sz w:val="32"/>
        </w:rPr>
        <w:t>质量产业发展的需求。</w:t>
      </w:r>
    </w:p>
    <w:p>
      <w:pPr>
        <w:snapToGrid w:val="0"/>
        <w:spacing w:before="0" w:after="0" w:line="560" w:lineRule="exact"/>
        <w:ind w:firstLine="643" w:firstLineChars="200"/>
        <w:rPr>
          <w:rFonts w:hint="eastAsia" w:ascii="仿宋_GB2312" w:hAnsi="仿宋_GB2312" w:eastAsia="仿宋_GB2312" w:cs="仿宋_GB2312"/>
          <w:color w:val="auto"/>
          <w:sz w:val="32"/>
          <w:highlight w:val="none"/>
        </w:rPr>
      </w:pPr>
      <w:r>
        <w:rPr>
          <w:rFonts w:ascii="Times New Roman" w:hAnsi="Times New Roman" w:eastAsia="仿宋_GB2312" w:cs="Times New Roman"/>
          <w:b/>
          <w:bCs/>
          <w:color w:val="auto"/>
          <w:sz w:val="32"/>
        </w:rPr>
        <w:t>二是基层服务体系精准化、专业化水平不高。</w:t>
      </w:r>
      <w:r>
        <w:rPr>
          <w:rFonts w:ascii="Times New Roman" w:hAnsi="Times New Roman" w:eastAsia="仿宋_GB2312" w:cs="Times New Roman"/>
          <w:color w:val="auto"/>
          <w:sz w:val="32"/>
        </w:rPr>
        <w:t>当</w:t>
      </w:r>
      <w:r>
        <w:rPr>
          <w:rFonts w:hint="eastAsia" w:ascii="仿宋_GB2312" w:hAnsi="仿宋_GB2312" w:eastAsia="仿宋_GB2312" w:cs="仿宋_GB2312"/>
          <w:color w:val="auto"/>
          <w:sz w:val="32"/>
          <w:highlight w:val="none"/>
        </w:rPr>
        <w:t>前基层社会服务仍以普惠型、事务型供给为主，公共服务项目碎片化、应急响应机制不完善，对多样化、差异化需求的精准回应不足，专业社会工作和心理服务力量配置偏弱，精细化服务能力偏弱，难以有效支撑精细化服务开展。</w:t>
      </w:r>
    </w:p>
    <w:p>
      <w:pPr>
        <w:snapToGrid w:val="0"/>
        <w:spacing w:before="0" w:after="0" w:line="560" w:lineRule="exact"/>
        <w:ind w:firstLine="643" w:firstLineChars="200"/>
        <w:rPr>
          <w:rFonts w:hint="eastAsia" w:ascii="仿宋_GB2312" w:hAnsi="仿宋_GB2312" w:eastAsia="仿宋_GB2312" w:cs="仿宋_GB2312"/>
          <w:color w:val="auto"/>
          <w:sz w:val="32"/>
          <w:highlight w:val="none"/>
        </w:rPr>
      </w:pPr>
      <w:r>
        <w:rPr>
          <w:rFonts w:ascii="Times New Roman" w:hAnsi="Times New Roman" w:eastAsia="仿宋_GB2312" w:cs="Times New Roman"/>
          <w:b/>
          <w:bCs/>
          <w:color w:val="auto"/>
          <w:sz w:val="32"/>
        </w:rPr>
        <w:t>三是城乡发展与资源配置不均。</w:t>
      </w:r>
      <w:r>
        <w:rPr>
          <w:rFonts w:ascii="Times New Roman" w:hAnsi="Times New Roman" w:eastAsia="仿宋_GB2312" w:cs="Times New Roman"/>
          <w:color w:val="auto"/>
          <w:sz w:val="32"/>
        </w:rPr>
        <w:t>受空间结构与</w:t>
      </w:r>
      <w:r>
        <w:rPr>
          <w:rFonts w:hint="eastAsia" w:ascii="仿宋_GB2312" w:hAnsi="仿宋_GB2312" w:eastAsia="仿宋_GB2312" w:cs="仿宋_GB2312"/>
          <w:color w:val="auto"/>
          <w:sz w:val="32"/>
          <w:highlight w:val="none"/>
        </w:rPr>
        <w:t>财政投入机制影响，部分乡镇、社区（村）服务设施利用率低、运营效益不高，人口较少地区存在行政成本偏高、资源浪费等问题，公共资源配置效率有待提升。</w:t>
      </w:r>
    </w:p>
    <w:p>
      <w:pPr>
        <w:snapToGrid w:val="0"/>
        <w:spacing w:before="0" w:after="0" w:line="560" w:lineRule="exact"/>
        <w:ind w:firstLine="643" w:firstLineChars="200"/>
        <w:rPr>
          <w:rFonts w:hint="eastAsia" w:ascii="仿宋_GB2312" w:hAnsi="仿宋_GB2312" w:eastAsia="仿宋_GB2312" w:cs="仿宋_GB2312"/>
          <w:color w:val="auto"/>
          <w:sz w:val="32"/>
          <w:highlight w:val="none"/>
        </w:rPr>
      </w:pPr>
      <w:r>
        <w:rPr>
          <w:rFonts w:ascii="Times New Roman" w:hAnsi="Times New Roman" w:eastAsia="仿宋_GB2312" w:cs="Times New Roman"/>
          <w:b/>
          <w:bCs/>
          <w:color w:val="auto"/>
          <w:sz w:val="32"/>
        </w:rPr>
        <w:t>四是社会力量协同参与不足。</w:t>
      </w:r>
      <w:r>
        <w:rPr>
          <w:rFonts w:ascii="Times New Roman" w:hAnsi="Times New Roman" w:eastAsia="仿宋_GB2312" w:cs="Times New Roman"/>
          <w:color w:val="auto"/>
          <w:sz w:val="32"/>
        </w:rPr>
        <w:t>社会组织孵</w:t>
      </w:r>
      <w:r>
        <w:rPr>
          <w:rFonts w:hint="eastAsia" w:ascii="仿宋_GB2312" w:hAnsi="仿宋_GB2312" w:eastAsia="仿宋_GB2312" w:cs="仿宋_GB2312"/>
          <w:color w:val="auto"/>
          <w:sz w:val="32"/>
          <w:highlight w:val="none"/>
        </w:rPr>
        <w:t>化能力和居民自治深度有限，“三治融合”深度不高，社区协助权责边界不清，城乡基层治理与现代化治理要求差距明显，传统政府单一主导的行政治理模式难以适应多元化、协同化治理需求。</w:t>
      </w:r>
    </w:p>
    <w:p>
      <w:pPr>
        <w:snapToGrid w:val="0"/>
        <w:spacing w:before="0" w:after="0" w:line="560" w:lineRule="exact"/>
        <w:ind w:firstLine="643" w:firstLineChars="200"/>
        <w:rPr>
          <w:rFonts w:hint="eastAsia" w:ascii="仿宋_GB2312" w:hAnsi="仿宋_GB2312" w:eastAsia="仿宋_GB2312" w:cs="仿宋_GB2312"/>
          <w:color w:val="auto"/>
          <w:sz w:val="32"/>
          <w:highlight w:val="none"/>
        </w:rPr>
      </w:pPr>
      <w:r>
        <w:rPr>
          <w:rFonts w:ascii="Times New Roman" w:hAnsi="Times New Roman" w:eastAsia="仿宋_GB2312" w:cs="Times New Roman"/>
          <w:b/>
          <w:bCs/>
          <w:color w:val="auto"/>
          <w:sz w:val="32"/>
        </w:rPr>
        <w:t>五是智慧化治理基础薄弱，效能释放不充分。</w:t>
      </w:r>
      <w:r>
        <w:rPr>
          <w:rFonts w:ascii="Times New Roman" w:hAnsi="Times New Roman" w:eastAsia="仿宋_GB2312" w:cs="Times New Roman"/>
          <w:color w:val="auto"/>
          <w:sz w:val="32"/>
        </w:rPr>
        <w:t>信</w:t>
      </w:r>
      <w:r>
        <w:rPr>
          <w:rFonts w:hint="eastAsia" w:ascii="仿宋_GB2312" w:hAnsi="仿宋_GB2312" w:eastAsia="仿宋_GB2312" w:cs="仿宋_GB2312"/>
          <w:color w:val="auto"/>
          <w:sz w:val="32"/>
          <w:highlight w:val="none"/>
        </w:rPr>
        <w:t>息系统尚未实现全面贯通，数据整合深度不足，数字赋能社会治理的效果有待提</w:t>
      </w:r>
      <w:r>
        <w:rPr>
          <w:rFonts w:hint="eastAsia" w:ascii="仿宋_GB2312" w:hAnsi="仿宋_GB2312" w:eastAsia="仿宋_GB2312" w:cs="仿宋_GB2312"/>
          <w:color w:val="auto"/>
          <w:sz w:val="32"/>
          <w:highlight w:val="none"/>
          <w:lang w:eastAsia="zh-CN"/>
        </w:rPr>
        <w:t>高</w:t>
      </w:r>
      <w:r>
        <w:rPr>
          <w:rFonts w:hint="eastAsia" w:ascii="仿宋_GB2312" w:hAnsi="仿宋_GB2312" w:eastAsia="仿宋_GB2312" w:cs="仿宋_GB2312"/>
          <w:color w:val="auto"/>
          <w:sz w:val="32"/>
          <w:highlight w:val="none"/>
        </w:rPr>
        <w:t>，城乡数字鸿沟依然存在。</w:t>
      </w:r>
    </w:p>
    <w:p>
      <w:pPr>
        <w:pStyle w:val="3"/>
        <w:spacing w:before="0" w:after="0" w:line="560" w:lineRule="exact"/>
        <w:ind w:firstLine="640" w:firstLineChars="200"/>
        <w:rPr>
          <w:rFonts w:ascii="Times New Roman" w:hAnsi="Times New Roman" w:eastAsia="黑体" w:cs="Times New Roman"/>
          <w:b w:val="0"/>
          <w:bCs/>
          <w:color w:val="auto"/>
          <w:sz w:val="32"/>
        </w:rPr>
      </w:pPr>
      <w:bookmarkStart w:id="6" w:name="_Toc214629549"/>
      <w:r>
        <w:rPr>
          <w:rFonts w:ascii="Times New Roman" w:hAnsi="Times New Roman" w:eastAsia="黑体" w:cs="Times New Roman"/>
          <w:b w:val="0"/>
          <w:bCs/>
          <w:color w:val="auto"/>
          <w:sz w:val="32"/>
        </w:rPr>
        <w:t>二、“十五五”</w:t>
      </w:r>
      <w:r>
        <w:rPr>
          <w:rFonts w:hint="eastAsia" w:ascii="Times New Roman" w:hAnsi="Times New Roman" w:eastAsia="黑体" w:cs="Times New Roman"/>
          <w:b w:val="0"/>
          <w:bCs/>
          <w:color w:val="auto"/>
          <w:sz w:val="32"/>
          <w:lang w:eastAsia="zh-CN"/>
        </w:rPr>
        <w:t>时期</w:t>
      </w:r>
      <w:r>
        <w:rPr>
          <w:rFonts w:ascii="Times New Roman" w:hAnsi="Times New Roman" w:eastAsia="黑体" w:cs="Times New Roman"/>
          <w:b w:val="0"/>
          <w:bCs/>
          <w:color w:val="auto"/>
          <w:sz w:val="32"/>
        </w:rPr>
        <w:t>面临的形势与挑战</w:t>
      </w:r>
      <w:bookmarkEnd w:id="6"/>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7" w:name="_Toc214629550"/>
      <w:r>
        <w:rPr>
          <w:rFonts w:hint="eastAsia" w:ascii="楷体_GB2312" w:hAnsi="楷体_GB2312" w:eastAsia="楷体_GB2312" w:cs="楷体_GB2312"/>
          <w:b w:val="0"/>
          <w:bCs/>
          <w:color w:val="auto"/>
          <w:sz w:val="32"/>
        </w:rPr>
        <w:t>（一）社会治理面临的新形势</w:t>
      </w:r>
      <w:bookmarkEnd w:id="7"/>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ascii="Times New Roman" w:hAnsi="Times New Roman" w:eastAsia="仿宋_GB2312" w:cs="Times New Roman"/>
          <w:color w:val="auto"/>
          <w:sz w:val="32"/>
        </w:rPr>
        <w:t>更好维护国家安全和社会稳定，需要高效能</w:t>
      </w:r>
      <w:r>
        <w:rPr>
          <w:rFonts w:hint="eastAsia" w:ascii="仿宋_GB2312" w:hAnsi="仿宋_GB2312" w:eastAsia="仿宋_GB2312" w:cs="仿宋_GB2312"/>
          <w:color w:val="auto"/>
          <w:sz w:val="32"/>
          <w:highlight w:val="none"/>
        </w:rPr>
        <w:t>社会治理。在国家安全体系中，社会治理是维护社会稳定，推进国家治理特别是国家安全体系和能力现代化的基础性工作，具有凝聚人民群众心声、促进社会心态平稳、化解社会矛盾纠纷、实现社会和谐稳定的基础性功能。当下，世界局势正处于深刻变革的关键时期，百年未有之大变局加速演进，我国发展形势复杂多变，不确定难预料因素增多。网络社会崛起，思想多极化显著，意识形态风险增大，不可避免地对国内社会安全稳定带来冲击。延庆区域性、阶段性特征明显，发展中的前沿性、交互性、外溢性矛盾风险累积叠加，面临着统筹高质量发展、高效能治理、高水平安全良性互动的艰巨挑战。为此，作为首都京西北安全大门和京津冀协同发展的前沿，延庆区需以高效能社会治理构建外部风险防御“护城河”，确保首都政治安全。</w:t>
      </w:r>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更好满足人民美好生活的向往，需要高水平社会治理。近年来延庆区社会主要矛盾发生了显著改变，人民对美好生活的需要日益广泛，不仅对物质文化生活提出了更高要求，而且在民主、法治、公平、正义、安全、环境等方面要求也日益增长，更加重视知情权、参与权、表达权、监督权，参与社会治理意愿强烈。价值取向和利益诉求多元化需要以高质量社会服务，推进社会广泛参与，畅通诉求表达渠道，凝聚社会共识，化解社会矛盾纠纷，维护社会公平正义，来不断满足各类人民群众美好生活的向往，实现社会生机勃勃又井然有序。</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8" w:name="_Toc214629551"/>
      <w:r>
        <w:rPr>
          <w:rFonts w:hint="eastAsia" w:ascii="楷体_GB2312" w:hAnsi="楷体_GB2312" w:eastAsia="楷体_GB2312" w:cs="楷体_GB2312"/>
          <w:b w:val="0"/>
          <w:bCs/>
          <w:color w:val="auto"/>
          <w:sz w:val="32"/>
        </w:rPr>
        <w:t>（二）社会治理面临的</w:t>
      </w:r>
      <w:r>
        <w:rPr>
          <w:rFonts w:hint="eastAsia" w:ascii="楷体_GB2312" w:hAnsi="楷体_GB2312" w:eastAsia="楷体_GB2312" w:cs="楷体_GB2312"/>
          <w:b w:val="0"/>
          <w:bCs/>
          <w:color w:val="auto"/>
          <w:sz w:val="32"/>
          <w:lang w:eastAsia="zh-CN"/>
        </w:rPr>
        <w:t>新</w:t>
      </w:r>
      <w:r>
        <w:rPr>
          <w:rFonts w:hint="eastAsia" w:ascii="楷体_GB2312" w:hAnsi="楷体_GB2312" w:eastAsia="楷体_GB2312" w:cs="楷体_GB2312"/>
          <w:b w:val="0"/>
          <w:bCs/>
          <w:color w:val="auto"/>
          <w:sz w:val="32"/>
        </w:rPr>
        <w:t>挑战</w:t>
      </w:r>
      <w:bookmarkEnd w:id="8"/>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进入“十五五”时期，延庆区社会治理现代化进程加快，但仍面临经济与社会发展水平不协</w:t>
      </w:r>
      <w:r>
        <w:rPr>
          <w:rFonts w:hint="eastAsia" w:ascii="仿宋_GB2312" w:hAnsi="仿宋_GB2312" w:eastAsia="仿宋_GB2312" w:cs="仿宋_GB2312"/>
          <w:color w:val="auto"/>
          <w:sz w:val="32"/>
          <w:highlight w:val="none"/>
          <w:lang w:eastAsia="zh-CN"/>
        </w:rPr>
        <w:t>调</w:t>
      </w:r>
      <w:r>
        <w:rPr>
          <w:rFonts w:hint="eastAsia" w:ascii="仿宋_GB2312" w:hAnsi="仿宋_GB2312" w:eastAsia="仿宋_GB2312" w:cs="仿宋_GB2312"/>
          <w:color w:val="auto"/>
          <w:sz w:val="32"/>
          <w:highlight w:val="none"/>
        </w:rPr>
        <w:t>、城市与乡村结构不均衡、政府与个人关系不平衡等结构性矛盾。</w:t>
      </w:r>
    </w:p>
    <w:p>
      <w:pPr>
        <w:snapToGrid w:val="0"/>
        <w:spacing w:before="0" w:after="0" w:line="560" w:lineRule="exact"/>
        <w:ind w:firstLine="643" w:firstLineChars="200"/>
        <w:rPr>
          <w:rFonts w:ascii="Times New Roman" w:hAnsi="Times New Roman" w:eastAsia="仿宋_GB2312" w:cs="Times New Roman"/>
          <w:color w:val="auto"/>
          <w:sz w:val="32"/>
        </w:rPr>
      </w:pPr>
      <w:r>
        <w:rPr>
          <w:rFonts w:ascii="Times New Roman" w:hAnsi="Times New Roman" w:eastAsia="仿宋_GB2312" w:cs="Times New Roman"/>
          <w:b/>
          <w:bCs/>
          <w:color w:val="auto"/>
          <w:sz w:val="32"/>
        </w:rPr>
        <w:t>经济发展与社会发展存在失衡挑战。</w:t>
      </w:r>
      <w:r>
        <w:rPr>
          <w:rFonts w:ascii="Times New Roman" w:hAnsi="Times New Roman" w:eastAsia="仿宋_GB2312" w:cs="Times New Roman"/>
          <w:color w:val="auto"/>
          <w:sz w:val="32"/>
        </w:rPr>
        <w:t>延</w:t>
      </w:r>
      <w:r>
        <w:rPr>
          <w:rFonts w:hint="eastAsia" w:ascii="仿宋_GB2312" w:hAnsi="仿宋_GB2312" w:eastAsia="仿宋_GB2312" w:cs="仿宋_GB2312"/>
          <w:color w:val="auto"/>
          <w:sz w:val="32"/>
          <w:highlight w:val="none"/>
        </w:rPr>
        <w:t>庆区跨越工业化阶段，直接进入以现代服务业为主导的后工业社会，产业结构快速转型，以冰雪体育、生态旅游、无人机等绿色低碳产业为支柱，“京北绿谷”的生态服务功能日益凸显。然而，经济发展与社会建设仍存在不同步现象。后冬奥时期重大项目带动效应减弱，区域发展动能不足，财政收入增长乏力，社会建设投入面临持续压力。社会治理体系在适应新经济形态、服务新就业群体等方面反应滞后，治理能力与产业转型的复杂性不匹配。社会工作和社区服务体系尚未形成专业化支撑力量，社会组织发育不充分、专业能力薄弱</w:t>
      </w:r>
      <w:r>
        <w:rPr>
          <w:rFonts w:ascii="Times New Roman" w:hAnsi="Times New Roman" w:eastAsia="仿宋_GB2312" w:cs="Times New Roman"/>
          <w:color w:val="auto"/>
          <w:sz w:val="32"/>
        </w:rPr>
        <w:t>，</w:t>
      </w:r>
      <w:r>
        <w:rPr>
          <w:rFonts w:hint="eastAsia" w:ascii="仿宋_GB2312" w:hAnsi="仿宋_GB2312" w:eastAsia="仿宋_GB2312" w:cs="仿宋_GB2312"/>
          <w:color w:val="auto"/>
          <w:sz w:val="32"/>
          <w:highlight w:val="none"/>
        </w:rPr>
        <w:t>“小散弱”现象普遍。社会治理创新投入不足，智慧治理设施更新缓慢。经济快速变化带来的社会结构调整风险不断积累，呈现“经济先行、社会滞后”的矛盾格局，财政可持续性与社会建设协同性成为制约延庆区社会治理现代化发展的深层次瓶颈。</w:t>
      </w:r>
    </w:p>
    <w:p>
      <w:pPr>
        <w:snapToGrid w:val="0"/>
        <w:spacing w:before="0" w:after="0" w:line="560" w:lineRule="exact"/>
        <w:ind w:firstLine="643" w:firstLineChars="200"/>
        <w:rPr>
          <w:rFonts w:ascii="Times New Roman" w:hAnsi="Times New Roman" w:eastAsia="仿宋_GB2312" w:cs="Times New Roman"/>
          <w:color w:val="auto"/>
          <w:sz w:val="32"/>
        </w:rPr>
      </w:pPr>
      <w:r>
        <w:rPr>
          <w:rFonts w:ascii="Times New Roman" w:hAnsi="Times New Roman" w:eastAsia="仿宋_GB2312" w:cs="Times New Roman"/>
          <w:b/>
          <w:bCs/>
          <w:color w:val="auto"/>
          <w:sz w:val="32"/>
        </w:rPr>
        <w:t>城乡发展与资源配置存在不匹配挑战。</w:t>
      </w:r>
      <w:r>
        <w:rPr>
          <w:rFonts w:hint="eastAsia" w:ascii="仿宋_GB2312" w:hAnsi="仿宋_GB2312" w:eastAsia="仿宋_GB2312" w:cs="仿宋_GB2312"/>
          <w:color w:val="auto"/>
          <w:sz w:val="32"/>
          <w:highlight w:val="none"/>
        </w:rPr>
        <w:t>延庆区城乡发展不均衡问题依然突出，结构性失衡对社会治理形成长期压力。城镇化率远低于北京市平均水平，城乡公共服务与基础设施差距显著。城市地区人口密度上升、社会诉求集中，公共服务能力承压；而农村地区则面临“空心化”和老龄化叠加形势，服务需求增长而供给不足。财政资源分配仍以历史基数为依据，缺乏基于人口变化的动态测算机制，造成资源配置与实际需求错位，乡村公共设施运维成本高、效益低。城乡治理能力、资源配置与社会参与之间的落差，制约了社会治理的整体均衡与可持续发展。</w:t>
      </w:r>
    </w:p>
    <w:p>
      <w:pPr>
        <w:snapToGrid w:val="0"/>
        <w:spacing w:before="0" w:after="0" w:line="560" w:lineRule="exact"/>
        <w:ind w:firstLine="643" w:firstLineChars="200"/>
        <w:rPr>
          <w:rFonts w:hint="eastAsia" w:ascii="Times New Roman" w:hAnsi="Times New Roman" w:eastAsia="仿宋_GB2312" w:cs="Times New Roman"/>
          <w:color w:val="auto"/>
          <w:sz w:val="32"/>
          <w:highlight w:val="none"/>
        </w:rPr>
      </w:pPr>
      <w:r>
        <w:rPr>
          <w:rFonts w:ascii="Times New Roman" w:hAnsi="Times New Roman" w:eastAsia="仿宋_GB2312" w:cs="Times New Roman"/>
          <w:b/>
          <w:bCs/>
          <w:color w:val="auto"/>
          <w:sz w:val="32"/>
        </w:rPr>
        <w:t>政府主导与个人诉求面临错位压力。</w:t>
      </w:r>
      <w:r>
        <w:rPr>
          <w:rFonts w:ascii="Times New Roman" w:hAnsi="Times New Roman" w:eastAsia="仿宋_GB2312" w:cs="Times New Roman"/>
          <w:color w:val="auto"/>
          <w:sz w:val="32"/>
        </w:rPr>
        <w:t>延</w:t>
      </w:r>
      <w:r>
        <w:rPr>
          <w:rFonts w:hint="eastAsia" w:ascii="仿宋_GB2312" w:hAnsi="仿宋_GB2312" w:eastAsia="仿宋_GB2312" w:cs="仿宋_GB2312"/>
          <w:color w:val="auto"/>
          <w:sz w:val="32"/>
          <w:highlight w:val="none"/>
        </w:rPr>
        <w:t>庆区社会治理仍以行政主导为主要方式，社会协同、公众参与的深度与广度不足。延庆区政府部门在资源分配和社会福利供给中扮演着核心角色，存在一定程度的“大包大揽”。社会成员的权责意识失衡，</w:t>
      </w:r>
      <w:r>
        <w:rPr>
          <w:rFonts w:hint="eastAsia" w:ascii="仿宋_GB2312" w:hAnsi="仿宋_GB2312" w:eastAsia="仿宋_GB2312" w:cs="仿宋_GB2312"/>
          <w:color w:val="auto"/>
          <w:sz w:val="32"/>
          <w:highlight w:val="none"/>
          <w:lang w:eastAsia="zh-CN"/>
        </w:rPr>
        <w:t>普遍抱有</w:t>
      </w:r>
      <w:r>
        <w:rPr>
          <w:rFonts w:hint="eastAsia" w:ascii="仿宋_GB2312" w:hAnsi="仿宋_GB2312" w:eastAsia="仿宋_GB2312" w:cs="仿宋_GB2312"/>
          <w:color w:val="auto"/>
          <w:sz w:val="32"/>
          <w:highlight w:val="none"/>
        </w:rPr>
        <w:t>“等靠要”心态，对公共事务的参与率偏低。个体诉求与公共利益之间缺乏平衡机制，政府的压力型治理与社会的自主性不足形成拉扯，既削弱治理效能，也削弱社会共同体意识。</w:t>
      </w:r>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这</w:t>
      </w:r>
      <w:r>
        <w:rPr>
          <w:rFonts w:hint="eastAsia" w:ascii="仿宋_GB2312" w:hAnsi="仿宋_GB2312" w:eastAsia="仿宋_GB2312" w:cs="仿宋_GB2312"/>
          <w:color w:val="auto"/>
          <w:sz w:val="32"/>
          <w:highlight w:val="none"/>
          <w:lang w:eastAsia="zh-CN"/>
        </w:rPr>
        <w:t>些</w:t>
      </w:r>
      <w:r>
        <w:rPr>
          <w:rFonts w:hint="eastAsia" w:ascii="仿宋_GB2312" w:hAnsi="仿宋_GB2312" w:eastAsia="仿宋_GB2312" w:cs="仿宋_GB2312"/>
          <w:color w:val="auto"/>
          <w:sz w:val="32"/>
          <w:highlight w:val="none"/>
        </w:rPr>
        <w:t>要求延庆区在“十五五”时期以系统谋划思维推进社会治理现代化，实现治理体系的系统化、均衡化、高效能与可持续发展，不断提高社会治理能力。</w:t>
      </w:r>
    </w:p>
    <w:p>
      <w:pPr>
        <w:pStyle w:val="3"/>
        <w:spacing w:before="0" w:after="0" w:line="560" w:lineRule="exact"/>
        <w:ind w:firstLine="640" w:firstLineChars="200"/>
        <w:rPr>
          <w:rFonts w:ascii="Times New Roman" w:hAnsi="Times New Roman" w:eastAsia="黑体" w:cs="Times New Roman"/>
          <w:b w:val="0"/>
          <w:bCs/>
          <w:color w:val="auto"/>
          <w:sz w:val="32"/>
        </w:rPr>
      </w:pPr>
      <w:bookmarkStart w:id="9" w:name="_Toc214629552"/>
      <w:r>
        <w:rPr>
          <w:rFonts w:ascii="Times New Roman" w:hAnsi="Times New Roman" w:eastAsia="黑体" w:cs="Times New Roman"/>
          <w:b w:val="0"/>
          <w:bCs/>
          <w:color w:val="auto"/>
          <w:sz w:val="32"/>
        </w:rPr>
        <w:t>三、“十五五”</w:t>
      </w:r>
      <w:r>
        <w:rPr>
          <w:rFonts w:hint="eastAsia" w:ascii="Times New Roman" w:hAnsi="Times New Roman" w:eastAsia="黑体" w:cs="Times New Roman"/>
          <w:b w:val="0"/>
          <w:bCs/>
          <w:color w:val="auto"/>
          <w:sz w:val="32"/>
          <w:lang w:eastAsia="zh-CN"/>
        </w:rPr>
        <w:t>时期</w:t>
      </w:r>
      <w:r>
        <w:rPr>
          <w:rFonts w:ascii="Times New Roman" w:hAnsi="Times New Roman" w:eastAsia="黑体" w:cs="Times New Roman"/>
          <w:b w:val="0"/>
          <w:bCs/>
          <w:color w:val="auto"/>
          <w:sz w:val="32"/>
        </w:rPr>
        <w:t>发展思路、原则和目标</w:t>
      </w:r>
      <w:bookmarkEnd w:id="9"/>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10" w:name="_Toc214629553"/>
      <w:r>
        <w:rPr>
          <w:rFonts w:hint="eastAsia" w:ascii="楷体_GB2312" w:hAnsi="楷体_GB2312" w:eastAsia="楷体_GB2312" w:cs="楷体_GB2312"/>
          <w:b w:val="0"/>
          <w:bCs/>
          <w:color w:val="auto"/>
          <w:sz w:val="32"/>
        </w:rPr>
        <w:t>（一）指导思想</w:t>
      </w:r>
      <w:bookmarkEnd w:id="10"/>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ascii="Times New Roman" w:hAnsi="Times New Roman" w:eastAsia="仿宋_GB2312" w:cs="Times New Roman"/>
          <w:color w:val="auto"/>
          <w:sz w:val="32"/>
        </w:rPr>
        <w:t>以习近平新时代中国特色社会主义思想为指导，深入贯彻党的二十大及</w:t>
      </w:r>
      <w:r>
        <w:rPr>
          <w:rFonts w:hint="eastAsia" w:ascii="Times New Roman" w:hAnsi="Times New Roman" w:eastAsia="仿宋_GB2312" w:cs="Times New Roman"/>
          <w:color w:val="auto"/>
          <w:sz w:val="32"/>
          <w:lang w:eastAsia="zh-CN"/>
        </w:rPr>
        <w:t>二十届</w:t>
      </w:r>
      <w:r>
        <w:rPr>
          <w:rFonts w:hint="eastAsia" w:ascii="Times New Roman" w:hAnsi="Times New Roman" w:eastAsia="仿宋_GB2312" w:cs="Times New Roman"/>
          <w:color w:val="auto"/>
          <w:sz w:val="32"/>
        </w:rPr>
        <w:t>历次</w:t>
      </w:r>
      <w:r>
        <w:rPr>
          <w:rFonts w:ascii="Times New Roman" w:hAnsi="Times New Roman" w:eastAsia="仿宋_GB2312" w:cs="Times New Roman"/>
          <w:color w:val="auto"/>
          <w:sz w:val="32"/>
        </w:rPr>
        <w:t>全会精神，</w:t>
      </w:r>
      <w:r>
        <w:rPr>
          <w:rFonts w:hint="eastAsia" w:ascii="Times New Roman" w:hAnsi="Times New Roman" w:eastAsia="仿宋_GB2312" w:cs="Times New Roman"/>
          <w:color w:val="auto"/>
          <w:sz w:val="32"/>
          <w:lang w:eastAsia="zh-CN"/>
        </w:rPr>
        <w:t>贯彻</w:t>
      </w:r>
      <w:r>
        <w:rPr>
          <w:rFonts w:hint="eastAsia" w:ascii="Times New Roman" w:hAnsi="Times New Roman" w:eastAsia="仿宋_GB2312" w:cs="Times New Roman"/>
          <w:color w:val="auto"/>
          <w:sz w:val="32"/>
        </w:rPr>
        <w:t>落实习近平总书记给八达岭镇石峡村乡亲们的重要回信精神，</w:t>
      </w:r>
      <w:r>
        <w:rPr>
          <w:rFonts w:hint="eastAsia" w:ascii="Times New Roman" w:hAnsi="Times New Roman" w:eastAsia="仿宋_GB2312" w:cs="Times New Roman"/>
          <w:color w:val="auto"/>
          <w:sz w:val="32"/>
          <w:lang w:eastAsia="zh-CN"/>
        </w:rPr>
        <w:t>牢记“延庆是属于未来的”重要嘱托，</w:t>
      </w:r>
      <w:r>
        <w:rPr>
          <w:rFonts w:ascii="Times New Roman" w:hAnsi="Times New Roman" w:eastAsia="仿宋_GB2312" w:cs="Times New Roman"/>
          <w:color w:val="auto"/>
          <w:sz w:val="32"/>
        </w:rPr>
        <w:t>全面落实党中央和市委、区委关于加强社会治理体系和治理能力现代化建设的决策部署</w:t>
      </w:r>
      <w:r>
        <w:rPr>
          <w:rFonts w:hint="eastAsia" w:ascii="Times New Roman" w:hAnsi="Times New Roman" w:eastAsia="仿宋_GB2312" w:cs="Times New Roman"/>
          <w:color w:val="auto"/>
          <w:sz w:val="32"/>
          <w:lang w:eastAsia="zh-CN"/>
        </w:rPr>
        <w:t>，坚持以首都发展为统领，</w:t>
      </w:r>
      <w:r>
        <w:rPr>
          <w:rFonts w:ascii="Times New Roman" w:hAnsi="Times New Roman" w:eastAsia="仿宋_GB2312" w:cs="Times New Roman"/>
          <w:color w:val="auto"/>
          <w:sz w:val="32"/>
        </w:rPr>
        <w:t>立足生态涵养区功能定位与社会治理优势特色，</w:t>
      </w:r>
      <w:r>
        <w:rPr>
          <w:rFonts w:hint="eastAsia" w:ascii="Times New Roman" w:hAnsi="Times New Roman" w:eastAsia="仿宋_GB2312" w:cs="Times New Roman"/>
          <w:color w:val="auto"/>
          <w:sz w:val="32"/>
          <w:lang w:eastAsia="zh-CN"/>
        </w:rPr>
        <w:t>坚持“走在前、补短板”，</w:t>
      </w:r>
      <w:r>
        <w:rPr>
          <w:rFonts w:ascii="Times New Roman" w:hAnsi="Times New Roman" w:eastAsia="仿宋_GB2312" w:cs="Times New Roman"/>
          <w:color w:val="auto"/>
          <w:sz w:val="32"/>
        </w:rPr>
        <w:t>坚持和加强党对社会治理的全面领导，坚持人民至上，平衡社会秩序与社会活力，</w:t>
      </w:r>
      <w:r>
        <w:rPr>
          <w:rFonts w:hint="eastAsia" w:ascii="仿宋_GB2312" w:hAnsi="仿宋_GB2312" w:eastAsia="仿宋_GB2312" w:cs="仿宋_GB2312"/>
          <w:color w:val="auto"/>
          <w:sz w:val="32"/>
          <w:highlight w:val="none"/>
        </w:rPr>
        <w:t>构建党组织统一领导、政府依法履责、各类组织积极协同、群众广泛参与的社会治理体系，努力实现社会共识更加统一，社会参与更加广泛，社会治理更加多元，社会服务更加完善，</w:t>
      </w:r>
      <w:r>
        <w:rPr>
          <w:rFonts w:hint="eastAsia" w:ascii="Times New Roman" w:hAnsi="Times New Roman" w:eastAsia="仿宋_GB2312" w:cs="Times New Roman"/>
          <w:color w:val="auto"/>
          <w:sz w:val="32"/>
          <w:lang w:val="en-US" w:eastAsia="zh-CN"/>
        </w:rPr>
        <w:t>党建引领</w:t>
      </w:r>
      <w:r>
        <w:rPr>
          <w:rFonts w:hint="eastAsia" w:ascii="仿宋_GB2312" w:hAnsi="仿宋_GB2312" w:eastAsia="仿宋_GB2312" w:cs="仿宋_GB2312"/>
          <w:color w:val="auto"/>
          <w:sz w:val="32"/>
          <w:highlight w:val="none"/>
        </w:rPr>
        <w:t>更加有力，在全市乃至全国谱写中国式社会治理现代化的延庆篇章,</w:t>
      </w:r>
      <w:r>
        <w:rPr>
          <w:rFonts w:hint="eastAsia" w:ascii="仿宋_GB2312" w:hAnsi="仿宋_GB2312" w:eastAsia="仿宋_GB2312" w:cs="仿宋_GB2312"/>
          <w:color w:val="auto"/>
          <w:sz w:val="32"/>
          <w:highlight w:val="none"/>
          <w:lang w:eastAsia="zh-CN"/>
        </w:rPr>
        <w:t>传递</w:t>
      </w:r>
      <w:r>
        <w:rPr>
          <w:rFonts w:hint="eastAsia" w:ascii="仿宋_GB2312" w:hAnsi="仿宋_GB2312" w:eastAsia="仿宋_GB2312" w:cs="仿宋_GB2312"/>
          <w:color w:val="auto"/>
          <w:sz w:val="32"/>
          <w:highlight w:val="none"/>
        </w:rPr>
        <w:t>社会治理实践的延庆</w:t>
      </w:r>
      <w:r>
        <w:rPr>
          <w:rFonts w:hint="eastAsia" w:ascii="仿宋_GB2312" w:hAnsi="仿宋_GB2312" w:eastAsia="仿宋_GB2312" w:cs="仿宋_GB2312"/>
          <w:color w:val="auto"/>
          <w:sz w:val="32"/>
          <w:highlight w:val="none"/>
          <w:lang w:eastAsia="zh-CN"/>
        </w:rPr>
        <w:t>声音</w:t>
      </w:r>
      <w:r>
        <w:rPr>
          <w:rFonts w:hint="eastAsia" w:ascii="仿宋_GB2312" w:hAnsi="仿宋_GB2312" w:eastAsia="仿宋_GB2312" w:cs="仿宋_GB2312"/>
          <w:color w:val="auto"/>
          <w:sz w:val="32"/>
          <w:highlight w:val="none"/>
        </w:rPr>
        <w:t>，为</w:t>
      </w:r>
      <w:r>
        <w:rPr>
          <w:rFonts w:hint="eastAsia" w:ascii="Times New Roman" w:hAnsi="Times New Roman" w:eastAsia="仿宋_GB2312" w:cs="Times New Roman"/>
          <w:color w:val="auto"/>
          <w:sz w:val="32"/>
          <w:lang w:val="en-US" w:eastAsia="zh-CN"/>
        </w:rPr>
        <w:t>基本建成</w:t>
      </w:r>
      <w:r>
        <w:rPr>
          <w:rFonts w:hint="eastAsia" w:ascii="仿宋_GB2312" w:hAnsi="仿宋_GB2312" w:eastAsia="仿宋_GB2312" w:cs="仿宋_GB2312"/>
          <w:color w:val="auto"/>
          <w:sz w:val="32"/>
          <w:highlight w:val="none"/>
        </w:rPr>
        <w:t>生态文明幸福最美冬奥城、</w:t>
      </w:r>
      <w:r>
        <w:rPr>
          <w:rFonts w:hint="eastAsia" w:ascii="Times New Roman" w:hAnsi="Times New Roman" w:eastAsia="仿宋_GB2312" w:cs="Times New Roman"/>
          <w:color w:val="auto"/>
          <w:sz w:val="32"/>
        </w:rPr>
        <w:t>建设国际一流的生态文明示范区</w:t>
      </w:r>
      <w:r>
        <w:rPr>
          <w:rFonts w:hint="eastAsia" w:ascii="仿宋_GB2312" w:hAnsi="仿宋_GB2312" w:eastAsia="仿宋_GB2312" w:cs="仿宋_GB2312"/>
          <w:color w:val="auto"/>
          <w:sz w:val="32"/>
          <w:highlight w:val="none"/>
        </w:rPr>
        <w:t>提供更加坚实的社会支撑。</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11" w:name="_Toc214629554"/>
      <w:r>
        <w:rPr>
          <w:rFonts w:hint="eastAsia" w:ascii="楷体_GB2312" w:hAnsi="楷体_GB2312" w:eastAsia="楷体_GB2312" w:cs="楷体_GB2312"/>
          <w:b w:val="0"/>
          <w:bCs/>
          <w:color w:val="auto"/>
          <w:sz w:val="32"/>
        </w:rPr>
        <w:t>（二）基本原则</w:t>
      </w:r>
      <w:bookmarkEnd w:id="11"/>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本规划既延续延庆区既有治理特色，又对接国家治理现代化要求，提出以下基本原则：</w:t>
      </w:r>
    </w:p>
    <w:p>
      <w:pPr>
        <w:spacing w:before="0" w:after="0" w:line="560" w:lineRule="exact"/>
        <w:ind w:firstLine="643" w:firstLineChars="200"/>
        <w:rPr>
          <w:rFonts w:hint="eastAsia" w:ascii="仿宋_GB2312" w:hAnsi="仿宋_GB2312" w:eastAsia="仿宋_GB2312" w:cs="仿宋_GB2312"/>
          <w:b/>
          <w:color w:val="auto"/>
          <w:sz w:val="32"/>
        </w:rPr>
      </w:pPr>
      <w:r>
        <w:rPr>
          <w:rFonts w:hint="eastAsia" w:ascii="仿宋_GB2312" w:hAnsi="仿宋_GB2312" w:eastAsia="仿宋_GB2312" w:cs="仿宋_GB2312"/>
          <w:b/>
          <w:color w:val="auto"/>
          <w:sz w:val="32"/>
          <w:lang w:val="en-US" w:eastAsia="zh-CN"/>
        </w:rPr>
        <w:t>1.</w:t>
      </w:r>
      <w:r>
        <w:rPr>
          <w:rFonts w:hint="eastAsia" w:ascii="仿宋_GB2312" w:hAnsi="仿宋_GB2312" w:eastAsia="仿宋_GB2312" w:cs="仿宋_GB2312"/>
          <w:b/>
          <w:color w:val="auto"/>
          <w:sz w:val="32"/>
        </w:rPr>
        <w:t>党建引领原则</w:t>
      </w:r>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党建引领需锚定核心方向、精准发力。强化政治引领，通过党组织把方向、管大局、保落实，确保社会治理始终与绿色发展同频共振、协同推进。深化组织引领，充分发挥各级党建工作协调委员会枢纽作用，</w:t>
      </w:r>
      <w:r>
        <w:rPr>
          <w:rFonts w:ascii="Times New Roman" w:hAnsi="Times New Roman" w:eastAsia="仿宋_GB2312" w:cs="Times New Roman"/>
          <w:color w:val="auto"/>
          <w:sz w:val="32"/>
        </w:rPr>
        <w:t>持续拓展新兴领域党建覆盖深度</w:t>
      </w:r>
      <w:r>
        <w:rPr>
          <w:rFonts w:hint="eastAsia" w:ascii="仿宋_GB2312" w:hAnsi="仿宋_GB2312" w:eastAsia="仿宋_GB2312" w:cs="仿宋_GB2312"/>
          <w:color w:val="auto"/>
          <w:sz w:val="32"/>
          <w:highlight w:val="none"/>
        </w:rPr>
        <w:t>，筑牢治理组织根基。突出工作引领，以党组织统筹协调职能为核心，主动扛起攻坚克难的责任担当，破解治理重点难点问题。同时需清晰界定责任边界，各级党组织在社会治理中的核心职责是统筹协调、牵头抓总，而非包办代替各类具体事务，推动形成党组织引领、多方协同、各尽其责的治理格局。</w:t>
      </w:r>
    </w:p>
    <w:p>
      <w:pPr>
        <w:spacing w:before="0" w:after="0" w:line="560" w:lineRule="exact"/>
        <w:ind w:firstLine="643" w:firstLineChars="200"/>
        <w:rPr>
          <w:rFonts w:hint="eastAsia" w:ascii="仿宋_GB2312" w:hAnsi="仿宋_GB2312" w:eastAsia="仿宋_GB2312" w:cs="仿宋_GB2312"/>
          <w:b/>
          <w:color w:val="auto"/>
          <w:sz w:val="32"/>
        </w:rPr>
      </w:pPr>
      <w:r>
        <w:rPr>
          <w:rFonts w:hint="eastAsia" w:ascii="仿宋_GB2312" w:hAnsi="仿宋_GB2312" w:eastAsia="仿宋_GB2312" w:cs="仿宋_GB2312"/>
          <w:b/>
          <w:color w:val="auto"/>
          <w:sz w:val="32"/>
          <w:lang w:val="en-US" w:eastAsia="zh-CN"/>
        </w:rPr>
        <w:t>2.</w:t>
      </w:r>
      <w:r>
        <w:rPr>
          <w:rFonts w:hint="eastAsia" w:ascii="仿宋_GB2312" w:hAnsi="仿宋_GB2312" w:eastAsia="仿宋_GB2312" w:cs="仿宋_GB2312"/>
          <w:b/>
          <w:color w:val="auto"/>
          <w:sz w:val="32"/>
        </w:rPr>
        <w:t>优势发挥原则</w:t>
      </w:r>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立足生态涵养区功能定位，有机整合冬奥遗产治理经验、党群工作传统优势，构建具有延庆区特色的社会治理体系。重点推动冬奥协同机制向常态化治理架构转化，将志愿服务精神融入基层治理。在保持行政主导效率优势的同时，积极应对数字化转型带来的治理挑战，实现传统治理优势与现代治理需求的有机衔接。</w:t>
      </w:r>
    </w:p>
    <w:p>
      <w:pPr>
        <w:spacing w:before="0" w:after="0" w:line="560" w:lineRule="exact"/>
        <w:ind w:firstLine="643" w:firstLineChars="200"/>
        <w:rPr>
          <w:rFonts w:hint="eastAsia" w:ascii="仿宋_GB2312" w:hAnsi="仿宋_GB2312" w:eastAsia="仿宋_GB2312" w:cs="仿宋_GB2312"/>
          <w:b/>
          <w:color w:val="auto"/>
          <w:sz w:val="32"/>
        </w:rPr>
      </w:pPr>
      <w:r>
        <w:rPr>
          <w:rFonts w:hint="eastAsia" w:ascii="仿宋_GB2312" w:hAnsi="仿宋_GB2312" w:eastAsia="仿宋_GB2312" w:cs="仿宋_GB2312"/>
          <w:b/>
          <w:color w:val="auto"/>
          <w:sz w:val="32"/>
          <w:lang w:val="en-US" w:eastAsia="zh-CN"/>
        </w:rPr>
        <w:t>3.</w:t>
      </w:r>
      <w:r>
        <w:rPr>
          <w:rFonts w:hint="eastAsia" w:ascii="仿宋_GB2312" w:hAnsi="仿宋_GB2312" w:eastAsia="仿宋_GB2312" w:cs="仿宋_GB2312"/>
          <w:b/>
          <w:color w:val="auto"/>
          <w:sz w:val="32"/>
        </w:rPr>
        <w:t>系统集成原则</w:t>
      </w:r>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构建全域统筹的资源整合机制，打破部门壁垒和条块分割，形成“全区一盘棋”的治理合力。通过建立跨部门协调平台和数字化资源图谱，实现政府资源精准投放、市场资源有序对接、社会资源有效激活。提升社会治理现代化工作的效果开发，重点加强财政资金、公共服务设施、数据信息等关键资源的整合利用，提升资源配置效率和综合使用效益，实现“高效办成一件事”。</w:t>
      </w:r>
    </w:p>
    <w:p>
      <w:pPr>
        <w:spacing w:before="0" w:after="0" w:line="560" w:lineRule="exact"/>
        <w:ind w:firstLine="643" w:firstLineChars="200"/>
        <w:rPr>
          <w:rFonts w:hint="eastAsia" w:ascii="仿宋_GB2312" w:hAnsi="仿宋_GB2312" w:eastAsia="仿宋_GB2312" w:cs="仿宋_GB2312"/>
          <w:b/>
          <w:color w:val="auto"/>
          <w:sz w:val="32"/>
        </w:rPr>
      </w:pPr>
      <w:r>
        <w:rPr>
          <w:rFonts w:hint="eastAsia" w:ascii="仿宋_GB2312" w:hAnsi="仿宋_GB2312" w:eastAsia="仿宋_GB2312" w:cs="仿宋_GB2312"/>
          <w:b/>
          <w:color w:val="auto"/>
          <w:sz w:val="32"/>
          <w:lang w:val="en-US" w:eastAsia="zh-CN"/>
        </w:rPr>
        <w:t>4.</w:t>
      </w:r>
      <w:r>
        <w:rPr>
          <w:rFonts w:hint="eastAsia" w:ascii="仿宋_GB2312" w:hAnsi="仿宋_GB2312" w:eastAsia="仿宋_GB2312" w:cs="仿宋_GB2312"/>
          <w:b/>
          <w:color w:val="auto"/>
          <w:sz w:val="32"/>
        </w:rPr>
        <w:t>问题导向原则</w:t>
      </w:r>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聚焦城乡融合发展中的治理难点和群众关切的急难愁盼问题，科学设计解决思路，完善闭环治理机制。针对基层治理、人口流动、服务供给等关键领域，采取差异化治理策略，形成可复制推广的特色解决方案。坚持实效标准，避免形式主义，确保治理措施落地见效。</w:t>
      </w:r>
    </w:p>
    <w:p>
      <w:pPr>
        <w:spacing w:before="0" w:after="0" w:line="560" w:lineRule="exact"/>
        <w:ind w:firstLine="643" w:firstLineChars="200"/>
        <w:rPr>
          <w:rFonts w:hint="eastAsia" w:ascii="仿宋_GB2312" w:hAnsi="仿宋_GB2312" w:eastAsia="仿宋_GB2312" w:cs="仿宋_GB2312"/>
          <w:b/>
          <w:color w:val="auto"/>
          <w:sz w:val="32"/>
        </w:rPr>
      </w:pPr>
      <w:r>
        <w:rPr>
          <w:rFonts w:hint="eastAsia" w:ascii="仿宋_GB2312" w:hAnsi="仿宋_GB2312" w:eastAsia="仿宋_GB2312" w:cs="仿宋_GB2312"/>
          <w:b/>
          <w:color w:val="auto"/>
          <w:sz w:val="32"/>
          <w:lang w:val="en-US" w:eastAsia="zh-CN"/>
        </w:rPr>
        <w:t>5.</w:t>
      </w:r>
      <w:r>
        <w:rPr>
          <w:rFonts w:hint="eastAsia" w:ascii="仿宋_GB2312" w:hAnsi="仿宋_GB2312" w:eastAsia="仿宋_GB2312" w:cs="仿宋_GB2312"/>
          <w:b/>
          <w:color w:val="auto"/>
          <w:sz w:val="32"/>
        </w:rPr>
        <w:t>效能提升原则</w:t>
      </w:r>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深化构建党建引领下的多元共治格局，明晰政府、市场、社会三方权责边界，推动自治、法治、德治“三治融合”。加强治理队伍专业化建设，提升智慧治理技术应用水平，构建科学有效的效能评价体系。通过制度完善和能力建设双轮驱动，实现社会治理质量、效率、动力的系统性提升。</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12" w:name="_Toc214629555"/>
      <w:r>
        <w:rPr>
          <w:rFonts w:hint="eastAsia" w:ascii="楷体_GB2312" w:hAnsi="楷体_GB2312" w:eastAsia="楷体_GB2312" w:cs="楷体_GB2312"/>
          <w:b w:val="0"/>
          <w:bCs/>
          <w:color w:val="auto"/>
          <w:sz w:val="32"/>
        </w:rPr>
        <w:t>（三）总体任务</w:t>
      </w:r>
      <w:bookmarkEnd w:id="12"/>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十五五”时期，延庆区将坚持以党建引领为统领，立足</w:t>
      </w:r>
      <w:r>
        <w:rPr>
          <w:rFonts w:hint="eastAsia" w:ascii="仿宋_GB2312" w:hAnsi="仿宋_GB2312" w:eastAsia="仿宋_GB2312" w:cs="仿宋_GB2312"/>
          <w:color w:val="auto"/>
          <w:sz w:val="32"/>
          <w:highlight w:val="none"/>
          <w:lang w:eastAsia="zh-CN"/>
        </w:rPr>
        <w:t>首都</w:t>
      </w:r>
      <w:r>
        <w:rPr>
          <w:rFonts w:hint="eastAsia" w:ascii="仿宋_GB2312" w:hAnsi="仿宋_GB2312" w:eastAsia="仿宋_GB2312" w:cs="仿宋_GB2312"/>
          <w:color w:val="auto"/>
          <w:sz w:val="32"/>
          <w:highlight w:val="none"/>
        </w:rPr>
        <w:t>“生态涵养区”的功能定位，构建社会共识、社会动员、社会共治、社会服务“四维一体”的现代社会治理体系，以凝聚“最美冬奥城”社会共识夯实治理根基，以壮大“延庆乡亲”参与力量健全社会动员体系，以完善“和美延庆”基层善治优化社会共治格局，以深化“幸福延庆”民生建设提升社会服务水平，通过“</w:t>
      </w:r>
      <w:r>
        <w:rPr>
          <w:rFonts w:hint="eastAsia" w:ascii="Times New Roman" w:hAnsi="Times New Roman" w:eastAsia="仿宋_GB2312" w:cs="Times New Roman"/>
          <w:color w:val="auto"/>
          <w:sz w:val="32"/>
        </w:rPr>
        <w:t>美丽延庆·</w:t>
      </w:r>
      <w:r>
        <w:rPr>
          <w:rFonts w:hint="eastAsia" w:ascii="仿宋_GB2312" w:hAnsi="仿宋_GB2312" w:eastAsia="仿宋_GB2312" w:cs="仿宋_GB2312"/>
          <w:color w:val="auto"/>
          <w:sz w:val="32"/>
          <w:highlight w:val="none"/>
        </w:rPr>
        <w:t>五彩党建”品牌引领系统集成和协同提升，实现社会治理体系与治理能力的现代化。</w:t>
      </w:r>
      <w:bookmarkStart w:id="13" w:name="_Toc214629556"/>
    </w:p>
    <w:p>
      <w:pPr>
        <w:snapToGrid w:val="0"/>
        <w:spacing w:before="0" w:after="0" w:line="560" w:lineRule="exact"/>
        <w:ind w:firstLine="640" w:firstLineChars="200"/>
        <w:rPr>
          <w:rFonts w:ascii="Times New Roman" w:hAnsi="Times New Roman" w:cs="Times New Roman"/>
          <w:b w:val="0"/>
          <w:bCs/>
          <w:color w:val="auto"/>
        </w:rPr>
      </w:pPr>
      <w:r>
        <w:rPr>
          <w:rFonts w:ascii="Times New Roman" w:hAnsi="Times New Roman" w:eastAsia="楷体_GB2312" w:cs="Times New Roman"/>
          <w:b w:val="0"/>
          <w:bCs/>
          <w:color w:val="auto"/>
          <w:sz w:val="32"/>
        </w:rPr>
        <w:t>（四）具体指标</w:t>
      </w:r>
      <w:bookmarkEnd w:id="13"/>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根据实际情况，本规划设定社会治理评价指标体系，衡量社会治理的水平，补齐短板弱项，以更好推动延庆区社会治理。本规划在社会共识、社会动员、社会共治、社会服务、党建引领等维度，设置指标如下。</w:t>
      </w:r>
    </w:p>
    <w:p>
      <w:pPr>
        <w:spacing w:before="0" w:after="0" w:line="560" w:lineRule="exact"/>
        <w:jc w:val="center"/>
        <w:rPr>
          <w:rFonts w:ascii="Times New Roman" w:hAnsi="Times New Roman" w:eastAsia="仿宋_GB2312" w:cs="Times New Roman"/>
          <w:color w:val="auto"/>
          <w:sz w:val="28"/>
        </w:rPr>
      </w:pPr>
      <w:r>
        <w:rPr>
          <w:rFonts w:ascii="Times New Roman" w:hAnsi="Times New Roman" w:eastAsia="仿宋_GB2312" w:cs="Times New Roman"/>
          <w:color w:val="auto"/>
          <w:sz w:val="28"/>
        </w:rPr>
        <w:t>表</w:t>
      </w:r>
      <w:r>
        <w:rPr>
          <w:rFonts w:ascii="Times New Roman" w:hAnsi="Times New Roman" w:cs="Times New Roman"/>
          <w:color w:val="auto"/>
          <w:sz w:val="28"/>
        </w:rPr>
        <w:t xml:space="preserve">1 </w:t>
      </w:r>
      <w:r>
        <w:rPr>
          <w:rFonts w:ascii="Times New Roman" w:hAnsi="Times New Roman" w:eastAsia="仿宋_GB2312" w:cs="Times New Roman"/>
          <w:color w:val="auto"/>
          <w:sz w:val="28"/>
          <w:szCs w:val="28"/>
        </w:rPr>
        <w:t>延庆区</w:t>
      </w:r>
      <w:r>
        <w:rPr>
          <w:rFonts w:hint="eastAsia" w:ascii="仿宋_GB2312" w:hAnsi="仿宋_GB2312" w:eastAsia="仿宋_GB2312" w:cs="仿宋_GB2312"/>
          <w:color w:val="auto"/>
          <w:sz w:val="28"/>
          <w:szCs w:val="28"/>
          <w:highlight w:val="none"/>
        </w:rPr>
        <w:t>“十五五”</w:t>
      </w:r>
      <w:r>
        <w:rPr>
          <w:rFonts w:ascii="Times New Roman" w:hAnsi="Times New Roman" w:eastAsia="仿宋_GB2312" w:cs="Times New Roman"/>
          <w:color w:val="auto"/>
          <w:sz w:val="28"/>
          <w:szCs w:val="28"/>
        </w:rPr>
        <w:t>时期末社会</w:t>
      </w:r>
      <w:r>
        <w:rPr>
          <w:rFonts w:ascii="Times New Roman" w:hAnsi="Times New Roman" w:eastAsia="仿宋_GB2312" w:cs="Times New Roman"/>
          <w:color w:val="auto"/>
          <w:sz w:val="28"/>
        </w:rPr>
        <w:t>治理目标指标</w:t>
      </w:r>
    </w:p>
    <w:tbl>
      <w:tblPr>
        <w:tblStyle w:val="24"/>
        <w:tblW w:w="852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90"/>
        <w:gridCol w:w="666"/>
        <w:gridCol w:w="2663"/>
        <w:gridCol w:w="1331"/>
        <w:gridCol w:w="1538"/>
        <w:gridCol w:w="15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blHeader/>
          <w:jc w:val="center"/>
        </w:trPr>
        <w:tc>
          <w:tcPr>
            <w:tcW w:w="790" w:type="dxa"/>
            <w:shd w:val="clear" w:color="000000" w:fill="FFFFFF"/>
            <w:vAlign w:val="center"/>
          </w:tcPr>
          <w:p>
            <w:pPr>
              <w:widowControl/>
              <w:spacing w:before="0" w:after="0"/>
              <w:jc w:val="center"/>
              <w:rPr>
                <w:rFonts w:ascii="黑体" w:hAnsi="黑体" w:eastAsia="黑体" w:cs="黑体"/>
                <w:color w:val="auto"/>
                <w:kern w:val="0"/>
                <w:sz w:val="24"/>
              </w:rPr>
            </w:pPr>
            <w:r>
              <w:rPr>
                <w:rFonts w:hint="eastAsia" w:ascii="黑体" w:hAnsi="黑体" w:eastAsia="黑体" w:cs="黑体"/>
                <w:color w:val="auto"/>
                <w:kern w:val="0"/>
                <w:sz w:val="24"/>
              </w:rPr>
              <w:t>类型</w:t>
            </w:r>
          </w:p>
        </w:tc>
        <w:tc>
          <w:tcPr>
            <w:tcW w:w="666" w:type="dxa"/>
            <w:shd w:val="clear" w:color="000000" w:fill="FFFFFF"/>
            <w:vAlign w:val="center"/>
          </w:tcPr>
          <w:p>
            <w:pPr>
              <w:widowControl/>
              <w:spacing w:before="0" w:after="0"/>
              <w:jc w:val="center"/>
              <w:rPr>
                <w:rFonts w:ascii="黑体" w:hAnsi="黑体" w:eastAsia="黑体" w:cs="黑体"/>
                <w:color w:val="auto"/>
                <w:kern w:val="0"/>
                <w:sz w:val="24"/>
              </w:rPr>
            </w:pPr>
            <w:r>
              <w:rPr>
                <w:rFonts w:hint="eastAsia" w:ascii="黑体" w:hAnsi="黑体" w:eastAsia="黑体" w:cs="黑体"/>
                <w:color w:val="auto"/>
                <w:kern w:val="0"/>
                <w:sz w:val="24"/>
              </w:rPr>
              <w:t>序号</w:t>
            </w:r>
          </w:p>
        </w:tc>
        <w:tc>
          <w:tcPr>
            <w:tcW w:w="2663" w:type="dxa"/>
            <w:shd w:val="clear" w:color="000000" w:fill="FFFFFF"/>
            <w:vAlign w:val="center"/>
          </w:tcPr>
          <w:p>
            <w:pPr>
              <w:widowControl/>
              <w:spacing w:before="0" w:after="0"/>
              <w:jc w:val="center"/>
              <w:rPr>
                <w:rFonts w:ascii="黑体" w:hAnsi="黑体" w:eastAsia="黑体" w:cs="黑体"/>
                <w:color w:val="auto"/>
                <w:kern w:val="0"/>
                <w:sz w:val="24"/>
              </w:rPr>
            </w:pPr>
            <w:r>
              <w:rPr>
                <w:rFonts w:hint="eastAsia" w:ascii="黑体" w:hAnsi="黑体" w:eastAsia="黑体" w:cs="黑体"/>
                <w:color w:val="auto"/>
                <w:kern w:val="0"/>
                <w:sz w:val="24"/>
              </w:rPr>
              <w:t>具体指标</w:t>
            </w:r>
          </w:p>
        </w:tc>
        <w:tc>
          <w:tcPr>
            <w:tcW w:w="1331" w:type="dxa"/>
            <w:shd w:val="clear" w:color="000000" w:fill="FFFFFF"/>
            <w:vAlign w:val="center"/>
          </w:tcPr>
          <w:p>
            <w:pPr>
              <w:widowControl/>
              <w:spacing w:before="0" w:after="0"/>
              <w:jc w:val="center"/>
              <w:rPr>
                <w:rFonts w:ascii="黑体" w:hAnsi="黑体" w:eastAsia="黑体" w:cs="黑体"/>
                <w:color w:val="auto"/>
                <w:kern w:val="0"/>
                <w:sz w:val="24"/>
              </w:rPr>
            </w:pPr>
            <w:r>
              <w:rPr>
                <w:rFonts w:hint="eastAsia" w:ascii="黑体" w:hAnsi="黑体" w:eastAsia="黑体" w:cs="黑体"/>
                <w:color w:val="auto"/>
                <w:kern w:val="0"/>
                <w:sz w:val="24"/>
              </w:rPr>
              <w:t>2030年</w:t>
            </w:r>
          </w:p>
          <w:p>
            <w:pPr>
              <w:widowControl/>
              <w:spacing w:before="0" w:after="0"/>
              <w:jc w:val="center"/>
              <w:rPr>
                <w:rFonts w:ascii="黑体" w:hAnsi="黑体" w:eastAsia="黑体" w:cs="黑体"/>
                <w:color w:val="auto"/>
                <w:kern w:val="0"/>
                <w:sz w:val="24"/>
              </w:rPr>
            </w:pPr>
            <w:r>
              <w:rPr>
                <w:rFonts w:hint="eastAsia" w:ascii="黑体" w:hAnsi="黑体" w:eastAsia="黑体" w:cs="黑体"/>
                <w:color w:val="auto"/>
                <w:kern w:val="0"/>
                <w:sz w:val="24"/>
              </w:rPr>
              <w:t>目标值</w:t>
            </w:r>
          </w:p>
        </w:tc>
        <w:tc>
          <w:tcPr>
            <w:tcW w:w="1538" w:type="dxa"/>
            <w:shd w:val="clear" w:color="000000" w:fill="FFFFFF"/>
            <w:vAlign w:val="center"/>
          </w:tcPr>
          <w:p>
            <w:pPr>
              <w:widowControl/>
              <w:spacing w:before="0" w:after="0"/>
              <w:jc w:val="center"/>
              <w:rPr>
                <w:rFonts w:ascii="黑体" w:hAnsi="黑体" w:eastAsia="黑体" w:cs="黑体"/>
                <w:color w:val="auto"/>
                <w:kern w:val="0"/>
                <w:sz w:val="24"/>
              </w:rPr>
            </w:pPr>
            <w:r>
              <w:rPr>
                <w:rFonts w:hint="eastAsia" w:ascii="黑体" w:hAnsi="黑体" w:eastAsia="黑体" w:cs="黑体"/>
                <w:color w:val="auto"/>
                <w:kern w:val="0"/>
                <w:sz w:val="24"/>
              </w:rPr>
              <w:t>属性</w:t>
            </w:r>
          </w:p>
        </w:tc>
        <w:tc>
          <w:tcPr>
            <w:tcW w:w="1538" w:type="dxa"/>
            <w:shd w:val="clear" w:color="000000" w:fill="FFFFFF"/>
            <w:vAlign w:val="center"/>
          </w:tcPr>
          <w:p>
            <w:pPr>
              <w:widowControl/>
              <w:spacing w:before="0" w:after="0"/>
              <w:jc w:val="center"/>
              <w:rPr>
                <w:rFonts w:ascii="黑体" w:hAnsi="黑体" w:eastAsia="黑体" w:cs="黑体"/>
                <w:color w:val="auto"/>
                <w:kern w:val="0"/>
                <w:sz w:val="24"/>
              </w:rPr>
            </w:pPr>
            <w:r>
              <w:rPr>
                <w:rFonts w:hint="eastAsia" w:ascii="黑体" w:hAnsi="黑体" w:eastAsia="黑体" w:cs="黑体"/>
                <w:color w:val="auto"/>
                <w:kern w:val="0"/>
                <w:sz w:val="24"/>
              </w:rPr>
              <w:t>主责单位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2" w:hRule="atLeast"/>
          <w:jc w:val="center"/>
        </w:trPr>
        <w:tc>
          <w:tcPr>
            <w:tcW w:w="790" w:type="dxa"/>
            <w:vMerge w:val="restart"/>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社会共识</w:t>
            </w: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1</w:t>
            </w:r>
          </w:p>
        </w:tc>
        <w:tc>
          <w:tcPr>
            <w:tcW w:w="2663" w:type="dxa"/>
            <w:shd w:val="clear" w:color="auto" w:fill="auto"/>
            <w:vAlign w:val="center"/>
          </w:tcPr>
          <w:p>
            <w:pPr>
              <w:widowControl/>
              <w:spacing w:before="0" w:after="0"/>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干群关系的社会感知度（%）</w:t>
            </w:r>
          </w:p>
        </w:tc>
        <w:tc>
          <w:tcPr>
            <w:tcW w:w="1331"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≥90</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引导性指标</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区委社会工作部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0" w:hRule="atLeast"/>
          <w:jc w:val="center"/>
        </w:trPr>
        <w:tc>
          <w:tcPr>
            <w:tcW w:w="790" w:type="dxa"/>
            <w:vMerge w:val="continue"/>
            <w:vAlign w:val="center"/>
          </w:tcPr>
          <w:p>
            <w:pPr>
              <w:widowControl/>
              <w:spacing w:before="0" w:after="0"/>
              <w:jc w:val="left"/>
              <w:rPr>
                <w:rFonts w:ascii="Times New Roman" w:hAnsi="Times New Roman" w:eastAsia="仿宋_GB2312" w:cs="Times New Roman"/>
                <w:color w:val="auto"/>
                <w:kern w:val="0"/>
                <w:sz w:val="24"/>
              </w:rPr>
            </w:pP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2</w:t>
            </w:r>
          </w:p>
        </w:tc>
        <w:tc>
          <w:tcPr>
            <w:tcW w:w="2663" w:type="dxa"/>
            <w:shd w:val="clear" w:color="auto" w:fill="auto"/>
            <w:vAlign w:val="center"/>
          </w:tcPr>
          <w:p>
            <w:pPr>
              <w:widowControl/>
              <w:spacing w:before="0" w:after="0"/>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“零工单”社区（村）</w:t>
            </w:r>
            <w:r>
              <w:rPr>
                <w:rFonts w:hint="eastAsia" w:ascii="Times New Roman" w:hAnsi="Times New Roman" w:eastAsia="仿宋_GB2312" w:cs="Times New Roman"/>
                <w:color w:val="auto"/>
                <w:kern w:val="0"/>
                <w:sz w:val="24"/>
              </w:rPr>
              <w:t>试点覆盖</w:t>
            </w:r>
            <w:r>
              <w:rPr>
                <w:rFonts w:ascii="Times New Roman" w:hAnsi="Times New Roman" w:eastAsia="仿宋_GB2312" w:cs="Times New Roman"/>
                <w:color w:val="auto"/>
                <w:kern w:val="0"/>
                <w:sz w:val="24"/>
              </w:rPr>
              <w:t>率（%）</w:t>
            </w:r>
          </w:p>
        </w:tc>
        <w:tc>
          <w:tcPr>
            <w:tcW w:w="1331"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≥15</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引导性指标</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区城市管理指挥中心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5" w:hRule="atLeast"/>
          <w:jc w:val="center"/>
        </w:trPr>
        <w:tc>
          <w:tcPr>
            <w:tcW w:w="790" w:type="dxa"/>
            <w:vMerge w:val="continue"/>
            <w:vAlign w:val="center"/>
          </w:tcPr>
          <w:p>
            <w:pPr>
              <w:widowControl/>
              <w:spacing w:before="0" w:after="0"/>
              <w:jc w:val="left"/>
              <w:rPr>
                <w:rFonts w:ascii="Times New Roman" w:hAnsi="Times New Roman" w:eastAsia="仿宋_GB2312" w:cs="Times New Roman"/>
                <w:color w:val="auto"/>
                <w:kern w:val="0"/>
                <w:sz w:val="24"/>
              </w:rPr>
            </w:pP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3</w:t>
            </w:r>
          </w:p>
        </w:tc>
        <w:tc>
          <w:tcPr>
            <w:tcW w:w="2663" w:type="dxa"/>
            <w:shd w:val="clear" w:color="auto" w:fill="auto"/>
            <w:vAlign w:val="center"/>
          </w:tcPr>
          <w:p>
            <w:pPr>
              <w:widowControl/>
              <w:spacing w:before="0" w:after="0"/>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人民建议</w:t>
            </w:r>
            <w:r>
              <w:rPr>
                <w:rFonts w:hint="eastAsia" w:ascii="Times New Roman" w:hAnsi="Times New Roman" w:eastAsia="仿宋_GB2312" w:cs="Times New Roman"/>
                <w:color w:val="auto"/>
                <w:kern w:val="0"/>
                <w:sz w:val="24"/>
              </w:rPr>
              <w:t>成果转化案例数量</w:t>
            </w:r>
            <w:r>
              <w:rPr>
                <w:rFonts w:ascii="Times New Roman" w:hAnsi="Times New Roman" w:eastAsia="仿宋_GB2312" w:cs="Times New Roman"/>
                <w:color w:val="auto"/>
                <w:kern w:val="0"/>
                <w:sz w:val="24"/>
              </w:rPr>
              <w:t>（</w:t>
            </w:r>
            <w:r>
              <w:rPr>
                <w:rFonts w:hint="eastAsia" w:ascii="Times New Roman" w:hAnsi="Times New Roman" w:eastAsia="仿宋_GB2312" w:cs="Times New Roman"/>
                <w:color w:val="auto"/>
                <w:kern w:val="0"/>
                <w:sz w:val="24"/>
              </w:rPr>
              <w:t>个）</w:t>
            </w:r>
          </w:p>
        </w:tc>
        <w:tc>
          <w:tcPr>
            <w:tcW w:w="1331"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w:t>
            </w:r>
            <w:r>
              <w:rPr>
                <w:rFonts w:hint="eastAsia" w:ascii="Times New Roman" w:hAnsi="Times New Roman" w:eastAsia="仿宋_GB2312" w:cs="Times New Roman"/>
                <w:color w:val="auto"/>
                <w:kern w:val="0"/>
                <w:sz w:val="24"/>
              </w:rPr>
              <w:t>15</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引导性指标</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区委社会工作部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0" w:hRule="atLeast"/>
          <w:jc w:val="center"/>
        </w:trPr>
        <w:tc>
          <w:tcPr>
            <w:tcW w:w="790" w:type="dxa"/>
            <w:vMerge w:val="continue"/>
            <w:vAlign w:val="center"/>
          </w:tcPr>
          <w:p>
            <w:pPr>
              <w:widowControl/>
              <w:spacing w:before="0" w:after="0"/>
              <w:jc w:val="left"/>
              <w:rPr>
                <w:rFonts w:ascii="Times New Roman" w:hAnsi="Times New Roman" w:eastAsia="仿宋_GB2312" w:cs="Times New Roman"/>
                <w:color w:val="auto"/>
                <w:kern w:val="0"/>
                <w:sz w:val="24"/>
              </w:rPr>
            </w:pP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4</w:t>
            </w:r>
          </w:p>
        </w:tc>
        <w:tc>
          <w:tcPr>
            <w:tcW w:w="2663" w:type="dxa"/>
            <w:shd w:val="clear" w:color="auto" w:fill="auto"/>
            <w:vAlign w:val="center"/>
          </w:tcPr>
          <w:p>
            <w:pPr>
              <w:widowControl/>
              <w:spacing w:before="0" w:after="0"/>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村规民约（居民公约）规范化修订覆盖率（%）</w:t>
            </w:r>
          </w:p>
        </w:tc>
        <w:tc>
          <w:tcPr>
            <w:tcW w:w="1331"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100%</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约束性指标</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区委社会工作部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0" w:hRule="atLeast"/>
          <w:jc w:val="center"/>
        </w:trPr>
        <w:tc>
          <w:tcPr>
            <w:tcW w:w="790" w:type="dxa"/>
            <w:vMerge w:val="restart"/>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社会动员</w:t>
            </w:r>
          </w:p>
          <w:p>
            <w:pPr>
              <w:widowControl/>
              <w:spacing w:before="0" w:after="0"/>
              <w:jc w:val="center"/>
              <w:rPr>
                <w:rFonts w:ascii="Times New Roman" w:hAnsi="Times New Roman" w:eastAsia="仿宋_GB2312" w:cs="Times New Roman"/>
                <w:color w:val="auto"/>
                <w:kern w:val="0"/>
                <w:sz w:val="24"/>
              </w:rPr>
            </w:pP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5</w:t>
            </w:r>
          </w:p>
        </w:tc>
        <w:tc>
          <w:tcPr>
            <w:tcW w:w="2663" w:type="dxa"/>
            <w:shd w:val="clear" w:color="auto" w:fill="auto"/>
            <w:vAlign w:val="center"/>
          </w:tcPr>
          <w:p>
            <w:pPr>
              <w:widowControl/>
              <w:spacing w:before="0" w:after="0"/>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社会治理城乡居民参与度（%）</w:t>
            </w:r>
          </w:p>
        </w:tc>
        <w:tc>
          <w:tcPr>
            <w:tcW w:w="1331" w:type="dxa"/>
            <w:shd w:val="clear" w:color="000000" w:fill="FFFFFF"/>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≥70</w:t>
            </w:r>
          </w:p>
        </w:tc>
        <w:tc>
          <w:tcPr>
            <w:tcW w:w="1538" w:type="dxa"/>
            <w:shd w:val="clear" w:color="000000" w:fill="FFFFFF"/>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引导性指标</w:t>
            </w:r>
          </w:p>
        </w:tc>
        <w:tc>
          <w:tcPr>
            <w:tcW w:w="1538" w:type="dxa"/>
            <w:shd w:val="clear" w:color="000000" w:fill="FFFFFF"/>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区委社会工作部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7" w:hRule="atLeast"/>
          <w:jc w:val="center"/>
        </w:trPr>
        <w:tc>
          <w:tcPr>
            <w:tcW w:w="790" w:type="dxa"/>
            <w:vMerge w:val="continue"/>
            <w:vAlign w:val="center"/>
          </w:tcPr>
          <w:p>
            <w:pPr>
              <w:widowControl/>
              <w:spacing w:before="0" w:after="0"/>
              <w:jc w:val="left"/>
              <w:rPr>
                <w:rFonts w:ascii="Times New Roman" w:hAnsi="Times New Roman" w:eastAsia="仿宋_GB2312" w:cs="Times New Roman"/>
                <w:color w:val="auto"/>
                <w:kern w:val="0"/>
                <w:sz w:val="24"/>
              </w:rPr>
            </w:pP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6</w:t>
            </w:r>
          </w:p>
        </w:tc>
        <w:tc>
          <w:tcPr>
            <w:tcW w:w="2663" w:type="dxa"/>
            <w:shd w:val="clear" w:color="auto" w:fill="auto"/>
            <w:vAlign w:val="center"/>
          </w:tcPr>
          <w:p>
            <w:pPr>
              <w:widowControl/>
              <w:spacing w:before="0" w:after="0"/>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志愿服务</w:t>
            </w:r>
            <w:r>
              <w:rPr>
                <w:rFonts w:hint="eastAsia" w:ascii="Times New Roman" w:hAnsi="Times New Roman" w:eastAsia="仿宋_GB2312" w:cs="Times New Roman"/>
                <w:color w:val="auto"/>
                <w:kern w:val="0"/>
                <w:sz w:val="24"/>
                <w:lang w:eastAsia="zh-CN"/>
              </w:rPr>
              <w:t>活跃度</w:t>
            </w:r>
            <w:r>
              <w:rPr>
                <w:rFonts w:ascii="Times New Roman" w:hAnsi="Times New Roman" w:eastAsia="仿宋_GB2312" w:cs="Times New Roman"/>
                <w:color w:val="auto"/>
                <w:kern w:val="0"/>
                <w:sz w:val="24"/>
              </w:rPr>
              <w:t>年均增长率（%）</w:t>
            </w:r>
          </w:p>
        </w:tc>
        <w:tc>
          <w:tcPr>
            <w:tcW w:w="1331"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≥3</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引导性指标</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区委社会工作部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4" w:hRule="atLeast"/>
          <w:jc w:val="center"/>
        </w:trPr>
        <w:tc>
          <w:tcPr>
            <w:tcW w:w="790" w:type="dxa"/>
            <w:vMerge w:val="restart"/>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社会共治</w:t>
            </w: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7</w:t>
            </w:r>
          </w:p>
        </w:tc>
        <w:tc>
          <w:tcPr>
            <w:tcW w:w="2663" w:type="dxa"/>
            <w:shd w:val="clear" w:color="auto" w:fill="auto"/>
            <w:vAlign w:val="center"/>
          </w:tcPr>
          <w:p>
            <w:pPr>
              <w:widowControl/>
              <w:spacing w:before="0" w:after="0"/>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社区议事协商主持人（名/社区）</w:t>
            </w:r>
          </w:p>
        </w:tc>
        <w:tc>
          <w:tcPr>
            <w:tcW w:w="1331"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≥2</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约束性指标</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区委社会工作部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1" w:hRule="atLeast"/>
          <w:jc w:val="center"/>
        </w:trPr>
        <w:tc>
          <w:tcPr>
            <w:tcW w:w="790" w:type="dxa"/>
            <w:vMerge w:val="continue"/>
            <w:vAlign w:val="center"/>
          </w:tcPr>
          <w:p>
            <w:pPr>
              <w:widowControl/>
              <w:spacing w:before="0" w:after="0"/>
              <w:jc w:val="left"/>
              <w:rPr>
                <w:rFonts w:ascii="Times New Roman" w:hAnsi="Times New Roman" w:eastAsia="仿宋_GB2312" w:cs="Times New Roman"/>
                <w:color w:val="auto"/>
                <w:kern w:val="0"/>
                <w:sz w:val="24"/>
              </w:rPr>
            </w:pP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8</w:t>
            </w:r>
          </w:p>
        </w:tc>
        <w:tc>
          <w:tcPr>
            <w:tcW w:w="2663" w:type="dxa"/>
            <w:shd w:val="clear" w:color="000000" w:fill="FFFFFF"/>
            <w:vAlign w:val="center"/>
          </w:tcPr>
          <w:p>
            <w:pPr>
              <w:widowControl/>
              <w:spacing w:before="0" w:after="0"/>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物业与社区的工作协同率（%）</w:t>
            </w:r>
          </w:p>
        </w:tc>
        <w:tc>
          <w:tcPr>
            <w:tcW w:w="1331" w:type="dxa"/>
            <w:shd w:val="clear" w:color="000000" w:fill="FFFFFF"/>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≥90</w:t>
            </w:r>
          </w:p>
        </w:tc>
        <w:tc>
          <w:tcPr>
            <w:tcW w:w="1538" w:type="dxa"/>
            <w:shd w:val="clear" w:color="000000" w:fill="FFFFFF"/>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引导性指标</w:t>
            </w:r>
          </w:p>
        </w:tc>
        <w:tc>
          <w:tcPr>
            <w:tcW w:w="1538" w:type="dxa"/>
            <w:shd w:val="clear" w:color="000000" w:fill="FFFFFF"/>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区住房城乡建设委、区委社会工作部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5" w:hRule="atLeast"/>
          <w:jc w:val="center"/>
        </w:trPr>
        <w:tc>
          <w:tcPr>
            <w:tcW w:w="790" w:type="dxa"/>
            <w:vMerge w:val="continue"/>
            <w:vAlign w:val="center"/>
          </w:tcPr>
          <w:p>
            <w:pPr>
              <w:widowControl/>
              <w:spacing w:before="0" w:after="0"/>
              <w:jc w:val="left"/>
              <w:rPr>
                <w:rFonts w:ascii="Times New Roman" w:hAnsi="Times New Roman" w:eastAsia="仿宋_GB2312" w:cs="Times New Roman"/>
                <w:color w:val="auto"/>
                <w:kern w:val="0"/>
                <w:sz w:val="24"/>
              </w:rPr>
            </w:pP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9</w:t>
            </w:r>
          </w:p>
        </w:tc>
        <w:tc>
          <w:tcPr>
            <w:tcW w:w="2663" w:type="dxa"/>
            <w:shd w:val="clear" w:color="000000" w:fill="FFFFFF"/>
            <w:vAlign w:val="center"/>
          </w:tcPr>
          <w:p>
            <w:pPr>
              <w:widowControl/>
              <w:spacing w:before="0" w:after="0"/>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社区（村）社区工作者配备达标率（%）</w:t>
            </w:r>
          </w:p>
        </w:tc>
        <w:tc>
          <w:tcPr>
            <w:tcW w:w="1331" w:type="dxa"/>
            <w:shd w:val="clear" w:color="000000" w:fill="FFFFFF"/>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100</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约束性指标</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区委社会工作部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8" w:hRule="atLeast"/>
          <w:jc w:val="center"/>
        </w:trPr>
        <w:tc>
          <w:tcPr>
            <w:tcW w:w="790" w:type="dxa"/>
            <w:vMerge w:val="restart"/>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社会服务</w:t>
            </w: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1</w:t>
            </w:r>
            <w:r>
              <w:rPr>
                <w:rFonts w:hint="eastAsia" w:ascii="Times New Roman" w:hAnsi="Times New Roman" w:eastAsia="仿宋_GB2312" w:cs="Times New Roman"/>
                <w:color w:val="auto"/>
                <w:kern w:val="0"/>
                <w:sz w:val="24"/>
              </w:rPr>
              <w:t>1</w:t>
            </w:r>
          </w:p>
        </w:tc>
        <w:tc>
          <w:tcPr>
            <w:tcW w:w="2663" w:type="dxa"/>
            <w:shd w:val="clear" w:color="auto" w:fill="auto"/>
            <w:vAlign w:val="center"/>
          </w:tcPr>
          <w:p>
            <w:pPr>
              <w:widowControl/>
              <w:spacing w:before="0" w:after="0"/>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一刻钟</w:t>
            </w:r>
            <w:r>
              <w:rPr>
                <w:rFonts w:hint="eastAsia" w:ascii="Times New Roman" w:hAnsi="Times New Roman" w:eastAsia="仿宋_GB2312" w:cs="Times New Roman"/>
                <w:color w:val="auto"/>
                <w:kern w:val="0"/>
                <w:sz w:val="24"/>
              </w:rPr>
              <w:t>便民生活</w:t>
            </w:r>
            <w:r>
              <w:rPr>
                <w:rFonts w:ascii="Times New Roman" w:hAnsi="Times New Roman" w:eastAsia="仿宋_GB2312" w:cs="Times New Roman"/>
                <w:color w:val="auto"/>
                <w:kern w:val="0"/>
                <w:sz w:val="24"/>
              </w:rPr>
              <w:t>圈</w:t>
            </w:r>
            <w:r>
              <w:rPr>
                <w:rFonts w:hint="eastAsia" w:ascii="Times New Roman" w:hAnsi="Times New Roman" w:eastAsia="仿宋_GB2312" w:cs="Times New Roman"/>
                <w:color w:val="auto"/>
                <w:kern w:val="0"/>
                <w:sz w:val="24"/>
              </w:rPr>
              <w:t>城市社区覆盖率</w:t>
            </w:r>
            <w:r>
              <w:rPr>
                <w:rFonts w:ascii="Times New Roman" w:hAnsi="Times New Roman" w:eastAsia="仿宋_GB2312" w:cs="Times New Roman"/>
                <w:color w:val="auto"/>
                <w:kern w:val="0"/>
                <w:sz w:val="24"/>
              </w:rPr>
              <w:t>（%）</w:t>
            </w:r>
          </w:p>
        </w:tc>
        <w:tc>
          <w:tcPr>
            <w:tcW w:w="1331"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100</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约束性指标</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区商务局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0" w:hRule="atLeast"/>
          <w:jc w:val="center"/>
        </w:trPr>
        <w:tc>
          <w:tcPr>
            <w:tcW w:w="790" w:type="dxa"/>
            <w:vMerge w:val="continue"/>
            <w:vAlign w:val="center"/>
          </w:tcPr>
          <w:p>
            <w:pPr>
              <w:widowControl/>
              <w:spacing w:before="0" w:after="0"/>
              <w:jc w:val="left"/>
              <w:rPr>
                <w:rFonts w:ascii="Times New Roman" w:hAnsi="Times New Roman" w:eastAsia="仿宋_GB2312" w:cs="Times New Roman"/>
                <w:color w:val="auto"/>
                <w:kern w:val="0"/>
                <w:sz w:val="24"/>
              </w:rPr>
            </w:pP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1</w:t>
            </w:r>
            <w:r>
              <w:rPr>
                <w:rFonts w:hint="eastAsia" w:ascii="Times New Roman" w:hAnsi="Times New Roman" w:eastAsia="仿宋_GB2312" w:cs="Times New Roman"/>
                <w:color w:val="auto"/>
                <w:kern w:val="0"/>
                <w:sz w:val="24"/>
              </w:rPr>
              <w:t>2</w:t>
            </w:r>
          </w:p>
        </w:tc>
        <w:tc>
          <w:tcPr>
            <w:tcW w:w="2663" w:type="dxa"/>
            <w:shd w:val="clear" w:color="auto" w:fill="auto"/>
            <w:vAlign w:val="center"/>
          </w:tcPr>
          <w:p>
            <w:pPr>
              <w:widowControl/>
              <w:spacing w:before="0" w:after="0"/>
              <w:jc w:val="left"/>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highlight w:val="none"/>
                <w:lang w:eastAsia="zh-CN"/>
              </w:rPr>
              <w:t>街道（乡镇）养老</w:t>
            </w:r>
            <w:r>
              <w:rPr>
                <w:rFonts w:ascii="Times New Roman" w:hAnsi="Times New Roman" w:eastAsia="仿宋_GB2312" w:cs="Times New Roman"/>
                <w:color w:val="auto"/>
                <w:kern w:val="0"/>
                <w:sz w:val="24"/>
              </w:rPr>
              <w:t>助餐服务覆盖率（%）</w:t>
            </w:r>
          </w:p>
        </w:tc>
        <w:tc>
          <w:tcPr>
            <w:tcW w:w="1331"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≥80</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引导性指标</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区民政局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0" w:hRule="atLeast"/>
          <w:jc w:val="center"/>
        </w:trPr>
        <w:tc>
          <w:tcPr>
            <w:tcW w:w="790" w:type="dxa"/>
            <w:vMerge w:val="continue"/>
            <w:vAlign w:val="center"/>
          </w:tcPr>
          <w:p>
            <w:pPr>
              <w:widowControl/>
              <w:spacing w:before="0" w:after="0"/>
              <w:jc w:val="left"/>
              <w:rPr>
                <w:rFonts w:ascii="Times New Roman" w:hAnsi="Times New Roman" w:eastAsia="仿宋_GB2312" w:cs="Times New Roman"/>
                <w:color w:val="auto"/>
                <w:kern w:val="0"/>
                <w:sz w:val="24"/>
              </w:rPr>
            </w:pP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1</w:t>
            </w:r>
            <w:r>
              <w:rPr>
                <w:rFonts w:hint="eastAsia" w:ascii="Times New Roman" w:hAnsi="Times New Roman" w:eastAsia="仿宋_GB2312" w:cs="Times New Roman"/>
                <w:color w:val="auto"/>
                <w:kern w:val="0"/>
                <w:sz w:val="24"/>
              </w:rPr>
              <w:t>3</w:t>
            </w:r>
          </w:p>
        </w:tc>
        <w:tc>
          <w:tcPr>
            <w:tcW w:w="2663" w:type="dxa"/>
            <w:shd w:val="clear" w:color="auto" w:fill="auto"/>
            <w:vAlign w:val="center"/>
          </w:tcPr>
          <w:p>
            <w:pPr>
              <w:widowControl/>
              <w:spacing w:before="0" w:after="0"/>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家庭医生</w:t>
            </w:r>
            <w:r>
              <w:rPr>
                <w:rFonts w:hint="eastAsia" w:ascii="Times New Roman" w:hAnsi="Times New Roman" w:eastAsia="仿宋_GB2312" w:cs="Times New Roman"/>
                <w:color w:val="auto"/>
                <w:kern w:val="0"/>
                <w:sz w:val="24"/>
                <w:lang w:eastAsia="zh-CN"/>
              </w:rPr>
              <w:t>重点人群</w:t>
            </w:r>
            <w:r>
              <w:rPr>
                <w:rFonts w:ascii="Times New Roman" w:hAnsi="Times New Roman" w:eastAsia="仿宋_GB2312" w:cs="Times New Roman"/>
                <w:color w:val="auto"/>
                <w:kern w:val="0"/>
                <w:sz w:val="24"/>
              </w:rPr>
              <w:t>签约率（%）</w:t>
            </w:r>
          </w:p>
        </w:tc>
        <w:tc>
          <w:tcPr>
            <w:tcW w:w="1331"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≥90</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约束性</w:t>
            </w:r>
            <w:bookmarkStart w:id="14" w:name="OLE_LINK16"/>
            <w:r>
              <w:rPr>
                <w:rFonts w:ascii="Times New Roman" w:hAnsi="Times New Roman" w:eastAsia="仿宋_GB2312" w:cs="Times New Roman"/>
                <w:color w:val="auto"/>
                <w:kern w:val="0"/>
                <w:sz w:val="24"/>
              </w:rPr>
              <w:t>指标</w:t>
            </w:r>
            <w:bookmarkEnd w:id="14"/>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区卫生健康委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0" w:hRule="atLeast"/>
          <w:jc w:val="center"/>
        </w:trPr>
        <w:tc>
          <w:tcPr>
            <w:tcW w:w="790" w:type="dxa"/>
            <w:vMerge w:val="continue"/>
            <w:vAlign w:val="center"/>
          </w:tcPr>
          <w:p>
            <w:pPr>
              <w:widowControl/>
              <w:spacing w:before="0" w:after="0"/>
              <w:jc w:val="left"/>
              <w:rPr>
                <w:rFonts w:ascii="Times New Roman" w:hAnsi="Times New Roman" w:eastAsia="仿宋_GB2312" w:cs="Times New Roman"/>
                <w:color w:val="auto"/>
                <w:kern w:val="0"/>
                <w:sz w:val="24"/>
              </w:rPr>
            </w:pP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highlight w:val="none"/>
              </w:rPr>
            </w:pPr>
            <w:r>
              <w:rPr>
                <w:rFonts w:hint="eastAsia" w:ascii="Times New Roman" w:hAnsi="Times New Roman" w:eastAsia="仿宋_GB2312" w:cs="Times New Roman"/>
                <w:color w:val="auto"/>
                <w:kern w:val="0"/>
                <w:sz w:val="24"/>
                <w:highlight w:val="none"/>
              </w:rPr>
              <w:t>1</w:t>
            </w:r>
            <w:r>
              <w:rPr>
                <w:rFonts w:ascii="Times New Roman" w:hAnsi="Times New Roman" w:eastAsia="仿宋_GB2312" w:cs="Times New Roman"/>
                <w:color w:val="auto"/>
                <w:kern w:val="0"/>
                <w:sz w:val="24"/>
                <w:highlight w:val="none"/>
              </w:rPr>
              <w:t>4</w:t>
            </w:r>
          </w:p>
        </w:tc>
        <w:tc>
          <w:tcPr>
            <w:tcW w:w="2663" w:type="dxa"/>
            <w:shd w:val="clear" w:color="auto" w:fill="auto"/>
            <w:vAlign w:val="center"/>
          </w:tcPr>
          <w:p>
            <w:pPr>
              <w:widowControl/>
              <w:spacing w:before="0" w:after="0"/>
              <w:jc w:val="left"/>
              <w:rPr>
                <w:rFonts w:ascii="Times New Roman" w:hAnsi="Times New Roman" w:eastAsia="仿宋_GB2312" w:cs="Times New Roman"/>
                <w:color w:val="auto"/>
                <w:kern w:val="0"/>
                <w:sz w:val="24"/>
                <w:highlight w:val="none"/>
              </w:rPr>
            </w:pPr>
            <w:r>
              <w:rPr>
                <w:rFonts w:hint="eastAsia" w:ascii="Times New Roman" w:hAnsi="Times New Roman" w:eastAsia="仿宋_GB2312" w:cs="Times New Roman"/>
                <w:color w:val="auto"/>
                <w:kern w:val="0"/>
                <w:sz w:val="24"/>
                <w:highlight w:val="none"/>
                <w:lang w:eastAsia="zh-CN"/>
              </w:rPr>
              <w:t>群众</w:t>
            </w:r>
            <w:r>
              <w:rPr>
                <w:rFonts w:ascii="Times New Roman" w:hAnsi="Times New Roman" w:eastAsia="仿宋_GB2312" w:cs="Times New Roman"/>
                <w:color w:val="auto"/>
                <w:kern w:val="0"/>
                <w:sz w:val="24"/>
                <w:highlight w:val="none"/>
              </w:rPr>
              <w:t>安全感</w:t>
            </w:r>
            <w:r>
              <w:rPr>
                <w:rFonts w:hint="eastAsia" w:ascii="Times New Roman" w:hAnsi="Times New Roman" w:eastAsia="仿宋_GB2312" w:cs="Times New Roman"/>
                <w:color w:val="auto"/>
                <w:kern w:val="0"/>
                <w:sz w:val="24"/>
                <w:highlight w:val="none"/>
                <w:lang w:eastAsia="zh-CN"/>
              </w:rPr>
              <w:t>指数</w:t>
            </w:r>
            <w:r>
              <w:rPr>
                <w:rFonts w:ascii="Times New Roman" w:hAnsi="Times New Roman" w:eastAsia="仿宋_GB2312" w:cs="Times New Roman"/>
                <w:color w:val="auto"/>
                <w:kern w:val="0"/>
                <w:sz w:val="24"/>
                <w:highlight w:val="none"/>
              </w:rPr>
              <w:t>（%）</w:t>
            </w:r>
          </w:p>
        </w:tc>
        <w:tc>
          <w:tcPr>
            <w:tcW w:w="1331" w:type="dxa"/>
            <w:shd w:val="clear" w:color="auto" w:fill="auto"/>
            <w:vAlign w:val="center"/>
          </w:tcPr>
          <w:p>
            <w:pPr>
              <w:widowControl/>
              <w:spacing w:before="0" w:after="0"/>
              <w:jc w:val="center"/>
              <w:rPr>
                <w:rFonts w:ascii="Times New Roman" w:hAnsi="Times New Roman" w:eastAsia="仿宋_GB2312" w:cs="Times New Roman"/>
                <w:color w:val="auto"/>
                <w:kern w:val="0"/>
                <w:sz w:val="24"/>
                <w:highlight w:val="none"/>
              </w:rPr>
            </w:pPr>
            <w:r>
              <w:rPr>
                <w:rFonts w:ascii="Times New Roman" w:hAnsi="Times New Roman" w:eastAsia="仿宋_GB2312" w:cs="Times New Roman"/>
                <w:color w:val="auto"/>
                <w:kern w:val="0"/>
                <w:sz w:val="24"/>
                <w:highlight w:val="none"/>
              </w:rPr>
              <w:t>≥95</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highlight w:val="none"/>
              </w:rPr>
            </w:pPr>
            <w:r>
              <w:rPr>
                <w:rFonts w:hint="eastAsia" w:ascii="Times New Roman" w:hAnsi="Times New Roman" w:eastAsia="仿宋_GB2312" w:cs="Times New Roman"/>
                <w:color w:val="auto"/>
                <w:kern w:val="0"/>
                <w:sz w:val="24"/>
                <w:highlight w:val="none"/>
                <w:lang w:eastAsia="zh-CN"/>
              </w:rPr>
              <w:t>引导</w:t>
            </w:r>
            <w:r>
              <w:rPr>
                <w:rFonts w:ascii="Times New Roman" w:hAnsi="Times New Roman" w:eastAsia="仿宋_GB2312" w:cs="Times New Roman"/>
                <w:color w:val="auto"/>
                <w:kern w:val="0"/>
                <w:sz w:val="24"/>
                <w:highlight w:val="none"/>
              </w:rPr>
              <w:t>性指标</w:t>
            </w:r>
          </w:p>
        </w:tc>
        <w:tc>
          <w:tcPr>
            <w:tcW w:w="1538" w:type="dxa"/>
            <w:shd w:val="clear" w:color="auto" w:fill="auto"/>
            <w:vAlign w:val="center"/>
          </w:tcPr>
          <w:p>
            <w:pPr>
              <w:widowControl/>
              <w:spacing w:before="0" w:after="0"/>
              <w:jc w:val="center"/>
              <w:rPr>
                <w:rFonts w:hint="eastAsia" w:ascii="Times New Roman" w:hAnsi="Times New Roman" w:eastAsia="仿宋_GB2312" w:cs="Times New Roman"/>
                <w:color w:val="auto"/>
                <w:kern w:val="0"/>
                <w:sz w:val="24"/>
                <w:highlight w:val="yellow"/>
              </w:rPr>
            </w:pPr>
            <w:r>
              <w:rPr>
                <w:rFonts w:hint="eastAsia" w:ascii="Times New Roman" w:hAnsi="Times New Roman" w:eastAsia="仿宋_GB2312" w:cs="Times New Roman"/>
                <w:color w:val="auto"/>
                <w:kern w:val="0"/>
                <w:sz w:val="24"/>
              </w:rPr>
              <w:t>区委政法委、延庆公安分局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0" w:hRule="atLeast"/>
          <w:jc w:val="center"/>
        </w:trPr>
        <w:tc>
          <w:tcPr>
            <w:tcW w:w="790" w:type="dxa"/>
            <w:vMerge w:val="continue"/>
            <w:vAlign w:val="center"/>
          </w:tcPr>
          <w:p>
            <w:pPr>
              <w:widowControl/>
              <w:spacing w:before="0" w:after="0"/>
              <w:jc w:val="left"/>
              <w:rPr>
                <w:rFonts w:ascii="Times New Roman" w:hAnsi="Times New Roman" w:eastAsia="仿宋_GB2312" w:cs="Times New Roman"/>
                <w:color w:val="auto"/>
                <w:kern w:val="0"/>
                <w:sz w:val="24"/>
              </w:rPr>
            </w:pP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15</w:t>
            </w:r>
          </w:p>
        </w:tc>
        <w:tc>
          <w:tcPr>
            <w:tcW w:w="2663" w:type="dxa"/>
            <w:shd w:val="clear" w:color="auto" w:fill="auto"/>
            <w:vAlign w:val="center"/>
          </w:tcPr>
          <w:p>
            <w:pPr>
              <w:widowControl/>
              <w:spacing w:before="0" w:after="0"/>
              <w:jc w:val="left"/>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“七有”“五性”监测评价综合指数</w:t>
            </w:r>
          </w:p>
        </w:tc>
        <w:tc>
          <w:tcPr>
            <w:tcW w:w="1331"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排名全市或生态涵养区中等偏上</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引导性指标</w:t>
            </w:r>
          </w:p>
        </w:tc>
        <w:tc>
          <w:tcPr>
            <w:tcW w:w="1538"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区发展改革委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0" w:hRule="atLeast"/>
          <w:jc w:val="center"/>
        </w:trPr>
        <w:tc>
          <w:tcPr>
            <w:tcW w:w="790" w:type="dxa"/>
            <w:vMerge w:val="restart"/>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党建引领</w:t>
            </w: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highlight w:val="none"/>
              </w:rPr>
            </w:pPr>
            <w:r>
              <w:rPr>
                <w:rFonts w:hint="eastAsia" w:ascii="Times New Roman" w:hAnsi="Times New Roman" w:eastAsia="仿宋_GB2312" w:cs="Times New Roman"/>
                <w:color w:val="auto"/>
                <w:kern w:val="0"/>
                <w:sz w:val="24"/>
                <w:highlight w:val="none"/>
              </w:rPr>
              <w:t>1</w:t>
            </w:r>
            <w:r>
              <w:rPr>
                <w:rFonts w:ascii="Times New Roman" w:hAnsi="Times New Roman" w:eastAsia="仿宋_GB2312" w:cs="Times New Roman"/>
                <w:color w:val="auto"/>
                <w:kern w:val="0"/>
                <w:sz w:val="24"/>
                <w:highlight w:val="none"/>
              </w:rPr>
              <w:t>6</w:t>
            </w:r>
          </w:p>
        </w:tc>
        <w:tc>
          <w:tcPr>
            <w:tcW w:w="2663" w:type="dxa"/>
            <w:shd w:val="clear" w:color="auto" w:fill="auto"/>
            <w:vAlign w:val="center"/>
          </w:tcPr>
          <w:p>
            <w:pPr>
              <w:widowControl/>
              <w:spacing w:before="0" w:after="0"/>
              <w:jc w:val="left"/>
              <w:rPr>
                <w:rFonts w:ascii="Times New Roman" w:hAnsi="Times New Roman" w:eastAsia="仿宋_GB2312" w:cs="Times New Roman"/>
                <w:color w:val="auto"/>
                <w:kern w:val="0"/>
                <w:sz w:val="24"/>
                <w:highlight w:val="none"/>
              </w:rPr>
            </w:pPr>
            <w:r>
              <w:rPr>
                <w:rFonts w:hint="eastAsia" w:ascii="Times New Roman" w:hAnsi="Times New Roman" w:eastAsia="仿宋_GB2312" w:cs="Times New Roman"/>
                <w:color w:val="auto"/>
                <w:kern w:val="0"/>
                <w:sz w:val="24"/>
                <w:highlight w:val="none"/>
              </w:rPr>
              <w:t>社区党建工作协调委员会动态覆盖率</w:t>
            </w:r>
            <w:r>
              <w:rPr>
                <w:rFonts w:ascii="Times New Roman" w:hAnsi="Times New Roman" w:eastAsia="仿宋_GB2312" w:cs="Times New Roman"/>
                <w:color w:val="auto"/>
                <w:kern w:val="0"/>
                <w:sz w:val="24"/>
                <w:highlight w:val="none"/>
              </w:rPr>
              <w:t>（%）</w:t>
            </w:r>
          </w:p>
        </w:tc>
        <w:tc>
          <w:tcPr>
            <w:tcW w:w="1331" w:type="dxa"/>
            <w:shd w:val="clear" w:color="000000" w:fill="FFFFFF"/>
            <w:vAlign w:val="center"/>
          </w:tcPr>
          <w:p>
            <w:pPr>
              <w:widowControl/>
              <w:spacing w:before="0" w:after="0"/>
              <w:jc w:val="center"/>
              <w:rPr>
                <w:rFonts w:ascii="Times New Roman" w:hAnsi="Times New Roman" w:eastAsia="仿宋_GB2312" w:cs="Times New Roman"/>
                <w:color w:val="auto"/>
                <w:kern w:val="0"/>
                <w:sz w:val="24"/>
                <w:highlight w:val="none"/>
              </w:rPr>
            </w:pPr>
            <w:r>
              <w:rPr>
                <w:rFonts w:ascii="Times New Roman" w:hAnsi="Times New Roman" w:eastAsia="仿宋_GB2312" w:cs="Times New Roman"/>
                <w:color w:val="auto"/>
                <w:kern w:val="0"/>
                <w:sz w:val="24"/>
                <w:highlight w:val="none"/>
              </w:rPr>
              <w:t>100</w:t>
            </w:r>
          </w:p>
        </w:tc>
        <w:tc>
          <w:tcPr>
            <w:tcW w:w="1538" w:type="dxa"/>
            <w:shd w:val="clear" w:color="000000" w:fill="FFFFFF"/>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引导性指标</w:t>
            </w:r>
          </w:p>
        </w:tc>
        <w:tc>
          <w:tcPr>
            <w:tcW w:w="1538" w:type="dxa"/>
            <w:shd w:val="clear" w:color="000000" w:fill="FFFFFF"/>
            <w:vAlign w:val="center"/>
          </w:tcPr>
          <w:p>
            <w:pPr>
              <w:widowControl/>
              <w:spacing w:before="0" w:after="0"/>
              <w:jc w:val="center"/>
              <w:rPr>
                <w:rFonts w:ascii="Times New Roman" w:hAnsi="Times New Roman" w:eastAsia="仿宋_GB2312" w:cs="Times New Roman"/>
                <w:color w:val="auto"/>
                <w:kern w:val="0"/>
                <w:sz w:val="24"/>
              </w:rPr>
            </w:pPr>
            <w:bookmarkStart w:id="15" w:name="OLE_LINK5"/>
            <w:r>
              <w:rPr>
                <w:rFonts w:hint="eastAsia" w:ascii="Times New Roman" w:hAnsi="Times New Roman" w:eastAsia="仿宋_GB2312" w:cs="Times New Roman"/>
                <w:color w:val="auto"/>
                <w:kern w:val="0"/>
                <w:sz w:val="24"/>
              </w:rPr>
              <w:t>区委组织部、</w:t>
            </w:r>
            <w:r>
              <w:rPr>
                <w:rFonts w:hint="eastAsia" w:ascii="Times New Roman" w:hAnsi="Times New Roman" w:eastAsia="仿宋_GB2312" w:cs="Times New Roman"/>
                <w:color w:val="auto"/>
                <w:kern w:val="0"/>
                <w:sz w:val="24"/>
                <w:lang w:eastAsia="zh-CN"/>
              </w:rPr>
              <w:t>区委社会工作部</w:t>
            </w:r>
            <w:bookmarkEnd w:id="15"/>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1" w:hRule="atLeast"/>
          <w:jc w:val="center"/>
        </w:trPr>
        <w:tc>
          <w:tcPr>
            <w:tcW w:w="790" w:type="dxa"/>
            <w:vMerge w:val="continue"/>
            <w:vAlign w:val="center"/>
          </w:tcPr>
          <w:p>
            <w:pPr>
              <w:widowControl/>
              <w:spacing w:before="0" w:after="0"/>
              <w:jc w:val="left"/>
              <w:rPr>
                <w:rFonts w:ascii="Times New Roman" w:hAnsi="Times New Roman" w:eastAsia="仿宋_GB2312" w:cs="Times New Roman"/>
                <w:color w:val="auto"/>
                <w:kern w:val="0"/>
                <w:sz w:val="24"/>
              </w:rPr>
            </w:pP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1</w:t>
            </w:r>
            <w:r>
              <w:rPr>
                <w:rFonts w:ascii="Times New Roman" w:hAnsi="Times New Roman" w:eastAsia="仿宋_GB2312" w:cs="Times New Roman"/>
                <w:color w:val="auto"/>
                <w:kern w:val="0"/>
                <w:sz w:val="24"/>
              </w:rPr>
              <w:t>7</w:t>
            </w:r>
          </w:p>
        </w:tc>
        <w:tc>
          <w:tcPr>
            <w:tcW w:w="2663" w:type="dxa"/>
            <w:shd w:val="clear" w:color="auto" w:fill="auto"/>
            <w:vAlign w:val="center"/>
          </w:tcPr>
          <w:p>
            <w:pPr>
              <w:widowControl/>
              <w:spacing w:before="0" w:after="0"/>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新就业群体对社会治理的参与度（%）</w:t>
            </w:r>
          </w:p>
        </w:tc>
        <w:tc>
          <w:tcPr>
            <w:tcW w:w="1331" w:type="dxa"/>
            <w:shd w:val="clear" w:color="000000" w:fill="FFFFFF"/>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w:t>
            </w:r>
            <w:r>
              <w:rPr>
                <w:rFonts w:hint="eastAsia" w:ascii="Times New Roman" w:hAnsi="Times New Roman" w:eastAsia="仿宋_GB2312" w:cs="Times New Roman"/>
                <w:color w:val="auto"/>
                <w:kern w:val="0"/>
                <w:sz w:val="24"/>
              </w:rPr>
              <w:t>80</w:t>
            </w:r>
          </w:p>
        </w:tc>
        <w:tc>
          <w:tcPr>
            <w:tcW w:w="1538" w:type="dxa"/>
            <w:shd w:val="clear" w:color="000000" w:fill="FFFFFF"/>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引导性指标</w:t>
            </w:r>
          </w:p>
        </w:tc>
        <w:tc>
          <w:tcPr>
            <w:tcW w:w="1538" w:type="dxa"/>
            <w:shd w:val="clear" w:color="000000" w:fill="FFFFFF"/>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区委社会工作部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0" w:hRule="atLeast"/>
          <w:jc w:val="center"/>
        </w:trPr>
        <w:tc>
          <w:tcPr>
            <w:tcW w:w="790" w:type="dxa"/>
            <w:vMerge w:val="continue"/>
            <w:vAlign w:val="center"/>
          </w:tcPr>
          <w:p>
            <w:pPr>
              <w:widowControl/>
              <w:spacing w:before="0" w:after="0"/>
              <w:jc w:val="left"/>
              <w:rPr>
                <w:rFonts w:ascii="Times New Roman" w:hAnsi="Times New Roman" w:eastAsia="仿宋_GB2312" w:cs="Times New Roman"/>
                <w:color w:val="auto"/>
                <w:kern w:val="0"/>
                <w:sz w:val="24"/>
              </w:rPr>
            </w:pP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1</w:t>
            </w:r>
            <w:r>
              <w:rPr>
                <w:rFonts w:ascii="Times New Roman" w:hAnsi="Times New Roman" w:eastAsia="仿宋_GB2312" w:cs="Times New Roman"/>
                <w:color w:val="auto"/>
                <w:kern w:val="0"/>
                <w:sz w:val="24"/>
              </w:rPr>
              <w:t>8</w:t>
            </w:r>
          </w:p>
        </w:tc>
        <w:tc>
          <w:tcPr>
            <w:tcW w:w="2663" w:type="dxa"/>
            <w:shd w:val="clear" w:color="auto" w:fill="auto"/>
            <w:vAlign w:val="center"/>
          </w:tcPr>
          <w:p>
            <w:pPr>
              <w:widowControl/>
              <w:spacing w:before="0" w:after="0"/>
              <w:jc w:val="left"/>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重点非公企业和社会组织党组织、党的工作动态覆盖率</w:t>
            </w:r>
            <w:r>
              <w:rPr>
                <w:rFonts w:ascii="Times New Roman" w:hAnsi="Times New Roman" w:eastAsia="仿宋_GB2312" w:cs="Times New Roman"/>
                <w:color w:val="auto"/>
                <w:kern w:val="0"/>
                <w:sz w:val="24"/>
              </w:rPr>
              <w:t>（%）</w:t>
            </w:r>
          </w:p>
        </w:tc>
        <w:tc>
          <w:tcPr>
            <w:tcW w:w="1331"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100</w:t>
            </w:r>
          </w:p>
        </w:tc>
        <w:tc>
          <w:tcPr>
            <w:tcW w:w="1538" w:type="dxa"/>
            <w:shd w:val="clear" w:color="000000" w:fill="FFFFFF"/>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约束性指标</w:t>
            </w:r>
          </w:p>
        </w:tc>
        <w:tc>
          <w:tcPr>
            <w:tcW w:w="1538" w:type="dxa"/>
            <w:shd w:val="clear" w:color="000000" w:fill="FFFFFF"/>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区委组织部、</w:t>
            </w:r>
            <w:r>
              <w:rPr>
                <w:rFonts w:hint="eastAsia" w:ascii="Times New Roman" w:hAnsi="Times New Roman" w:eastAsia="仿宋_GB2312" w:cs="Times New Roman"/>
                <w:color w:val="auto"/>
                <w:kern w:val="0"/>
                <w:sz w:val="24"/>
                <w:lang w:eastAsia="zh-CN"/>
              </w:rPr>
              <w:t>区委社会工作部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0" w:hRule="atLeast"/>
          <w:jc w:val="center"/>
        </w:trPr>
        <w:tc>
          <w:tcPr>
            <w:tcW w:w="790" w:type="dxa"/>
            <w:vMerge w:val="continue"/>
            <w:vAlign w:val="center"/>
          </w:tcPr>
          <w:p>
            <w:pPr>
              <w:widowControl/>
              <w:spacing w:before="0" w:after="0"/>
              <w:jc w:val="left"/>
              <w:rPr>
                <w:rFonts w:ascii="Times New Roman" w:hAnsi="Times New Roman" w:eastAsia="仿宋_GB2312" w:cs="Times New Roman"/>
                <w:color w:val="auto"/>
                <w:kern w:val="0"/>
                <w:sz w:val="24"/>
              </w:rPr>
            </w:pPr>
          </w:p>
        </w:tc>
        <w:tc>
          <w:tcPr>
            <w:tcW w:w="666"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1</w:t>
            </w:r>
            <w:r>
              <w:rPr>
                <w:rFonts w:ascii="Times New Roman" w:hAnsi="Times New Roman" w:eastAsia="仿宋_GB2312" w:cs="Times New Roman"/>
                <w:color w:val="auto"/>
                <w:kern w:val="0"/>
                <w:sz w:val="24"/>
              </w:rPr>
              <w:t>9</w:t>
            </w:r>
          </w:p>
        </w:tc>
        <w:tc>
          <w:tcPr>
            <w:tcW w:w="2663" w:type="dxa"/>
            <w:shd w:val="clear" w:color="auto" w:fill="auto"/>
            <w:vAlign w:val="center"/>
          </w:tcPr>
          <w:p>
            <w:pPr>
              <w:widowControl/>
              <w:spacing w:before="0" w:after="0"/>
              <w:jc w:val="left"/>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“红色物业联盟”建设覆盖率（%）</w:t>
            </w:r>
          </w:p>
        </w:tc>
        <w:tc>
          <w:tcPr>
            <w:tcW w:w="1331" w:type="dxa"/>
            <w:shd w:val="clear" w:color="auto" w:fill="auto"/>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100</w:t>
            </w:r>
          </w:p>
        </w:tc>
        <w:tc>
          <w:tcPr>
            <w:tcW w:w="1538" w:type="dxa"/>
            <w:shd w:val="clear" w:color="000000" w:fill="FFFFFF"/>
            <w:vAlign w:val="center"/>
          </w:tcPr>
          <w:p>
            <w:pPr>
              <w:widowControl/>
              <w:spacing w:before="0" w:after="0"/>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约束性指标</w:t>
            </w:r>
          </w:p>
        </w:tc>
        <w:tc>
          <w:tcPr>
            <w:tcW w:w="1538" w:type="dxa"/>
            <w:shd w:val="clear" w:color="000000" w:fill="FFFFFF"/>
            <w:vAlign w:val="center"/>
          </w:tcPr>
          <w:p>
            <w:pPr>
              <w:widowControl/>
              <w:spacing w:before="0" w:after="0"/>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区住房城乡建设委</w:t>
            </w:r>
          </w:p>
        </w:tc>
      </w:tr>
    </w:tbl>
    <w:p>
      <w:pPr>
        <w:spacing w:before="0" w:after="0" w:line="560" w:lineRule="exact"/>
        <w:rPr>
          <w:rFonts w:ascii="Times New Roman" w:hAnsi="Times New Roman" w:cs="Times New Roman"/>
          <w:color w:val="auto"/>
        </w:rPr>
      </w:pPr>
    </w:p>
    <w:p>
      <w:pPr>
        <w:pStyle w:val="3"/>
        <w:spacing w:before="0" w:after="0" w:line="560" w:lineRule="exact"/>
        <w:ind w:firstLine="640" w:firstLineChars="200"/>
        <w:rPr>
          <w:rFonts w:ascii="Times New Roman" w:hAnsi="Times New Roman" w:eastAsia="黑体" w:cs="Times New Roman"/>
          <w:b w:val="0"/>
          <w:bCs/>
          <w:color w:val="auto"/>
          <w:sz w:val="32"/>
        </w:rPr>
      </w:pPr>
      <w:bookmarkStart w:id="16" w:name="_Toc214629557"/>
      <w:r>
        <w:rPr>
          <w:rFonts w:ascii="Times New Roman" w:hAnsi="Times New Roman" w:eastAsia="黑体" w:cs="Times New Roman"/>
          <w:b w:val="0"/>
          <w:bCs/>
          <w:color w:val="auto"/>
          <w:sz w:val="32"/>
        </w:rPr>
        <w:t>四、夯实社会共识基础，汇聚“最美冬奥城”治理合力</w:t>
      </w:r>
      <w:bookmarkEnd w:id="16"/>
    </w:p>
    <w:p>
      <w:pPr>
        <w:snapToGrid w:val="0"/>
        <w:spacing w:before="0" w:after="0" w:line="560" w:lineRule="exact"/>
        <w:ind w:firstLine="640"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val="0"/>
          <w:bCs/>
          <w:color w:val="auto"/>
          <w:sz w:val="32"/>
          <w:lang w:val="en-US" w:eastAsia="zh-CN"/>
        </w:rPr>
        <w:t>凝聚共识，汇聚人心是社会治理的前提和保障。“十五五”时期，延庆区要以“最美冬奥城”建设为目标，健全干群联系机制，总结和推广“零工单”社区（村）创建经验，</w:t>
      </w:r>
      <w:r>
        <w:rPr>
          <w:rFonts w:ascii="Times New Roman" w:hAnsi="Times New Roman" w:eastAsia="仿宋_GB2312" w:cs="Times New Roman"/>
          <w:color w:val="auto"/>
          <w:sz w:val="32"/>
        </w:rPr>
        <w:t>完善</w:t>
      </w:r>
      <w:r>
        <w:rPr>
          <w:rFonts w:hint="eastAsia" w:ascii="Times New Roman" w:hAnsi="Times New Roman" w:eastAsia="仿宋_GB2312" w:cs="Times New Roman"/>
          <w:color w:val="auto"/>
          <w:sz w:val="32"/>
          <w:lang w:eastAsia="zh-CN"/>
        </w:rPr>
        <w:t>人民建议</w:t>
      </w:r>
      <w:r>
        <w:rPr>
          <w:rFonts w:ascii="Times New Roman" w:hAnsi="Times New Roman" w:eastAsia="仿宋_GB2312" w:cs="Times New Roman"/>
          <w:color w:val="auto"/>
          <w:sz w:val="32"/>
        </w:rPr>
        <w:t>征集机制，</w:t>
      </w:r>
      <w:r>
        <w:rPr>
          <w:rFonts w:hint="eastAsia" w:ascii="Times New Roman" w:hAnsi="Times New Roman" w:eastAsia="仿宋_GB2312" w:cs="Times New Roman"/>
          <w:color w:val="auto"/>
          <w:sz w:val="32"/>
          <w:lang w:eastAsia="zh-CN"/>
        </w:rPr>
        <w:t>聚焦征集、办理、转化、督办、激励等关键环节，实施“</w:t>
      </w:r>
      <w:bookmarkStart w:id="17" w:name="OLE_LINK2"/>
      <w:r>
        <w:rPr>
          <w:rFonts w:hint="eastAsia" w:ascii="Times New Roman" w:hAnsi="Times New Roman" w:eastAsia="仿宋_GB2312" w:cs="Times New Roman"/>
          <w:color w:val="auto"/>
          <w:sz w:val="32"/>
          <w:lang w:eastAsia="zh-CN"/>
        </w:rPr>
        <w:t>五项工程</w:t>
      </w:r>
      <w:bookmarkEnd w:id="17"/>
      <w:r>
        <w:rPr>
          <w:rFonts w:hint="eastAsia" w:ascii="Times New Roman" w:hAnsi="Times New Roman" w:eastAsia="仿宋_GB2312" w:cs="Times New Roman"/>
          <w:color w:val="auto"/>
          <w:sz w:val="32"/>
          <w:lang w:eastAsia="zh-CN"/>
        </w:rPr>
        <w:t>”，</w:t>
      </w:r>
      <w:r>
        <w:rPr>
          <w:rFonts w:hint="eastAsia" w:ascii="仿宋_GB2312" w:hAnsi="仿宋_GB2312" w:eastAsia="仿宋_GB2312" w:cs="仿宋_GB2312"/>
          <w:b w:val="0"/>
          <w:bCs/>
          <w:color w:val="auto"/>
          <w:sz w:val="32"/>
          <w:lang w:val="en-US" w:eastAsia="zh-CN"/>
        </w:rPr>
        <w:t>深化宣传教育，组织开展“延庆好地方”基层社会动员宣传行动，持续夯实社会治理的群众基础和情感纽带。</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18" w:name="_Toc214629558"/>
      <w:r>
        <w:rPr>
          <w:rFonts w:hint="eastAsia" w:ascii="楷体_GB2312" w:hAnsi="楷体_GB2312" w:eastAsia="楷体_GB2312" w:cs="楷体_GB2312"/>
          <w:b w:val="0"/>
          <w:bCs/>
          <w:color w:val="auto"/>
          <w:sz w:val="32"/>
        </w:rPr>
        <w:t>（一）健全干群联系机制，夯实群众路线实践基础</w:t>
      </w:r>
      <w:bookmarkEnd w:id="18"/>
    </w:p>
    <w:p>
      <w:pPr>
        <w:snapToGrid w:val="0"/>
        <w:spacing w:before="0" w:after="0" w:line="560" w:lineRule="exact"/>
        <w:ind w:firstLine="643"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b/>
          <w:bCs/>
          <w:color w:val="auto"/>
          <w:sz w:val="32"/>
          <w:highlight w:val="none"/>
        </w:rPr>
        <w:t>做实干部联系群众机制，提升城乡诉求发现能力。</w:t>
      </w:r>
      <w:r>
        <w:rPr>
          <w:rFonts w:hint="eastAsia" w:ascii="仿宋_GB2312" w:hAnsi="仿宋_GB2312" w:eastAsia="仿宋_GB2312" w:cs="仿宋_GB2312"/>
          <w:color w:val="auto"/>
          <w:sz w:val="32"/>
          <w:highlight w:val="none"/>
        </w:rPr>
        <w:t>深化探索和总结</w:t>
      </w:r>
      <w:r>
        <w:rPr>
          <w:rFonts w:hint="eastAsia" w:ascii="仿宋_GB2312" w:hAnsi="仿宋_GB2312" w:eastAsia="仿宋_GB2312" w:cs="仿宋_GB2312"/>
          <w:b w:val="0"/>
          <w:bCs/>
          <w:color w:val="auto"/>
          <w:sz w:val="32"/>
          <w:lang w:val="en-US" w:eastAsia="zh-CN"/>
        </w:rPr>
        <w:t>“零工单”社区（村）创建经验，系统落实新时代群众路线，落实“四下基层”和领导干部带头接访制度，推动区领导干部每月至少1天、街道（乡镇）领导干部每周至少1天接待群众来访，形成直接倾听民声、回应诉求的常态机制。完善推行领导干部基层联系点制度。大兴调研</w:t>
      </w:r>
      <w:r>
        <w:rPr>
          <w:rFonts w:hint="eastAsia" w:ascii="仿宋_GB2312" w:hAnsi="仿宋_GB2312" w:eastAsia="仿宋_GB2312" w:cs="仿宋_GB2312"/>
          <w:color w:val="auto"/>
          <w:sz w:val="32"/>
          <w:highlight w:val="none"/>
        </w:rPr>
        <w:t>之风，了解民生需求和问题症结，增强政策制定与落地的针对性和有效性。探索建立干部定期到基层挂职锻炼制度。</w:t>
      </w:r>
    </w:p>
    <w:p>
      <w:pPr>
        <w:snapToGrid w:val="0"/>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color w:val="auto"/>
          <w:sz w:val="32"/>
          <w:highlight w:val="none"/>
        </w:rPr>
        <w:t>拓展党群沟通多元渠道，推动干群沟通常态长效。</w:t>
      </w:r>
      <w:r>
        <w:rPr>
          <w:rFonts w:hint="eastAsia" w:ascii="仿宋_GB2312" w:hAnsi="仿宋_GB2312" w:eastAsia="仿宋_GB2312" w:cs="仿宋_GB2312"/>
          <w:b w:val="0"/>
          <w:bCs/>
          <w:color w:val="auto"/>
          <w:sz w:val="32"/>
          <w:lang w:val="en-US" w:eastAsia="zh-CN"/>
        </w:rPr>
        <w:t>依托区政协职能定位，打造“委员大讲堂”等常态化阵地，采用“委员主讲+专家特邀”模式，围绕政策解读、专业领域发展等主题开展社会对话。依托基层议事协商平台广泛开展多样化的政策讲解、协商对话和沟通交流活动，实现党员干部与居民围坐一起，畅所欲言，讲解政策法规，交流生活问题、社区发展建议等，党员干部带头参与社区治理，引导群众从“旁观者”变为“参与者”，在互动中凝聚思想情感共识，提升干群关系的社会感知度。</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深化作风建设和干部培训，增强群众对治理的信任感。</w:t>
      </w:r>
      <w:r>
        <w:rPr>
          <w:rFonts w:hint="eastAsia" w:ascii="仿宋_GB2312" w:hAnsi="仿宋_GB2312" w:eastAsia="仿宋_GB2312" w:cs="仿宋_GB2312"/>
          <w:b w:val="0"/>
          <w:bCs/>
          <w:color w:val="auto"/>
          <w:sz w:val="32"/>
          <w:lang w:val="en-US" w:eastAsia="zh-CN"/>
        </w:rPr>
        <w:t>坚决纠正“四风”问题，持续深化群众身边的不正之风和腐败问题集中整治，切实提升群众获得感、满意度。依托党员回社区（村）报到机制，推动基层党组织及党员常态化开展志愿公益活动。以专题培训和能力建设为抓手，健全教育培训体系，引导干部以社会治理理念理解群众需求、处理基层矛盾，通过培训干部认识社会工作功能、掌握基层治理方法，更能站在群众立场、回应群众关切。</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19" w:name="_Toc214629559"/>
      <w:r>
        <w:rPr>
          <w:rFonts w:hint="eastAsia" w:ascii="楷体_GB2312" w:hAnsi="楷体_GB2312" w:eastAsia="楷体_GB2312" w:cs="楷体_GB2312"/>
          <w:b w:val="0"/>
          <w:bCs/>
          <w:color w:val="auto"/>
          <w:sz w:val="32"/>
        </w:rPr>
        <w:t>（二）完善民意征集机制，提升民意吸纳与转化效能</w:t>
      </w:r>
      <w:bookmarkEnd w:id="19"/>
    </w:p>
    <w:p>
      <w:pPr>
        <w:snapToGrid w:val="0"/>
        <w:spacing w:before="0" w:after="0" w:line="560" w:lineRule="exact"/>
        <w:ind w:firstLine="640"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val="0"/>
          <w:bCs/>
          <w:color w:val="auto"/>
          <w:sz w:val="32"/>
          <w:lang w:val="en-US" w:eastAsia="zh-CN"/>
        </w:rPr>
        <w:t>整合并创新人民建议征集工作，</w:t>
      </w:r>
      <w:r>
        <w:rPr>
          <w:rFonts w:hint="eastAsia" w:ascii="仿宋_GB2312" w:hAnsi="仿宋_GB2312" w:eastAsia="仿宋_GB2312" w:cs="仿宋_GB2312"/>
          <w:color w:val="auto"/>
          <w:sz w:val="32"/>
          <w:highlight w:val="none"/>
          <w:lang w:eastAsia="zh-CN"/>
        </w:rPr>
        <w:t>坚持以人民为中心，广泛深入察民情、听民声、汇民智，</w:t>
      </w:r>
      <w:r>
        <w:rPr>
          <w:rFonts w:hint="eastAsia" w:ascii="仿宋_GB2312" w:hAnsi="仿宋_GB2312" w:eastAsia="仿宋_GB2312" w:cs="仿宋_GB2312"/>
          <w:b w:val="0"/>
          <w:bCs/>
          <w:color w:val="auto"/>
          <w:sz w:val="32"/>
          <w:lang w:val="en-US" w:eastAsia="zh-CN"/>
        </w:rPr>
        <w:t>让群众的聪明才智成为社会治理创新的不竭源泉。至2030年，人民建议征集工作体制机制高效运转，民意表达渠道更加畅通，建议办理效能显著提升，共建共治共享治理格局持续巩固。</w:t>
      </w:r>
    </w:p>
    <w:p>
      <w:pPr>
        <w:snapToGrid w:val="0"/>
        <w:spacing w:before="0" w:after="0" w:line="560" w:lineRule="exact"/>
        <w:ind w:firstLine="643" w:firstLineChars="200"/>
      </w:pPr>
      <w:r>
        <w:rPr>
          <w:rFonts w:hint="eastAsia" w:ascii="仿宋_GB2312" w:hAnsi="仿宋_GB2312" w:eastAsia="仿宋_GB2312" w:cs="仿宋_GB2312"/>
          <w:b/>
          <w:bCs/>
          <w:color w:val="auto"/>
          <w:sz w:val="32"/>
          <w:highlight w:val="none"/>
        </w:rPr>
        <w:t>健全区、街道（乡镇）、社区（村）三级征集体系，拓宽民意表达与汇集渠道。</w:t>
      </w:r>
      <w:r>
        <w:rPr>
          <w:rFonts w:hint="eastAsia" w:ascii="仿宋_GB2312" w:hAnsi="仿宋_GB2312" w:eastAsia="仿宋_GB2312" w:cs="仿宋_GB2312"/>
          <w:b w:val="0"/>
          <w:bCs/>
          <w:color w:val="auto"/>
          <w:sz w:val="32"/>
          <w:lang w:val="en-US" w:eastAsia="zh-CN"/>
        </w:rPr>
        <w:t>整合12345热线、信访、人大建议、政协提案</w:t>
      </w:r>
      <w:r>
        <w:rPr>
          <w:rFonts w:hint="eastAsia" w:ascii="仿宋_GB2312" w:hAnsi="仿宋_GB2312" w:eastAsia="仿宋_GB2312" w:cs="仿宋_GB2312"/>
          <w:color w:val="auto"/>
          <w:sz w:val="32"/>
          <w:highlight w:val="none"/>
          <w:lang w:eastAsia="zh-CN"/>
        </w:rPr>
        <w:t>、网络、问卷调查</w:t>
      </w:r>
      <w:r>
        <w:rPr>
          <w:rFonts w:hint="eastAsia" w:ascii="仿宋_GB2312" w:hAnsi="仿宋_GB2312" w:eastAsia="仿宋_GB2312" w:cs="仿宋_GB2312"/>
          <w:b w:val="0"/>
          <w:bCs/>
          <w:color w:val="auto"/>
          <w:sz w:val="32"/>
          <w:lang w:val="en-US" w:eastAsia="zh-CN"/>
        </w:rPr>
        <w:t>等渠道，通过区、街道（乡镇）和社区（村）三级联动，形成覆盖面广、运行规范的民意征集网络。依托区级人民建议征集办公室和基层党群服务中心设立征集站点，社区（村）设立“民情收集点”，依靠网格员、楼门长、党员志愿者等前哨力量，实现民意的快速捕捉、实时上报，为治理提供精准民情依据。</w:t>
      </w:r>
    </w:p>
    <w:p>
      <w:pPr>
        <w:snapToGrid w:val="0"/>
        <w:spacing w:before="0" w:after="0" w:line="560" w:lineRule="exact"/>
        <w:ind w:firstLine="643"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b/>
          <w:bCs/>
          <w:color w:val="auto"/>
          <w:sz w:val="32"/>
          <w:highlight w:val="none"/>
        </w:rPr>
        <w:t>建立分类办理机制，推动建议办理规范化闭环化。</w:t>
      </w:r>
      <w:r>
        <w:rPr>
          <w:rFonts w:hint="eastAsia" w:ascii="仿宋_GB2312" w:hAnsi="仿宋_GB2312" w:eastAsia="仿宋_GB2312" w:cs="仿宋_GB2312"/>
          <w:b w:val="0"/>
          <w:bCs/>
          <w:color w:val="auto"/>
          <w:sz w:val="32"/>
          <w:lang w:val="en-US" w:eastAsia="zh-CN"/>
        </w:rPr>
        <w:t>建立“需求收集—分类交办—跟踪督办—成效反馈”的闭环办理机制，确保民意得到有效处理。对各渠道收集的建议实现分级分类处理：A类（战略性建议）由区委、区政府专项研究，B类（一般性建议）由部门限时办理，C类（个案建议）由属地办理。结合区域发展重点，组织开展“金点子”征集大赛，广泛征求各类社会群体意见，使民意征集更加全面、精准、可操作。实施人民建议成果转化加速工程，推动“金点子”结“金果子”，变“金钥匙”。</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强化工作激励和约束，促进民意有效转化为治理成果。</w:t>
      </w:r>
      <w:r>
        <w:rPr>
          <w:rFonts w:ascii="Times New Roman" w:hAnsi="Times New Roman" w:eastAsia="仿宋_GB2312" w:cs="Times New Roman"/>
          <w:color w:val="auto"/>
          <w:sz w:val="32"/>
        </w:rPr>
        <w:t>通过</w:t>
      </w:r>
      <w:r>
        <w:rPr>
          <w:rFonts w:hint="eastAsia" w:ascii="仿宋_GB2312" w:hAnsi="仿宋_GB2312" w:eastAsia="仿宋_GB2312" w:cs="仿宋_GB2312"/>
          <w:b w:val="0"/>
          <w:bCs/>
          <w:color w:val="auto"/>
          <w:sz w:val="32"/>
          <w:lang w:val="en-US" w:eastAsia="zh-CN"/>
        </w:rPr>
        <w:t>“人民优秀建议案”评选、“建议成果展”等方式，提升城乡居民参与社会治理的获得感与荣誉感。探索建立民意征集工作考核指标体系，评估民意征集渠道的普及度以及群众意见反馈被采纳和转化为实际决策的效果，确保人民建议件件有回复。通过大数据分析运用建议成果，为公共决策提供依据，不断提升建议成果的治理转化率。</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20" w:name="_Toc214629560"/>
      <w:r>
        <w:rPr>
          <w:rFonts w:hint="eastAsia" w:ascii="楷体_GB2312" w:hAnsi="楷体_GB2312" w:eastAsia="楷体_GB2312" w:cs="楷体_GB2312"/>
          <w:b w:val="0"/>
          <w:bCs/>
          <w:color w:val="auto"/>
          <w:sz w:val="32"/>
        </w:rPr>
        <w:t>（三）深化宣传教育实践，培育“延庆好地方”共同价值</w:t>
      </w:r>
      <w:bookmarkEnd w:id="20"/>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推进社区教育与居民素养提升行动，将生态文明、冬奥精神融入日常。</w:t>
      </w:r>
      <w:r>
        <w:rPr>
          <w:rFonts w:hint="eastAsia" w:ascii="仿宋_GB2312" w:hAnsi="仿宋_GB2312" w:eastAsia="仿宋_GB2312" w:cs="仿宋_GB2312"/>
          <w:b w:val="0"/>
          <w:bCs/>
          <w:color w:val="auto"/>
          <w:sz w:val="32"/>
          <w:lang w:val="en-US" w:eastAsia="zh-CN"/>
        </w:rPr>
        <w:t>将社区教育与居民素养提升深度融合，制定系统的社区教育规划。厚植社区治理的精神内核，弘扬公序良俗与邻里互助，提升社区（村）自治章程和村规民约、居民公约的实效，以新一届村（社区）“两委”换届为契机，做好村规民约、居民公约修订工作，力求简洁务实、符合村（社区）实际，实现村民群众“记得住、说得出、落得实”。深入推进社区文化传承，建设乡情村史陈列室或社区文化馆，打造“一社区（村）一品牌”文化项目，塑造具有识别度的地域文化。探索在一些条件成熟的村和社区总结提炼精神、文化标识，凝聚村民共识，增强治理合力。积极培育文化类社区社会组织，常态化开展多元文化体育活动，构筑城乡居民共同的情感家园。</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强化新时代文明实践和法治宣传，塑造具有延庆特色的区域认同。</w:t>
      </w:r>
      <w:r>
        <w:rPr>
          <w:rFonts w:hint="eastAsia" w:ascii="仿宋_GB2312" w:hAnsi="仿宋_GB2312" w:eastAsia="仿宋_GB2312" w:cs="仿宋_GB2312"/>
          <w:b w:val="0"/>
          <w:bCs/>
          <w:color w:val="auto"/>
          <w:sz w:val="32"/>
          <w:lang w:val="en-US" w:eastAsia="zh-CN"/>
        </w:rPr>
        <w:t>持续推进城市文明建设，开展不文明行为专项整治活动。实施公民道德建设工程，抓好文明村镇、文明单位、文明家庭、文明校园等专项创建活动，使社会主义核心价值观融入社会发展各领域、各方面。开展“延庆好地方”基层社会动员宣传行动，在基层社会形成“自豪延庆，好人好事”的文明氛围。借助多媒体平台推广典型故事、治理成效与文明行为，使冬奥精神、生态文明与志愿文化在城乡广泛传播。组织开展“治理成果体验日”“家乡发展打卡行”等线下活动，邀请城乡居民走进重点项目、治理现场，直观感受区域发展变化，增强地区自豪感与归属感。将法治宣传融入治理全过程，促进城乡居民依法表达诉求、理性参与治理，形成兼具法治意识与延庆文化的社会认同。</w:t>
      </w:r>
      <w:r>
        <w:rPr>
          <w:rFonts w:ascii="Times New Roman" w:hAnsi="Times New Roman" w:eastAsia="仿宋_GB2312" w:cs="Times New Roman"/>
          <w:color w:val="auto"/>
          <w:sz w:val="32"/>
        </w:rPr>
        <w:t xml:space="preserve"> </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弘扬家教家风与社区文化，推动家庭教育与地域文化融合。</w:t>
      </w:r>
      <w:r>
        <w:rPr>
          <w:rFonts w:hint="eastAsia" w:ascii="仿宋_GB2312" w:hAnsi="仿宋_GB2312" w:eastAsia="仿宋_GB2312" w:cs="仿宋_GB2312"/>
          <w:b w:val="0"/>
          <w:bCs/>
          <w:color w:val="auto"/>
          <w:sz w:val="32"/>
          <w:lang w:val="en-US" w:eastAsia="zh-CN"/>
        </w:rPr>
        <w:t>全面发挥家庭家风家教家训在基层治理中的重要作用，构建协同推进家庭家教家风建设的多元共治工作体系，建立区、街道（乡镇）、社区（村）三级家风建设网络，明确各级责任分工。在家风家教宣传月集中开展主题活动。依托区家庭教育指导中心，融入传统文化传承、生态文明理念，提供高质量的公益性亲子课程服务，着力打造具有地域文化特色的亮点品牌。</w:t>
      </w:r>
    </w:p>
    <w:p>
      <w:pPr>
        <w:pStyle w:val="3"/>
        <w:spacing w:before="0" w:after="0" w:line="560" w:lineRule="exact"/>
        <w:ind w:firstLine="640" w:firstLineChars="200"/>
        <w:rPr>
          <w:rFonts w:ascii="Times New Roman" w:hAnsi="Times New Roman" w:eastAsia="黑体" w:cs="Times New Roman"/>
          <w:b w:val="0"/>
          <w:bCs/>
          <w:color w:val="auto"/>
          <w:sz w:val="32"/>
        </w:rPr>
      </w:pPr>
      <w:bookmarkStart w:id="21" w:name="_Toc214629561"/>
      <w:r>
        <w:rPr>
          <w:rFonts w:ascii="Times New Roman" w:hAnsi="Times New Roman" w:eastAsia="黑体" w:cs="Times New Roman"/>
          <w:b w:val="0"/>
          <w:bCs/>
          <w:color w:val="auto"/>
          <w:sz w:val="32"/>
        </w:rPr>
        <w:t>五、健全社会动员体系，壮大“延庆乡亲”参与力量</w:t>
      </w:r>
      <w:bookmarkEnd w:id="21"/>
    </w:p>
    <w:p>
      <w:pPr>
        <w:snapToGrid w:val="0"/>
        <w:spacing w:before="0" w:after="0" w:line="560" w:lineRule="exact"/>
        <w:ind w:firstLine="640"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val="0"/>
          <w:bCs/>
          <w:color w:val="auto"/>
          <w:sz w:val="32"/>
          <w:lang w:val="en-US" w:eastAsia="zh-CN"/>
        </w:rPr>
        <w:t>广泛动员、多元参与是社会治理现代化的重要标志。“十五五”时期，延庆区要充分发挥“延庆乡亲”社会动员品牌化效应，持续汇聚群众力量、激发参与活力、整合资源合力，为区域治理目标的实现提供社会参与支撑。</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22" w:name="_Toc214629562"/>
      <w:r>
        <w:rPr>
          <w:rFonts w:hint="eastAsia" w:ascii="楷体_GB2312" w:hAnsi="楷体_GB2312" w:eastAsia="楷体_GB2312" w:cs="楷体_GB2312"/>
          <w:b w:val="0"/>
          <w:bCs/>
          <w:color w:val="auto"/>
          <w:sz w:val="32"/>
        </w:rPr>
        <w:t>（一）完善条块结合体系，夯实社会动员组织基础</w:t>
      </w:r>
      <w:bookmarkEnd w:id="22"/>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完善条块结合的社会动员体系，提升各层级社会动员效能。</w:t>
      </w:r>
      <w:r>
        <w:rPr>
          <w:rFonts w:hint="eastAsia" w:ascii="仿宋_GB2312" w:hAnsi="仿宋_GB2312" w:eastAsia="仿宋_GB2312" w:cs="仿宋_GB2312"/>
          <w:b w:val="0"/>
          <w:bCs/>
          <w:color w:val="auto"/>
          <w:sz w:val="32"/>
          <w:lang w:val="en-US" w:eastAsia="zh-CN"/>
        </w:rPr>
        <w:t>构建区、街道（乡镇）、社区（村）三级统筹联动社会动员体系，强化区委社会工作部统筹协调的核心作用，推动区民政、应急、文明办、共青团、妇联等部门形成职责清晰、分工明确、协同高效的社会动员责任链条。街道乡镇层面完善动员协调机制，推动党组织书记统筹辖区动员资源，实现政治引领与社会资源调度的有机统一。社区和村层面强化党群服务中心、社会工作服务站、新时代文明实践所（站）、志愿服务站点等载体功能，形成常态化、可持续的基层动员网络。</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强化制度支撑，推动社会动员工作制度化、常态化运行。</w:t>
      </w:r>
      <w:r>
        <w:rPr>
          <w:rFonts w:ascii="Times New Roman" w:hAnsi="Times New Roman" w:eastAsia="仿宋_GB2312" w:cs="Times New Roman"/>
          <w:color w:val="auto"/>
          <w:sz w:val="32"/>
        </w:rPr>
        <w:t>出</w:t>
      </w:r>
      <w:r>
        <w:rPr>
          <w:rFonts w:hint="eastAsia" w:ascii="仿宋_GB2312" w:hAnsi="仿宋_GB2312" w:eastAsia="仿宋_GB2312" w:cs="仿宋_GB2312"/>
          <w:b w:val="0"/>
          <w:bCs/>
          <w:color w:val="auto"/>
          <w:sz w:val="32"/>
          <w:lang w:val="en-US" w:eastAsia="zh-CN"/>
        </w:rPr>
        <w:t>台社会动员工作规程、信息报送制度、应急响应预案等配套文件，使动员工作从“应急式应对”转变为“制度化执行”。构建社会动员资源统筹机制，实现社会组织名录、应急资源清单、专业人才库和志愿者数据库的整合与动态更新，为统一调用、快速响应提供有力支撑。建立社会动员能力提升培训机制，依托区级社会工作指导中心、党校和高校等资源，推动干部、社会组织管理者、志愿者骨干等分类培训常态化。</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建立动员效能评估与督导机制，保障重点任务落实。</w:t>
      </w:r>
      <w:r>
        <w:rPr>
          <w:rFonts w:ascii="Times New Roman" w:hAnsi="Times New Roman" w:eastAsia="仿宋_GB2312" w:cs="Times New Roman"/>
          <w:color w:val="auto"/>
          <w:sz w:val="32"/>
        </w:rPr>
        <w:t>将社会</w:t>
      </w:r>
      <w:r>
        <w:rPr>
          <w:rFonts w:hint="eastAsia" w:ascii="仿宋_GB2312" w:hAnsi="仿宋_GB2312" w:eastAsia="仿宋_GB2312" w:cs="仿宋_GB2312"/>
          <w:b w:val="0"/>
          <w:bCs/>
          <w:color w:val="auto"/>
          <w:sz w:val="32"/>
          <w:lang w:val="en-US" w:eastAsia="zh-CN"/>
        </w:rPr>
        <w:t>动员工作纳入全区</w:t>
      </w:r>
      <w:r>
        <w:rPr>
          <w:rFonts w:hint="eastAsia" w:ascii="Times New Roman" w:hAnsi="Times New Roman" w:eastAsia="仿宋_GB2312" w:cs="Times New Roman"/>
          <w:color w:val="auto"/>
          <w:sz w:val="32"/>
          <w:lang w:val="en-US" w:eastAsia="zh-CN"/>
        </w:rPr>
        <w:t>党建工作</w:t>
      </w:r>
      <w:r>
        <w:rPr>
          <w:rFonts w:hint="eastAsia" w:ascii="仿宋_GB2312" w:hAnsi="仿宋_GB2312" w:eastAsia="仿宋_GB2312" w:cs="仿宋_GB2312"/>
          <w:b w:val="0"/>
          <w:bCs/>
          <w:color w:val="auto"/>
          <w:sz w:val="32"/>
          <w:lang w:val="en-US" w:eastAsia="zh-CN"/>
        </w:rPr>
        <w:t>考核体系，形成纵向监管与横向协同并重的监督体系，确保各层级、各部门履职尽责。推动街道（乡镇）</w:t>
      </w:r>
      <w:r>
        <w:rPr>
          <w:rFonts w:hint="eastAsia" w:ascii="Times New Roman" w:hAnsi="Times New Roman" w:eastAsia="仿宋_GB2312" w:cs="Times New Roman"/>
          <w:color w:val="auto"/>
          <w:sz w:val="32"/>
          <w:lang w:val="en-US" w:eastAsia="zh-CN"/>
        </w:rPr>
        <w:t>社会动员体系建设</w:t>
      </w:r>
      <w:r>
        <w:rPr>
          <w:rFonts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不断完善社会动员</w:t>
      </w:r>
      <w:r>
        <w:rPr>
          <w:rFonts w:hint="eastAsia" w:ascii="仿宋_GB2312" w:hAnsi="仿宋_GB2312" w:eastAsia="仿宋_GB2312" w:cs="仿宋_GB2312"/>
          <w:b w:val="0"/>
          <w:bCs/>
          <w:color w:val="auto"/>
          <w:sz w:val="32"/>
          <w:lang w:val="en-US" w:eastAsia="zh-CN"/>
        </w:rPr>
        <w:t>协同体系。</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23" w:name="_Toc214629563"/>
      <w:r>
        <w:rPr>
          <w:rFonts w:hint="eastAsia" w:ascii="楷体_GB2312" w:hAnsi="楷体_GB2312" w:eastAsia="楷体_GB2312" w:cs="楷体_GB2312"/>
          <w:b w:val="0"/>
          <w:bCs/>
          <w:color w:val="auto"/>
          <w:sz w:val="32"/>
        </w:rPr>
        <w:t>（二）优化多元协同机制，激发城乡社会参与活力</w:t>
      </w:r>
      <w:bookmarkEnd w:id="23"/>
    </w:p>
    <w:p>
      <w:pPr>
        <w:snapToGrid w:val="0"/>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color w:val="auto"/>
          <w:sz w:val="32"/>
          <w:highlight w:val="none"/>
        </w:rPr>
        <w:t>做优党建引领模式，发挥基层党组织主心骨作用。</w:t>
      </w:r>
      <w:r>
        <w:rPr>
          <w:rFonts w:hint="eastAsia" w:ascii="仿宋_GB2312" w:hAnsi="仿宋_GB2312" w:eastAsia="仿宋_GB2312" w:cs="仿宋_GB2312"/>
          <w:b w:val="0"/>
          <w:bCs/>
          <w:color w:val="auto"/>
          <w:sz w:val="32"/>
          <w:lang w:val="en-US" w:eastAsia="zh-CN"/>
        </w:rPr>
        <w:t>充分发挥党建引领网格治理的作用，科学设置网格单元，强化网格内社区党组织的组织引领力和党员的示范带动效应，实现党的组织与基层治理单元同频共振，把党的领导落到社会治理最前沿，确保民情在网格掌握、服务在网格开展、问题在网格解决，形成“党建引领—群众参与”的工作模式，使城乡居民在党组织牵引下积极参与社区治理和社区服务，推动群众从被动接受向主动参与转变。</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做深企业、社区协作，拓展社会动员的市场资源来源。</w:t>
      </w:r>
      <w:r>
        <w:rPr>
          <w:rFonts w:hint="eastAsia" w:ascii="仿宋_GB2312" w:hAnsi="仿宋_GB2312" w:eastAsia="仿宋_GB2312" w:cs="仿宋_GB2312"/>
          <w:b w:val="0"/>
          <w:bCs/>
          <w:color w:val="auto"/>
          <w:sz w:val="32"/>
          <w:lang w:val="en-US" w:eastAsia="zh-CN"/>
        </w:rPr>
        <w:t>探索“企业+社区”协作机制，积极发展社区社会企业，激发企业社会责任。将企业履行社会责任纳入社会动员体系，引导辖区企业通过设立公益基金、承办社会项目、定向捐赠等形式支持社会动员工作，探索企业资源支持社区服务、助老助残、环境保护的“公益+低偿+市场”新模式，拓宽社会动员体系中的市场化、社会化支撑。</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做活“平急结合”双循环，打通志愿服务参与社会动员的衔接壁垒。</w:t>
      </w:r>
      <w:r>
        <w:rPr>
          <w:rFonts w:hint="eastAsia" w:ascii="仿宋_GB2312" w:hAnsi="仿宋_GB2312" w:eastAsia="仿宋_GB2312" w:cs="仿宋_GB2312"/>
          <w:b w:val="0"/>
          <w:bCs/>
          <w:color w:val="auto"/>
          <w:sz w:val="32"/>
          <w:lang w:val="en-US" w:eastAsia="zh-CN"/>
        </w:rPr>
        <w:t>按照赛事保障、应急协助、外语沟通等不同方面，对志愿服务人才进行分类储备，深挖世园会、冬奥会志愿服务队价值，做好资源整合与复用，赋能日常服务与应急保障。深化“行业+志愿”模式，建好生态、卫健、应急、退役军人等各系统的专业志愿服务队，推动其既满足日常专业化服务，也能在应急时迅速补位。在平时依托志愿服务、社区互助、社会组织参与等机制形成常态化动员网络，在急时通过完善应急预案和建立突发事件指挥体系，实现快速召集、精准调度社会力量。</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做实参与激励机制，推动社会动员文化日常化、生活化。</w:t>
      </w:r>
      <w:r>
        <w:rPr>
          <w:rFonts w:hint="eastAsia" w:ascii="仿宋_GB2312" w:hAnsi="仿宋_GB2312" w:eastAsia="仿宋_GB2312" w:cs="仿宋_GB2312"/>
          <w:b w:val="0"/>
          <w:bCs/>
          <w:color w:val="auto"/>
          <w:sz w:val="32"/>
          <w:lang w:val="en-US" w:eastAsia="zh-CN"/>
        </w:rPr>
        <w:t>结合世园会、冬奥会等大型活动的成功经验，持续</w:t>
      </w:r>
      <w:r>
        <w:rPr>
          <w:rFonts w:hint="eastAsia" w:ascii="Times New Roman" w:hAnsi="Times New Roman" w:eastAsia="仿宋_GB2312" w:cs="Times New Roman"/>
          <w:color w:val="auto"/>
          <w:sz w:val="32"/>
          <w:lang w:val="en-US" w:eastAsia="zh-CN"/>
        </w:rPr>
        <w:t>擦亮</w:t>
      </w:r>
      <w:r>
        <w:rPr>
          <w:rFonts w:hint="eastAsia" w:ascii="仿宋_GB2312" w:hAnsi="仿宋_GB2312" w:eastAsia="仿宋_GB2312" w:cs="仿宋_GB2312"/>
          <w:b w:val="0"/>
          <w:bCs/>
          <w:color w:val="auto"/>
          <w:sz w:val="32"/>
          <w:lang w:val="en-US" w:eastAsia="zh-CN"/>
        </w:rPr>
        <w:t>“延庆乡亲”志愿服务品牌。通过积分管理体系形成激励机制，探索“志愿积分”“生态积分”“时间银行”与社区服务、荣誉表彰等挂钩的兑换体系，拓展积分在社会治理中的应用场景。培育社会动员与居民参与文化氛围，进一步增强居民持续参与的内生动力。</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24" w:name="_Toc214629564"/>
      <w:r>
        <w:rPr>
          <w:rFonts w:hint="eastAsia" w:ascii="楷体_GB2312" w:hAnsi="楷体_GB2312" w:eastAsia="楷体_GB2312" w:cs="楷体_GB2312"/>
          <w:b w:val="0"/>
          <w:bCs/>
          <w:color w:val="auto"/>
          <w:sz w:val="32"/>
        </w:rPr>
        <w:t>（三）强化组织化志愿服务力量，提升社会动员参与支撑</w:t>
      </w:r>
      <w:bookmarkEnd w:id="24"/>
    </w:p>
    <w:p>
      <w:pPr>
        <w:snapToGrid w:val="0"/>
        <w:spacing w:before="0" w:after="0" w:line="560" w:lineRule="exact"/>
        <w:ind w:firstLine="643" w:firstLineChars="200"/>
        <w:rPr>
          <w:rFonts w:ascii="Times New Roman" w:hAnsi="Times New Roman" w:eastAsia="仿宋_GB2312" w:cs="Times New Roman"/>
          <w:color w:val="auto"/>
          <w:sz w:val="32"/>
          <w:shd w:val="clear" w:fill="FFFF00"/>
        </w:rPr>
      </w:pPr>
      <w:r>
        <w:rPr>
          <w:rFonts w:hint="eastAsia" w:ascii="仿宋_GB2312" w:hAnsi="仿宋_GB2312" w:eastAsia="仿宋_GB2312" w:cs="仿宋_GB2312"/>
          <w:b/>
          <w:bCs/>
          <w:color w:val="auto"/>
          <w:sz w:val="32"/>
          <w:highlight w:val="none"/>
        </w:rPr>
        <w:t>完善志愿服务统筹体系，提升基层志愿服务承接能力。</w:t>
      </w:r>
      <w:r>
        <w:rPr>
          <w:rFonts w:hint="eastAsia" w:ascii="仿宋_GB2312" w:hAnsi="仿宋_GB2312" w:eastAsia="仿宋_GB2312" w:cs="仿宋_GB2312"/>
          <w:b w:val="0"/>
          <w:bCs/>
          <w:color w:val="auto"/>
          <w:sz w:val="32"/>
          <w:lang w:val="en-US" w:eastAsia="zh-CN"/>
        </w:rPr>
        <w:t>加强顶层设计与部门协同，完善志愿服务统筹协调机制，发挥街道、乡镇志愿服务协会作用，确保志愿服务落实到社区和村级层面，形成横向联动部门、纵向贯通基层的服务矩阵。依托党群服务中心、</w:t>
      </w:r>
      <w:bookmarkStart w:id="25" w:name="OLE_LINK9"/>
      <w:bookmarkStart w:id="26" w:name="OLE_LINK8"/>
      <w:r>
        <w:rPr>
          <w:rFonts w:hint="eastAsia" w:ascii="仿宋_GB2312" w:hAnsi="仿宋_GB2312" w:eastAsia="仿宋_GB2312" w:cs="仿宋_GB2312"/>
          <w:b w:val="0"/>
          <w:bCs/>
          <w:color w:val="auto"/>
          <w:sz w:val="32"/>
          <w:lang w:val="en-US" w:eastAsia="zh-CN"/>
        </w:rPr>
        <w:t>新时代</w:t>
      </w:r>
      <w:bookmarkStart w:id="27" w:name="OLE_LINK7"/>
      <w:r>
        <w:rPr>
          <w:rFonts w:hint="eastAsia" w:ascii="仿宋_GB2312" w:hAnsi="仿宋_GB2312" w:eastAsia="仿宋_GB2312" w:cs="仿宋_GB2312"/>
          <w:b w:val="0"/>
          <w:bCs/>
          <w:color w:val="auto"/>
          <w:sz w:val="32"/>
          <w:lang w:val="en-US" w:eastAsia="zh-CN"/>
        </w:rPr>
        <w:t>文明实践</w:t>
      </w:r>
      <w:bookmarkEnd w:id="25"/>
      <w:bookmarkEnd w:id="26"/>
      <w:bookmarkEnd w:id="27"/>
      <w:r>
        <w:rPr>
          <w:rFonts w:hint="eastAsia" w:ascii="仿宋_GB2312" w:hAnsi="仿宋_GB2312" w:eastAsia="仿宋_GB2312" w:cs="仿宋_GB2312"/>
          <w:b w:val="0"/>
          <w:bCs/>
          <w:color w:val="auto"/>
          <w:sz w:val="32"/>
          <w:lang w:val="en-US" w:eastAsia="zh-CN"/>
        </w:rPr>
        <w:t>中心（所、站）等载体，整合辖区志愿服务阵地，推进志愿服务站点标准化建设和内涵式发展。</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rPr>
        <w:t>强化志愿</w:t>
      </w:r>
      <w:r>
        <w:rPr>
          <w:rFonts w:hint="eastAsia" w:ascii="仿宋_GB2312" w:hAnsi="仿宋_GB2312" w:eastAsia="仿宋_GB2312" w:cs="仿宋_GB2312"/>
          <w:b/>
          <w:bCs/>
          <w:color w:val="auto"/>
          <w:sz w:val="32"/>
          <w:lang w:eastAsia="zh-CN"/>
        </w:rPr>
        <w:t>服务</w:t>
      </w:r>
      <w:r>
        <w:rPr>
          <w:rFonts w:hint="eastAsia" w:ascii="仿宋_GB2312" w:hAnsi="仿宋_GB2312" w:eastAsia="仿宋_GB2312" w:cs="仿宋_GB2312"/>
          <w:b/>
          <w:bCs/>
          <w:color w:val="auto"/>
          <w:sz w:val="32"/>
        </w:rPr>
        <w:t>组织培育</w:t>
      </w:r>
      <w:r>
        <w:rPr>
          <w:rFonts w:hint="eastAsia" w:ascii="仿宋_GB2312" w:hAnsi="仿宋_GB2312" w:eastAsia="仿宋_GB2312" w:cs="仿宋_GB2312"/>
          <w:b/>
          <w:bCs/>
          <w:color w:val="auto"/>
          <w:sz w:val="32"/>
          <w:lang w:eastAsia="zh-CN"/>
        </w:rPr>
        <w:t>，拓宽群众参与实践路径</w:t>
      </w:r>
      <w:r>
        <w:rPr>
          <w:rFonts w:hint="eastAsia" w:ascii="仿宋_GB2312" w:hAnsi="仿宋_GB2312" w:eastAsia="仿宋_GB2312" w:cs="仿宋_GB2312"/>
          <w:b/>
          <w:bCs/>
          <w:color w:val="auto"/>
          <w:sz w:val="32"/>
        </w:rPr>
        <w:t>。</w:t>
      </w:r>
      <w:r>
        <w:rPr>
          <w:rFonts w:hint="eastAsia" w:ascii="仿宋_GB2312" w:hAnsi="仿宋_GB2312" w:eastAsia="仿宋_GB2312" w:cs="仿宋_GB2312"/>
          <w:b w:val="0"/>
          <w:bCs/>
          <w:color w:val="auto"/>
          <w:sz w:val="32"/>
          <w:lang w:val="en-US" w:eastAsia="zh-CN"/>
        </w:rPr>
        <w:t>加强各级各类志愿服务行业组织建设，充分发挥志愿服务联合会、协会等志愿服务组织作用，履行好“引领、联合、服务、促进”职责，完善志愿服务组织孵化机制、登记管理制度和监督退出机制，提高志愿服务的规范性、专业性和持续性，为公众积极参与社会治理提供便捷的参与渠道和坚强的组织保障。强化特色品牌志愿服务组织培育，结合延庆实际，重点培育赛事赛会保障、生态环保、应急救援、文明引导、民生服务等具有地域特色的志愿服务组织，开展内容丰富、形式各样的志愿服务活动，让更多群众参与进来，汇聚治理合力。</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优化志愿者星级认定、积分激励与礼遇办法，推动志愿文化深入人心。</w:t>
      </w:r>
      <w:r>
        <w:rPr>
          <w:rFonts w:hint="eastAsia" w:ascii="仿宋_GB2312" w:hAnsi="仿宋_GB2312" w:eastAsia="仿宋_GB2312" w:cs="仿宋_GB2312"/>
          <w:b w:val="0"/>
          <w:bCs/>
          <w:color w:val="auto"/>
          <w:sz w:val="32"/>
          <w:lang w:val="en-US" w:eastAsia="zh-CN"/>
        </w:rPr>
        <w:t>完善志愿者星级认定、积分管理和礼遇办法等制度，实现志愿服务提供与荣誉获取、待遇获得、社会认可正向关联，使志愿者得到看得见、摸得着的回馈。完善志愿文化传播矩阵，使志愿服务成为延庆基层治理中的文化标识，推动“人人愿参与、处处能参与”的社会氛围形成。</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28" w:name="_Toc214629565"/>
      <w:r>
        <w:rPr>
          <w:rFonts w:hint="eastAsia" w:ascii="楷体_GB2312" w:hAnsi="楷体_GB2312" w:eastAsia="楷体_GB2312" w:cs="楷体_GB2312"/>
          <w:b w:val="0"/>
          <w:bCs/>
          <w:color w:val="auto"/>
          <w:sz w:val="32"/>
        </w:rPr>
        <w:t>（四）推进数字技术赋能，构建智慧动员一体化体系</w:t>
      </w:r>
      <w:bookmarkEnd w:id="28"/>
    </w:p>
    <w:p>
      <w:pPr>
        <w:snapToGrid w:val="0"/>
        <w:spacing w:before="0" w:after="0" w:line="560" w:lineRule="exact"/>
        <w:ind w:firstLine="640"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val="0"/>
          <w:bCs/>
          <w:color w:val="auto"/>
          <w:sz w:val="32"/>
          <w:lang w:val="en-US" w:eastAsia="zh-CN"/>
        </w:rPr>
        <w:t>拓展数字系统在社区（村）治理、安全预警中的实用场景。在基层治理领域，依托区城指中心与数字网格体系，充分利用现有部门资源的主动治理作用，通过视频巡查、智能预警支持治安防控、环境治理和公共安全管理，为社会动员提供实时信息支撑。通过把数字化监测与基层动员机制相结合，使突发事件、重点风险和治理盲点能够第一时间被发现，提高基层社会动员的敏捷性与精准度。</w:t>
      </w:r>
    </w:p>
    <w:p>
      <w:pPr>
        <w:pStyle w:val="3"/>
        <w:spacing w:before="0" w:after="0" w:line="560" w:lineRule="exact"/>
        <w:ind w:firstLine="640" w:firstLineChars="200"/>
        <w:rPr>
          <w:rFonts w:ascii="Times New Roman" w:hAnsi="Times New Roman" w:eastAsia="黑体" w:cs="Times New Roman"/>
          <w:b w:val="0"/>
          <w:bCs/>
          <w:color w:val="auto"/>
          <w:sz w:val="32"/>
        </w:rPr>
      </w:pPr>
      <w:bookmarkStart w:id="29" w:name="_Toc214629566"/>
      <w:r>
        <w:rPr>
          <w:rFonts w:ascii="Times New Roman" w:hAnsi="Times New Roman" w:eastAsia="黑体" w:cs="Times New Roman"/>
          <w:b w:val="0"/>
          <w:bCs/>
          <w:color w:val="auto"/>
          <w:sz w:val="32"/>
        </w:rPr>
        <w:t>六、完善社会共治格局，推进“和美延庆”基层善治</w:t>
      </w:r>
      <w:bookmarkEnd w:id="29"/>
    </w:p>
    <w:p>
      <w:pPr>
        <w:snapToGrid w:val="0"/>
        <w:spacing w:before="0" w:after="0" w:line="560" w:lineRule="exact"/>
        <w:ind w:firstLine="640"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val="0"/>
          <w:bCs/>
          <w:color w:val="auto"/>
          <w:sz w:val="32"/>
          <w:lang w:val="en-US" w:eastAsia="zh-CN"/>
        </w:rPr>
        <w:t>分工合作、协商共治是社会治理现代化的核心路径和关键特征。推进社会治理现代化，重心在基层。“十五五”期间，延庆区要以“和美社区”建设为支撑，推进“和美延庆”建设，强化绿色社区建设，完善物业治理体系，深化“三治融合”实践，推进基层协商共治，推进睦邻社区建设，打造“环境优美、服务优质、治理有序、邻里和睦、专业支撑”的延庆特色基层治理实践标杆。</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30" w:name="_Toc214629567"/>
      <w:r>
        <w:rPr>
          <w:rFonts w:hint="eastAsia" w:ascii="楷体_GB2312" w:hAnsi="楷体_GB2312" w:eastAsia="楷体_GB2312" w:cs="楷体_GB2312"/>
          <w:b w:val="0"/>
          <w:bCs/>
          <w:color w:val="auto"/>
          <w:sz w:val="32"/>
        </w:rPr>
        <w:t>（一）强化绿色低碳导向，夯实基层善治生态空间基础</w:t>
      </w:r>
      <w:bookmarkEnd w:id="30"/>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推动绿色生活实践，塑造低碳社区与美丽乡村。</w:t>
      </w:r>
      <w:r>
        <w:rPr>
          <w:rFonts w:hint="eastAsia" w:ascii="仿宋_GB2312" w:hAnsi="仿宋_GB2312" w:eastAsia="仿宋_GB2312" w:cs="仿宋_GB2312"/>
          <w:b w:val="0"/>
          <w:bCs/>
          <w:color w:val="auto"/>
          <w:sz w:val="32"/>
          <w:lang w:val="en-US" w:eastAsia="zh-CN"/>
        </w:rPr>
        <w:t>把生态文明理念全面融入社区治理，持续改善人居环境，从衣食住行等场景，引导公众践行绿色低碳生活。深化“门前三包”责任制。构建可持续的垃圾分类体系，推动生活垃圾从源头到末端的全过程治理。全面推进生活垃圾减量化、资源化、无害化，厚植绿色低碳社区根基。推动绿色导向的社区微更新行动。</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盘活闲置公共空间，优化社区空间营造。</w:t>
      </w:r>
      <w:r>
        <w:rPr>
          <w:rFonts w:hint="eastAsia" w:ascii="仿宋_GB2312" w:hAnsi="仿宋_GB2312" w:eastAsia="仿宋_GB2312" w:cs="仿宋_GB2312"/>
          <w:b w:val="0"/>
          <w:bCs/>
          <w:color w:val="auto"/>
          <w:sz w:val="32"/>
          <w:lang w:val="en-US" w:eastAsia="zh-CN"/>
        </w:rPr>
        <w:t>围绕社区空间资源的有效利用，通过社区营造与社区共创行动，努力盘活街道（乡镇）闲置锅炉房、自行车棚等存量空间，探索以“市场换公益”的方式将其改造为“社区会客厅”“便民仓房”等共建共享空间。通过低偿、无偿使用反哺运维，促进社区环境品质与公共生活质量的同步提升。</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31" w:name="_Toc214629568"/>
      <w:r>
        <w:rPr>
          <w:rFonts w:hint="eastAsia" w:ascii="楷体_GB2312" w:hAnsi="楷体_GB2312" w:eastAsia="楷体_GB2312" w:cs="楷体_GB2312"/>
          <w:b w:val="0"/>
          <w:bCs/>
          <w:color w:val="auto"/>
          <w:sz w:val="32"/>
        </w:rPr>
        <w:t>（二）健全物业治理体系，提升社区物业服务品质</w:t>
      </w:r>
      <w:bookmarkEnd w:id="31"/>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强化制度保障，完善物业治理多方协同运行机制。</w:t>
      </w:r>
      <w:r>
        <w:rPr>
          <w:rFonts w:hint="eastAsia" w:ascii="Times New Roman" w:hAnsi="Times New Roman" w:eastAsia="仿宋_GB2312" w:cs="Times New Roman"/>
          <w:color w:val="auto"/>
          <w:sz w:val="32"/>
          <w:lang w:val="en-US" w:eastAsia="zh-CN"/>
        </w:rPr>
        <w:t>强化街道对物业管理工作的指导作用，</w:t>
      </w:r>
      <w:r>
        <w:rPr>
          <w:rFonts w:hint="eastAsia" w:ascii="仿宋_GB2312" w:hAnsi="仿宋_GB2312" w:eastAsia="仿宋_GB2312" w:cs="仿宋_GB2312"/>
          <w:b w:val="0"/>
          <w:bCs/>
          <w:color w:val="auto"/>
          <w:sz w:val="32"/>
          <w:lang w:val="en-US" w:eastAsia="zh-CN"/>
        </w:rPr>
        <w:t>发挥对物业管理和业委会（物管会）运行的专业指导功能。健全“双向进入、交叉任职”机制，把社区治理与物业治理有机衔接，强化社区对业委会和物业企业的指导、监督与协同，提升物业与社区工作联动率。优化推进“红色物业联盟”建设，推动物业企业组织化管理和示范带动。探索物业企业向社会企业转型。巩固自管楼移交成果的精细化措施，通过区住建部门统筹指导、街道属地管理、社区具体落实，构建起“三级监管网络”。</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完善监管评价机制，推动物业服务提质增效与信用管理。</w:t>
      </w:r>
      <w:r>
        <w:rPr>
          <w:rFonts w:hint="eastAsia" w:ascii="仿宋_GB2312" w:hAnsi="仿宋_GB2312" w:eastAsia="仿宋_GB2312" w:cs="仿宋_GB2312"/>
          <w:b w:val="0"/>
          <w:bCs/>
          <w:color w:val="auto"/>
          <w:sz w:val="32"/>
        </w:rPr>
        <w:t>优化</w:t>
      </w:r>
      <w:r>
        <w:rPr>
          <w:rFonts w:hint="eastAsia" w:ascii="仿宋_GB2312" w:hAnsi="仿宋_GB2312" w:eastAsia="仿宋_GB2312" w:cs="仿宋_GB2312"/>
          <w:bCs/>
          <w:color w:val="auto"/>
          <w:sz w:val="32"/>
        </w:rPr>
        <w:t>住宅项目物业服务企业的综合评价及管理工作。</w:t>
      </w:r>
      <w:r>
        <w:rPr>
          <w:rFonts w:hint="eastAsia" w:ascii="仿宋_GB2312" w:hAnsi="仿宋_GB2312" w:eastAsia="仿宋_GB2312" w:cs="仿宋_GB2312"/>
          <w:b w:val="0"/>
          <w:bCs/>
          <w:color w:val="auto"/>
          <w:sz w:val="32"/>
        </w:rPr>
        <w:t>推进多维度综合考评，评价结果面向社会公开，为广大业主选聘物业企业提供参考，行政主管部门依据评价结果对住宅项目物业服务企业实施差异化管理，优化监管资源配置，提高监管效率。</w:t>
      </w:r>
      <w:r>
        <w:rPr>
          <w:rFonts w:hint="eastAsia" w:ascii="仿宋_GB2312" w:hAnsi="仿宋_GB2312" w:eastAsia="仿宋_GB2312" w:cs="仿宋_GB2312"/>
          <w:b w:val="0"/>
          <w:bCs/>
          <w:color w:val="auto"/>
          <w:sz w:val="32"/>
          <w:lang w:val="en-US" w:eastAsia="zh-CN"/>
        </w:rPr>
        <w:t>完善区级“以奖代补”政策和激励机制。将物业服务质量纳入企业信用档案，推行“信用+监管”模式，从基础服务、投诉处理、居民满意度等维度开展第三方评估，对连续优秀的企业给予项目支持、评优评先等政策倾斜，实现物业服务提质增效与规范管理的良性互动。</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引导物业企业拓展“物业+养老”、“物业+家政”等便民服务。</w:t>
      </w:r>
      <w:r>
        <w:rPr>
          <w:rFonts w:hint="eastAsia" w:ascii="仿宋_GB2312" w:hAnsi="仿宋_GB2312" w:eastAsia="仿宋_GB2312" w:cs="仿宋_GB2312"/>
          <w:b w:val="0"/>
          <w:bCs/>
          <w:color w:val="auto"/>
          <w:sz w:val="32"/>
          <w:lang w:val="en-US" w:eastAsia="zh-CN"/>
        </w:rPr>
        <w:t>鼓励物业企业在传统服务基础上向综合性社区服务延伸，探索“物业+养老”“物业+家政”等服务模式。探索物业企业参与老旧小区改造、加装电梯、智慧停车系统等基础设施升级改造，通过政府特定利益让渡，鼓励物业企业通过特许经营权、广告位和充电桩等设施经营权回收成本，把社区基础设施改善、便民服务供给与企业可持续发展统一起来。</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32" w:name="_Toc214629569"/>
      <w:r>
        <w:rPr>
          <w:rFonts w:hint="eastAsia" w:ascii="楷体_GB2312" w:hAnsi="楷体_GB2312" w:eastAsia="楷体_GB2312" w:cs="楷体_GB2312"/>
          <w:b w:val="0"/>
          <w:bCs/>
          <w:color w:val="auto"/>
          <w:sz w:val="32"/>
        </w:rPr>
        <w:t>（三）深化“三治融合”实践，完善基层协商共治体系</w:t>
      </w:r>
      <w:bookmarkEnd w:id="32"/>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做强自治根基建设，规范居（村）民委员会建设，提升自我管理能力。</w:t>
      </w:r>
      <w:r>
        <w:rPr>
          <w:rFonts w:hint="eastAsia" w:ascii="仿宋_GB2312" w:hAnsi="仿宋_GB2312" w:eastAsia="仿宋_GB2312" w:cs="仿宋_GB2312"/>
          <w:b w:val="0"/>
          <w:bCs/>
          <w:color w:val="auto"/>
          <w:sz w:val="32"/>
          <w:lang w:val="en-US" w:eastAsia="zh-CN"/>
        </w:rPr>
        <w:t>坚持把基层群众自治作为“三治融合”的根基，强化在物业管理、“一老一小”、集体经济发展等重点领域的自治职责落实。严格执行村民委员会组织法，推动“四议一审两公开”“三务公开”等制度落地，保障群众知情权、决策权、参与权和监督权。探索居（村）委特邀委员制度，推动楼组（楼门、村组）自治和社区社会组织参与社区治理，进一步激活基层自治的内生动力与组织基础。</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健全法治保障体系，增强干部依法治理和居民依法参与意识。</w:t>
      </w:r>
      <w:r>
        <w:rPr>
          <w:rFonts w:hint="eastAsia" w:ascii="仿宋_GB2312" w:hAnsi="仿宋_GB2312" w:eastAsia="仿宋_GB2312" w:cs="仿宋_GB2312"/>
          <w:b w:val="0"/>
          <w:bCs/>
          <w:color w:val="auto"/>
          <w:sz w:val="32"/>
          <w:lang w:val="en-US" w:eastAsia="zh-CN"/>
        </w:rPr>
        <w:t>落实“九五”普法规划，面向基层干部开展法治教育培训，提升法治素养和依法履职能力。将“法律明白人”队伍建设从城乡社区向各行业各领域拓展。完善公共法律服务体系，充分发挥律师、公益法律服务工作者等主体作用，持续深化“法律门诊我来选”村（居）法律顾问工作。依法修订村规民约、居民公约，</w:t>
      </w:r>
      <w:r>
        <w:rPr>
          <w:rFonts w:hint="eastAsia" w:ascii="Times New Roman" w:hAnsi="Times New Roman" w:eastAsia="仿宋_GB2312" w:cs="Times New Roman"/>
          <w:color w:val="auto"/>
          <w:sz w:val="32"/>
          <w:lang w:val="en-US" w:eastAsia="zh-CN"/>
        </w:rPr>
        <w:t>强化契约精神和社会诚信引导，</w:t>
      </w:r>
      <w:r>
        <w:rPr>
          <w:rFonts w:ascii="Times New Roman" w:hAnsi="Times New Roman" w:eastAsia="仿宋_GB2312" w:cs="Times New Roman"/>
          <w:color w:val="auto"/>
          <w:sz w:val="32"/>
        </w:rPr>
        <w:t>建立“红黑榜”制度，</w:t>
      </w:r>
      <w:r>
        <w:rPr>
          <w:rFonts w:hint="eastAsia" w:ascii="仿宋_GB2312" w:hAnsi="仿宋_GB2312" w:eastAsia="仿宋_GB2312" w:cs="仿宋_GB2312"/>
          <w:b w:val="0"/>
          <w:bCs/>
          <w:color w:val="auto"/>
          <w:sz w:val="32"/>
          <w:lang w:val="en-US" w:eastAsia="zh-CN"/>
        </w:rPr>
        <w:t>引导居民在参与基层治理过程中自觉在法治框架内表达诉求、解决矛盾，以“软法之治”弘扬公序良俗，强化依法参与、依法理事的制度环境。</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厚植德治文化基础，推动核心价值观融入社区日常生活。</w:t>
      </w:r>
      <w:r>
        <w:rPr>
          <w:rFonts w:hint="eastAsia" w:ascii="仿宋_GB2312" w:hAnsi="仿宋_GB2312" w:eastAsia="仿宋_GB2312" w:cs="仿宋_GB2312"/>
          <w:b w:val="0"/>
          <w:bCs/>
          <w:color w:val="auto"/>
          <w:sz w:val="32"/>
          <w:lang w:val="en-US" w:eastAsia="zh-CN"/>
        </w:rPr>
        <w:t>将社会主义核心价值观融入社区日常，让核心价值观可视化、常态化、活动化，实现文化浸润德治。深化家庭家教家风建设。加强红白理事会建设，推进移风易俗。推动社会慈善资源融入社区治理。</w:t>
      </w:r>
    </w:p>
    <w:p>
      <w:pPr>
        <w:snapToGrid w:val="0"/>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color w:val="auto"/>
          <w:sz w:val="32"/>
          <w:highlight w:val="none"/>
        </w:rPr>
        <w:t>规范多元协同协商，优化基层治理参与体系。</w:t>
      </w:r>
      <w:r>
        <w:rPr>
          <w:rFonts w:hint="eastAsia" w:ascii="仿宋_GB2312" w:hAnsi="仿宋_GB2312" w:eastAsia="仿宋_GB2312" w:cs="仿宋_GB2312"/>
          <w:b w:val="0"/>
          <w:bCs/>
          <w:color w:val="auto"/>
          <w:sz w:val="32"/>
          <w:lang w:val="en-US" w:eastAsia="zh-CN"/>
        </w:rPr>
        <w:t>将议事协商与基层治理深度融合，构建多元协同的常态化议事协商机制。进一步完善健全党组织领导、居（村）委会负责、各类主体共同参与的城乡社区议事协商平台，强化议事协商结果运用。完善城乡社区议事协商与政府决策、吹哨报到、接诉即办的衔接机制。推动议事协商规范化、品牌化发展，以“村民说事”为区级协商品牌，鼓励各街道乡镇结合辖区实际，选树一批“永事好商量”“香里香亲”等街道乡镇级议事协商品牌。进一步扩大议事协商参与主体范围，引入工程技术专家、政府部门代表、法律工作者、社会工作者、新就业群体等支撑力量参与协商。打造一支高素质、强能力、会协商的议事协商主持人队伍。到“十五五”末期，每个城乡社区至少培育2名议事协商主持人，让对话沟通、协商共治成为基层社会治理的主要方式。</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33" w:name="_Toc214629570"/>
      <w:r>
        <w:rPr>
          <w:rFonts w:hint="eastAsia" w:ascii="楷体_GB2312" w:hAnsi="楷体_GB2312" w:eastAsia="楷体_GB2312" w:cs="楷体_GB2312"/>
          <w:b w:val="0"/>
          <w:bCs/>
          <w:color w:val="auto"/>
          <w:sz w:val="32"/>
        </w:rPr>
        <w:t>（四）激</w:t>
      </w:r>
      <w:r>
        <w:rPr>
          <w:rFonts w:hint="eastAsia" w:ascii="楷体_GB2312" w:hAnsi="楷体_GB2312" w:eastAsia="楷体_GB2312" w:cs="楷体_GB2312"/>
          <w:b w:val="0"/>
          <w:bCs/>
          <w:color w:val="auto"/>
          <w:sz w:val="32"/>
          <w:lang w:eastAsia="zh-CN"/>
        </w:rPr>
        <w:t>活</w:t>
      </w:r>
      <w:r>
        <w:rPr>
          <w:rFonts w:hint="eastAsia" w:ascii="楷体_GB2312" w:hAnsi="楷体_GB2312" w:eastAsia="楷体_GB2312" w:cs="楷体_GB2312"/>
          <w:b w:val="0"/>
          <w:bCs/>
          <w:color w:val="auto"/>
          <w:sz w:val="32"/>
        </w:rPr>
        <w:t>社区治理末梢，发挥守望相助与专业支持作用</w:t>
      </w:r>
      <w:bookmarkEnd w:id="33"/>
    </w:p>
    <w:p>
      <w:pPr>
        <w:snapToGrid w:val="0"/>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color w:val="auto"/>
          <w:sz w:val="32"/>
          <w:highlight w:val="none"/>
        </w:rPr>
        <w:t>营造邻里守望睦邻场景，促进居民就近参与微协商、微自治。</w:t>
      </w:r>
      <w:r>
        <w:rPr>
          <w:rFonts w:hint="eastAsia" w:ascii="仿宋_GB2312" w:hAnsi="仿宋_GB2312" w:eastAsia="仿宋_GB2312" w:cs="仿宋_GB2312"/>
          <w:b w:val="0"/>
          <w:bCs/>
          <w:color w:val="auto"/>
          <w:sz w:val="32"/>
          <w:lang w:val="en-US" w:eastAsia="zh-CN"/>
        </w:rPr>
        <w:t>完善网格化管理，充分发挥楼门院长、村民代表等“微网格”力量。积极探索楼组（楼门、村组）微协商、微自治创新模式，切实保障居（村）民在“家门口”便捷参与社区治理。系统培育发展楼组长（楼门长与村组长）队伍，积极发掘具有示范引领作用的“楼组能人”。聚焦解决楼组堆物堵塞、车辆违规停放、邻里关系矛盾、不文明养宠等突出问题，常态化开展楼组议事协商活动，有效化解邻里矛盾纠纷。创新开展“社区邻里节”活动、邻里课堂及百家宴等邻里活动，搭建多层次、常态化的邻里互动交流平台。大力弘扬“与邻为善、以邻为伴”的社区精神。</w:t>
      </w:r>
    </w:p>
    <w:p>
      <w:pPr>
        <w:snapToGrid w:val="0"/>
        <w:spacing w:before="0" w:after="0" w:line="560" w:lineRule="exact"/>
        <w:ind w:firstLine="643" w:firstLineChars="200"/>
        <w:rPr>
          <w:rFonts w:ascii="Times New Roman" w:hAnsi="Times New Roman" w:eastAsia="仿宋_GB2312" w:cs="Times New Roman"/>
          <w:bCs/>
          <w:color w:val="auto"/>
          <w:sz w:val="32"/>
        </w:rPr>
      </w:pPr>
      <w:r>
        <w:rPr>
          <w:rFonts w:hint="eastAsia" w:ascii="仿宋_GB2312" w:hAnsi="仿宋_GB2312" w:eastAsia="仿宋_GB2312" w:cs="仿宋_GB2312"/>
          <w:b/>
          <w:bCs/>
          <w:color w:val="auto"/>
          <w:sz w:val="32"/>
          <w:highlight w:val="none"/>
        </w:rPr>
        <w:t>塑造“双社赋能”支撑体系，强化社区工作者“选育管用”。</w:t>
      </w:r>
      <w:r>
        <w:rPr>
          <w:rFonts w:hint="eastAsia" w:ascii="仿宋_GB2312" w:hAnsi="仿宋_GB2312" w:eastAsia="仿宋_GB2312" w:cs="仿宋_GB2312"/>
          <w:b w:val="0"/>
          <w:bCs/>
          <w:color w:val="auto"/>
          <w:sz w:val="32"/>
          <w:lang w:val="en-US" w:eastAsia="zh-CN"/>
        </w:rPr>
        <w:t>把社区工作者队伍和专业社会工作机构作为基层治理的重要专业支点。完善社区工作者队伍管理。探索以从机关下派、公开招考、社区内推荐等多元化方式优化社区工作者队伍结构，发挥资深社区工作者“传帮带”作用，形成“老中青”相结合的梯队。完善轮岗交流机制，定期轮岗锻炼，推动社区工作者跨街道横向交流和流动，选拔优秀社区书记、主任到街道跟岗学习或短期任职，拓宽视野，将轮岗经历作为社区工作者晋升、评优的重要参考依据。改进社区工作者队伍考核导向，建立以“日常+年度+群众评议”为考核依据的评价机制，把居民满意度、问题解决率、社区参与度作为核心指标。提升社区工作者队伍工作能力，建立系统化培训平台，分层分类提升其在心理疏导、法律咨询、应急管理、跨部门协作、群众动员和数字工具应用等方面的专业能力。健全常态化退出机制，明确社区工作者退出情形与标准，保持队伍整体活力。推动专业社会工作服务力量的赋能作用发挥。依托区社会工作指导中心、街道乡镇社会工作服务站，以专业社会工作者为支撑，全面赋能社区工作者队伍，推动专业社会工作与社区志愿服务融合发展，构建“专业赋能+社区工作”“专业引领+群众参与”的融合运行机制。</w:t>
      </w:r>
    </w:p>
    <w:p>
      <w:pPr>
        <w:pStyle w:val="3"/>
        <w:spacing w:before="0" w:after="0" w:line="560" w:lineRule="exact"/>
        <w:ind w:firstLine="640" w:firstLineChars="200"/>
        <w:rPr>
          <w:rFonts w:ascii="Times New Roman" w:hAnsi="Times New Roman" w:eastAsia="黑体" w:cs="Times New Roman"/>
          <w:b w:val="0"/>
          <w:bCs/>
          <w:color w:val="auto"/>
          <w:sz w:val="32"/>
        </w:rPr>
      </w:pPr>
      <w:bookmarkStart w:id="34" w:name="_Toc214629571"/>
      <w:r>
        <w:rPr>
          <w:rFonts w:ascii="Times New Roman" w:hAnsi="Times New Roman" w:eastAsia="黑体" w:cs="Times New Roman"/>
          <w:b w:val="0"/>
          <w:bCs/>
          <w:color w:val="auto"/>
          <w:sz w:val="32"/>
        </w:rPr>
        <w:t>七、优化社会服务供给，深化“幸福延庆”民生建设</w:t>
      </w:r>
      <w:bookmarkEnd w:id="34"/>
    </w:p>
    <w:p>
      <w:pPr>
        <w:snapToGrid w:val="0"/>
        <w:spacing w:before="0" w:after="0" w:line="560" w:lineRule="exact"/>
        <w:ind w:firstLine="640"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val="0"/>
          <w:bCs/>
          <w:color w:val="auto"/>
          <w:sz w:val="32"/>
          <w:lang w:val="en-US" w:eastAsia="zh-CN"/>
        </w:rPr>
        <w:t>以人民为中心，不断实现人民对美好生活的向往，是社会治理的价值归属。“十五五”时期，延庆区要以建设“幸福延庆”为目标，尽力而为、量力而行，围绕人民群众急难愁盼，聚焦“一老一小”民生需求，完善社会服务多元供给体系，构建全龄友好服务格局，提升专业服务能力，使人民群众获得感、幸福感、安全感更加充实、更有保障、更可持续。</w:t>
      </w:r>
    </w:p>
    <w:p>
      <w:pPr>
        <w:pStyle w:val="3"/>
        <w:spacing w:before="0" w:after="0" w:line="560" w:lineRule="exact"/>
        <w:ind w:firstLine="640" w:firstLineChars="200"/>
        <w:rPr>
          <w:rFonts w:ascii="Times New Roman" w:hAnsi="Times New Roman" w:eastAsia="楷体_GB2312" w:cs="Times New Roman"/>
          <w:color w:val="auto"/>
          <w:sz w:val="32"/>
        </w:rPr>
      </w:pPr>
      <w:bookmarkStart w:id="35" w:name="_Toc214629572"/>
      <w:r>
        <w:rPr>
          <w:rFonts w:hint="eastAsia" w:ascii="楷体_GB2312" w:hAnsi="楷体_GB2312" w:eastAsia="楷体_GB2312" w:cs="楷体_GB2312"/>
          <w:b w:val="0"/>
          <w:bCs/>
          <w:color w:val="auto"/>
          <w:sz w:val="32"/>
        </w:rPr>
        <w:t>（一）完善多元供给体系，提升基本公共服务整体能级</w:t>
      </w:r>
      <w:bookmarkEnd w:id="35"/>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完善基本公共服务体系，构建以需求为导向的民生服务闭环。</w:t>
      </w:r>
      <w:r>
        <w:rPr>
          <w:rFonts w:hint="eastAsia" w:ascii="仿宋_GB2312" w:hAnsi="仿宋_GB2312" w:eastAsia="仿宋_GB2312" w:cs="仿宋_GB2312"/>
          <w:b w:val="0"/>
          <w:bCs/>
          <w:color w:val="auto"/>
          <w:sz w:val="32"/>
          <w:lang w:val="en-US" w:eastAsia="zh-CN"/>
        </w:rPr>
        <w:t>以“七有”“五性”监测评价指标体系为抓手，健全区、街道（乡镇）、社区（村）三级基本公共服务体系，优化“需求发现—资源调度—服务提供—反馈评估”的闭环管理机制，推动各职能部门协同联动、高效响应。建立以“需求为导向”的公共服务评价和投入机制，避免“一刀切”式配置，实现公平可及、便利高效、保障有力的基本公共服务供给格局。</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做强志愿公益服务支撑，拓展多元参与的社会服务供给网络。</w:t>
      </w:r>
      <w:r>
        <w:rPr>
          <w:rFonts w:hint="eastAsia" w:ascii="仿宋_GB2312" w:hAnsi="仿宋_GB2312" w:eastAsia="仿宋_GB2312" w:cs="仿宋_GB2312"/>
          <w:b w:val="0"/>
          <w:bCs/>
          <w:color w:val="auto"/>
          <w:sz w:val="32"/>
          <w:lang w:val="en-US" w:eastAsia="zh-CN"/>
        </w:rPr>
        <w:t>把志愿服务体系建设作为满足群众多层次、多样化服务需求和缓解基层服务压力的重要抓手，着力构建多元主体参与、覆盖城乡的志愿服务网络。引导快递员、外卖员、网约车司机等新就业群体融入基层治理，吸纳其参与社区安全巡查、环境整治、助老助残、法治宣传等。综合运用政府购买服务、社会投资引导基金和社会捐赠等方式，拓展社会服务资金来源，支持社会企业、社会组织、专业机构和驻区单位深度参与帮弱助困，为老服务、心理疏导、儿童保护、社区调解等“微公益”项目。整合社会捐赠、企业基金、个人捐助等资源，创新社会服务资金来源。支持在珍珠泉乡、千家店镇等地探索“社区基金+互助组织”模式，培育一批可复制、可推广的公益品牌与示范项目。</w:t>
      </w:r>
    </w:p>
    <w:p>
      <w:pPr>
        <w:snapToGrid w:val="0"/>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color w:val="auto"/>
          <w:sz w:val="32"/>
          <w:highlight w:val="none"/>
        </w:rPr>
        <w:t>建设便民生活圈体系，打造共建共享的幸福生活空间载体。</w:t>
      </w:r>
      <w:r>
        <w:rPr>
          <w:rFonts w:hint="eastAsia" w:ascii="仿宋_GB2312" w:hAnsi="仿宋_GB2312" w:eastAsia="仿宋_GB2312" w:cs="仿宋_GB2312"/>
          <w:b w:val="0"/>
          <w:bCs/>
          <w:color w:val="auto"/>
          <w:sz w:val="32"/>
          <w:lang w:val="en-US" w:eastAsia="zh-CN"/>
        </w:rPr>
        <w:t>构建设施完善、服务优质、监管到位的生活服务业管理体系。持续提升一刻钟便民生活圈建设水平，推进新建社区的生活便利发展，实现一刻钟便民生活圈城市社区100%全覆盖。提质培优，高水平推进生活圈业态补建和复评，提升优良率。鼓励创新生活圈创建，组织一刻钟品质生活系列活动，鼓励创建小程序等数字化服务平台，植入一刻钟便民生活圈导视图及业态图例，提升居民满意度。将一刻钟便民生活圈与家园中心建设、城市更新等工作相结合，探索在城南地区建设家园中心。用足用好市级促进生活服务业转型升级资金政策，盘活老旧小区闲置资源，补齐老旧小区资源短板。</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36" w:name="_Toc214629573"/>
      <w:r>
        <w:rPr>
          <w:rFonts w:hint="eastAsia" w:ascii="楷体_GB2312" w:hAnsi="楷体_GB2312" w:eastAsia="楷体_GB2312" w:cs="楷体_GB2312"/>
          <w:b w:val="0"/>
          <w:bCs/>
          <w:color w:val="auto"/>
          <w:sz w:val="32"/>
        </w:rPr>
        <w:t>（二）聚焦“</w:t>
      </w:r>
      <w:r>
        <w:rPr>
          <w:rFonts w:hint="eastAsia" w:ascii="楷体_GB2312" w:hAnsi="楷体_GB2312" w:eastAsia="楷体_GB2312" w:cs="楷体_GB2312"/>
          <w:b w:val="0"/>
          <w:bCs/>
          <w:color w:val="auto"/>
          <w:sz w:val="32"/>
          <w:lang w:val="en-US" w:eastAsia="zh-CN"/>
        </w:rPr>
        <w:t>一老一小</w:t>
      </w:r>
      <w:r>
        <w:rPr>
          <w:rFonts w:hint="eastAsia" w:ascii="楷体_GB2312" w:hAnsi="楷体_GB2312" w:eastAsia="楷体_GB2312" w:cs="楷体_GB2312"/>
          <w:b w:val="0"/>
          <w:bCs/>
          <w:color w:val="auto"/>
          <w:sz w:val="32"/>
        </w:rPr>
        <w:t>”，构建城乡均衡全龄友好服务体系</w:t>
      </w:r>
      <w:bookmarkEnd w:id="36"/>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健全多层次养老服务体系，提高老年群体生活与健康保障能力。</w:t>
      </w:r>
      <w:r>
        <w:rPr>
          <w:rFonts w:hint="eastAsia" w:ascii="仿宋_GB2312" w:hAnsi="仿宋_GB2312" w:eastAsia="仿宋_GB2312" w:cs="仿宋_GB2312"/>
          <w:b w:val="0"/>
          <w:bCs/>
          <w:color w:val="auto"/>
          <w:sz w:val="32"/>
          <w:lang w:val="en-US" w:eastAsia="zh-CN"/>
        </w:rPr>
        <w:t>将“老老人”养老服务保障作为完善社会服务体系的重要发力方向，坚持“以居家为基础、社区为依托、机构为支撑”的总体发展方向，着力完善多层次养老服务体系，尤其要补齐农村地区养老短板。支持山区乡镇建设区域养老服务中心、养老服务驿站、农村邻里互助服务点，因地制宜推广“中央厨房+志愿送餐+助餐网点”“农村邻里互助助残”等社会化、互助式老年助餐模式，探索“村级养老助残员+志愿者”联动服务机制，强化兜底保障能力。完善老年健康支持体系，推动家庭医生签约与上门巡诊制度落地，促进乡镇卫生院、村医与养老机构间信息互通和资源共享，构建覆盖预防、治疗、照护的老年健康管理闭环。发展城乡社区助老网络，积极培育“银龄互助队”“银龄顾问团”“为老志愿服务联盟”等基层银龄志愿服务力量，鼓励低龄、健康老人面向“老老人”开展助餐、陪诊、探访、心理慰藉等活动。</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完善儿童友好服务体系，提升未成年人成长支持与发展能力。</w:t>
      </w:r>
      <w:r>
        <w:rPr>
          <w:rFonts w:hint="eastAsia" w:ascii="仿宋_GB2312" w:hAnsi="仿宋_GB2312" w:eastAsia="仿宋_GB2312" w:cs="仿宋_GB2312"/>
          <w:b w:val="0"/>
          <w:bCs/>
          <w:color w:val="auto"/>
          <w:sz w:val="32"/>
          <w:lang w:val="en-US" w:eastAsia="zh-CN"/>
        </w:rPr>
        <w:t>构建家校社协同育人生态，提供亲子互动、心理辅导和“三防”教育等服务，增强儿童在社区中的安全感与参与感。依托家园中心、社区会客厅等新型服务空间，整合教育、文化、体育、交往、游戏等资源，为未成年人提供更丰富的成长支持环境，推动儿童友好理念在社区日常生活中落地生根。依托社区志愿服务体系、政府购买社会服务项目，调动社区力量和参与积极性，开展“四点半课堂”和“寒暑假托管班”活动，解决家庭看护痛点。</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健全困难群体救助与支持体系，增强弱势群体基本生活与发展能力。</w:t>
      </w:r>
      <w:r>
        <w:rPr>
          <w:rFonts w:hint="eastAsia" w:ascii="仿宋_GB2312" w:hAnsi="仿宋_GB2312" w:eastAsia="仿宋_GB2312" w:cs="仿宋_GB2312"/>
          <w:b w:val="0"/>
          <w:bCs/>
          <w:color w:val="auto"/>
          <w:sz w:val="32"/>
          <w:lang w:val="en-US" w:eastAsia="zh-CN"/>
        </w:rPr>
        <w:t>重点关注残障人士、就业困难者、社区矫正对象等特殊群体，通过优化社会救助体系，推进“物质保障+服务支持”的综合救助模式落地。依托社区服务平台、社会组织和专业机构，为困难群体提供更具针对性的就业支持、能力重建、心理辅导和社会融入服务，将定制化服务嵌入社区日常服务网络，强化弱势群体的基本生活保障和发展机会，努力使各类群体在社区生活中“有位置、有支持、有尊严”。</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37" w:name="_Toc214629574"/>
      <w:r>
        <w:rPr>
          <w:rFonts w:hint="eastAsia" w:ascii="楷体_GB2312" w:hAnsi="楷体_GB2312" w:eastAsia="楷体_GB2312" w:cs="楷体_GB2312"/>
          <w:b w:val="0"/>
          <w:bCs/>
          <w:color w:val="auto"/>
          <w:sz w:val="32"/>
        </w:rPr>
        <w:t>（三）提升专业服务能力，夯实社会服务专业化与可持续支撑</w:t>
      </w:r>
      <w:bookmarkEnd w:id="37"/>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完善购买与评估制度，健全专业服务制度基础和绩效导向。</w:t>
      </w:r>
      <w:r>
        <w:rPr>
          <w:rFonts w:hint="eastAsia" w:ascii="仿宋_GB2312" w:hAnsi="仿宋_GB2312" w:eastAsia="仿宋_GB2312" w:cs="仿宋_GB2312"/>
          <w:b w:val="0"/>
          <w:bCs/>
          <w:color w:val="auto"/>
          <w:sz w:val="32"/>
          <w:lang w:val="en-US" w:eastAsia="zh-CN"/>
        </w:rPr>
        <w:t>进一步健全制度支持，完善政府购买服务制度，优化服务购买目录，重点面向养老助残、儿童关爱、心理健康等领域，推动服务供给由零散化、项目化向制度化、常态化转型，推动专业服务优质优良供给。将项目资金阶段性拨付与服务绩效挂钩，确保公共资源有效满足群众最急切的需求。</w:t>
      </w:r>
    </w:p>
    <w:p>
      <w:pPr>
        <w:snapToGrid w:val="0"/>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color w:val="auto"/>
          <w:sz w:val="32"/>
          <w:highlight w:val="none"/>
        </w:rPr>
        <w:t>壮大专业社会工作队伍，夯实专业支撑的服务格局。</w:t>
      </w:r>
      <w:r>
        <w:rPr>
          <w:rFonts w:hint="eastAsia" w:ascii="仿宋_GB2312" w:hAnsi="仿宋_GB2312" w:eastAsia="仿宋_GB2312" w:cs="仿宋_GB2312"/>
          <w:b w:val="0"/>
          <w:bCs/>
          <w:color w:val="auto"/>
          <w:sz w:val="32"/>
          <w:lang w:val="en-US" w:eastAsia="zh-CN"/>
        </w:rPr>
        <w:t>依托区级社会组织孵化中心和社会工作指导中心，培育本地专业社会工作机构，鼓励中小机构走“小而专、小而精”的发展路径，支持一批机构在标准化、专业化、品牌化、市场化方面率先突破，发挥示范与带动作用，提升整体社会服务体系的制度基础与专业水准。依托街道乡镇社会工作站（服务中心），推广“社会工作者驻社区（村）计划”，力争为每个社区（村）培养1名具有专业社会工作能力的人员，使其在需求评估、资源链接、项目设计、居民动员中发挥核心作用，重点面向“一老一小一困一特”等群体提供专业服务。坚持“总量扩充与结构优化并重”，通过“区内培育+外部引进”双轮驱动，推动专业社会工作队伍发展壮大。注重本土化人才培育，建立健全分层分类培养机制，形成“需求导向+分层分类+多元形式+闭环评估”的全链条体系，吸引更多本地青年和返乡人才进入社工行业，重点培养一批既懂专业方法又熟悉乡情民意的乡土社工。强化区域合作，吸纳区域外社会工作机构和中高级社工人才来延服务。加强与高校合作，建设功能完善、管理规范的社会工作专业实习实践基地，推动社会工作专业教育深度融入社会治理实践，为延庆区社会工作事业高质量发展提供专业和人才支持。</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完善使用与激励机制，增强社会服务队伍职业韧性和吸引力。</w:t>
      </w:r>
      <w:r>
        <w:rPr>
          <w:rFonts w:hint="eastAsia" w:ascii="仿宋_GB2312" w:hAnsi="仿宋_GB2312" w:eastAsia="仿宋_GB2312" w:cs="仿宋_GB2312"/>
          <w:b w:val="0"/>
          <w:bCs/>
          <w:color w:val="auto"/>
          <w:sz w:val="32"/>
          <w:lang w:val="en-US" w:eastAsia="zh-CN"/>
        </w:rPr>
        <w:t>增强社会服务队伍的职业韧性与吸引力，健全社会工作人才库和动态考核机制，把服务绩效与机构等级评价、项目承接挂钩，强化“干得好、发展好”的导向。通过完善具有市场竞争力的薪酬待遇和表彰激励制度，在薪酬、荣誉、发展机会等方面综合发力，有效解决专业社会工作者“留人难”等现实困境。</w:t>
      </w:r>
    </w:p>
    <w:p>
      <w:pPr>
        <w:pStyle w:val="3"/>
        <w:spacing w:before="0" w:after="0" w:line="560" w:lineRule="exact"/>
        <w:ind w:firstLine="640" w:firstLineChars="200"/>
        <w:rPr>
          <w:rFonts w:ascii="Times New Roman" w:hAnsi="Times New Roman" w:eastAsia="黑体" w:cs="Times New Roman"/>
          <w:b w:val="0"/>
          <w:bCs/>
          <w:color w:val="auto"/>
          <w:sz w:val="32"/>
        </w:rPr>
      </w:pPr>
      <w:bookmarkStart w:id="38" w:name="_Toc214629575"/>
      <w:r>
        <w:rPr>
          <w:rFonts w:ascii="Times New Roman" w:hAnsi="Times New Roman" w:eastAsia="黑体" w:cs="Times New Roman"/>
          <w:b w:val="0"/>
          <w:bCs/>
          <w:color w:val="auto"/>
          <w:sz w:val="32"/>
        </w:rPr>
        <w:t>八、强化党建统领作用，发挥“</w:t>
      </w:r>
      <w:r>
        <w:rPr>
          <w:rFonts w:hint="eastAsia" w:ascii="Times New Roman" w:hAnsi="Times New Roman" w:eastAsia="黑体" w:cs="Times New Roman"/>
          <w:b w:val="0"/>
          <w:bCs/>
          <w:color w:val="auto"/>
          <w:sz w:val="32"/>
          <w:highlight w:val="none"/>
          <w:lang w:eastAsia="zh-CN"/>
        </w:rPr>
        <w:t>美丽延庆</w:t>
      </w:r>
      <w:r>
        <w:rPr>
          <w:rFonts w:hint="eastAsia" w:ascii="Times New Roman" w:hAnsi="Times New Roman" w:eastAsia="黑体" w:cs="Times New Roman"/>
          <w:b w:val="0"/>
          <w:bCs/>
          <w:color w:val="auto"/>
          <w:sz w:val="32"/>
          <w:highlight w:val="none"/>
          <w:lang w:val="en-US" w:eastAsia="zh-CN"/>
        </w:rPr>
        <w:t>·</w:t>
      </w:r>
      <w:r>
        <w:rPr>
          <w:rFonts w:ascii="Times New Roman" w:hAnsi="Times New Roman" w:eastAsia="黑体" w:cs="Times New Roman"/>
          <w:b w:val="0"/>
          <w:bCs/>
          <w:color w:val="auto"/>
          <w:sz w:val="32"/>
        </w:rPr>
        <w:t>五彩党建”全面引领效应</w:t>
      </w:r>
      <w:bookmarkEnd w:id="38"/>
    </w:p>
    <w:p>
      <w:pPr>
        <w:snapToGrid w:val="0"/>
        <w:spacing w:before="0" w:after="0" w:line="560" w:lineRule="exact"/>
        <w:ind w:firstLine="640" w:firstLineChars="200"/>
        <w:rPr>
          <w:rFonts w:ascii="Times New Roman" w:hAnsi="Times New Roman" w:eastAsia="仿宋_GB2312" w:cs="Times New Roman"/>
          <w:color w:val="auto"/>
          <w:sz w:val="32"/>
        </w:rPr>
      </w:pPr>
      <w:r>
        <w:rPr>
          <w:rFonts w:hint="eastAsia" w:ascii="仿宋_GB2312" w:hAnsi="仿宋_GB2312" w:eastAsia="仿宋_GB2312" w:cs="仿宋_GB2312"/>
          <w:b w:val="0"/>
          <w:bCs/>
          <w:color w:val="auto"/>
          <w:sz w:val="32"/>
          <w:lang w:val="en-US" w:eastAsia="zh-CN"/>
        </w:rPr>
        <w:t>党的领导是社会工作和社会治理的根本保证，健全治理体系、凝聚各方力量是提升治理效能的关键支撑。“十五五”时期，延庆区要突出党建统领全局作用，聚焦统筹协调作用发挥，全面发挥“青色长城、绿色生态、红色乡村（社区）、金色富民、银色冬奥”党建品牌的综合效应，健全党的社会工作体制机制，夯实新兴领域党组织建设基础，提升群团与社会组织治理凝聚效能，提升基层党组织统筹治理组织力与执行力，全面保障延庆区推进中国式社会治理现代化实践。</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39" w:name="_Toc214629576"/>
      <w:r>
        <w:rPr>
          <w:rFonts w:hint="eastAsia" w:ascii="楷体_GB2312" w:hAnsi="楷体_GB2312" w:eastAsia="楷体_GB2312" w:cs="楷体_GB2312"/>
          <w:b w:val="0"/>
          <w:bCs/>
          <w:color w:val="auto"/>
          <w:sz w:val="32"/>
        </w:rPr>
        <w:t>（一）完善统筹运行体系，健全党的</w:t>
      </w:r>
      <w:r>
        <w:rPr>
          <w:rFonts w:hint="eastAsia" w:ascii="楷体_GB2312" w:hAnsi="楷体_GB2312" w:eastAsia="楷体_GB2312" w:cs="楷体_GB2312"/>
          <w:b w:val="0"/>
          <w:bCs/>
          <w:color w:val="auto"/>
          <w:sz w:val="32"/>
          <w:lang w:val="en-US" w:eastAsia="zh-CN"/>
        </w:rPr>
        <w:t>社会治理</w:t>
      </w:r>
      <w:r>
        <w:rPr>
          <w:rFonts w:hint="eastAsia" w:ascii="楷体_GB2312" w:hAnsi="楷体_GB2312" w:eastAsia="楷体_GB2312" w:cs="楷体_GB2312"/>
          <w:b w:val="0"/>
          <w:bCs/>
          <w:color w:val="auto"/>
          <w:sz w:val="32"/>
        </w:rPr>
        <w:t>体制机制</w:t>
      </w:r>
      <w:bookmarkEnd w:id="39"/>
    </w:p>
    <w:p>
      <w:pPr>
        <w:snapToGrid w:val="0"/>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color w:val="auto"/>
          <w:sz w:val="32"/>
          <w:highlight w:val="none"/>
        </w:rPr>
        <w:t>完善区级</w:t>
      </w:r>
      <w:r>
        <w:rPr>
          <w:rFonts w:hint="eastAsia" w:ascii="仿宋_GB2312" w:hAnsi="仿宋_GB2312" w:eastAsia="仿宋_GB2312" w:cs="仿宋_GB2312"/>
          <w:b/>
          <w:bCs/>
          <w:color w:val="auto"/>
          <w:sz w:val="32"/>
          <w:highlight w:val="none"/>
          <w:lang w:val="en-US" w:eastAsia="zh-CN"/>
        </w:rPr>
        <w:t>社会治理机制</w:t>
      </w:r>
      <w:r>
        <w:rPr>
          <w:rFonts w:hint="eastAsia" w:ascii="仿宋_GB2312" w:hAnsi="仿宋_GB2312" w:eastAsia="仿宋_GB2312" w:cs="仿宋_GB2312"/>
          <w:b/>
          <w:bCs/>
          <w:color w:val="auto"/>
          <w:sz w:val="32"/>
          <w:highlight w:val="none"/>
        </w:rPr>
        <w:t>。</w:t>
      </w:r>
      <w:r>
        <w:rPr>
          <w:rFonts w:ascii="Times New Roman" w:hAnsi="Times New Roman" w:eastAsia="仿宋_GB2312" w:cs="Times New Roman"/>
          <w:color w:val="auto"/>
          <w:sz w:val="32"/>
        </w:rPr>
        <w:t>整合优化现有协调机制，</w:t>
      </w:r>
      <w:r>
        <w:rPr>
          <w:rFonts w:hint="eastAsia" w:ascii="Times New Roman" w:hAnsi="Times New Roman" w:eastAsia="仿宋_GB2312" w:cs="Times New Roman"/>
          <w:color w:val="auto"/>
          <w:sz w:val="32"/>
          <w:lang w:val="en-US" w:eastAsia="zh-CN"/>
        </w:rPr>
        <w:t>不断完善区级社会治理</w:t>
      </w:r>
      <w:r>
        <w:rPr>
          <w:rFonts w:ascii="Times New Roman" w:hAnsi="Times New Roman" w:eastAsia="仿宋_GB2312" w:cs="Times New Roman"/>
          <w:color w:val="auto"/>
          <w:sz w:val="32"/>
        </w:rPr>
        <w:t>协调</w:t>
      </w:r>
      <w:r>
        <w:rPr>
          <w:rFonts w:hint="eastAsia" w:ascii="Times New Roman" w:hAnsi="Times New Roman" w:eastAsia="仿宋_GB2312" w:cs="Times New Roman"/>
          <w:color w:val="auto"/>
          <w:sz w:val="32"/>
          <w:lang w:val="en-US" w:eastAsia="zh-CN"/>
        </w:rPr>
        <w:t>机制</w:t>
      </w:r>
      <w:r>
        <w:rPr>
          <w:rFonts w:ascii="Times New Roman" w:hAnsi="Times New Roman" w:eastAsia="仿宋_GB2312" w:cs="Times New Roman"/>
          <w:color w:val="auto"/>
          <w:sz w:val="32"/>
        </w:rPr>
        <w:t>。</w:t>
      </w:r>
      <w:r>
        <w:rPr>
          <w:rFonts w:hint="eastAsia" w:ascii="仿宋_GB2312" w:hAnsi="仿宋_GB2312" w:eastAsia="仿宋_GB2312" w:cs="仿宋_GB2312"/>
          <w:b w:val="0"/>
          <w:bCs/>
          <w:color w:val="auto"/>
          <w:sz w:val="32"/>
          <w:lang w:val="en-US" w:eastAsia="zh-CN"/>
        </w:rPr>
        <w:t>优化调整区委社会工作领导小组架构，健全党对社会治理全面领导的制度体系。强化各级党委在社会工作中的领导核心地位，构建系统完备、科学规范、运行高效的新时代党的社会工作体系，形成区委高位统筹、社会工作部门牵头推进、行业管理部门各负其责的“统得起、抓得住、落得实”工作格局。在区级层面设立“人民建议征集办公室”，统筹指导人民建议征集工作。加强区委社会工作部对区城指中心建议征集工作的指导和联动，进一步优化“接诉即办”民意收集功能。加强区委社会工作部对区信访工作的指导，强化矛盾前期化解功能。</w:t>
      </w:r>
    </w:p>
    <w:p>
      <w:pPr>
        <w:snapToGrid w:val="0"/>
        <w:spacing w:before="0" w:after="0" w:line="560" w:lineRule="exact"/>
        <w:ind w:firstLine="643" w:firstLineChars="200"/>
        <w:rPr>
          <w:rFonts w:ascii="Times New Roman" w:hAnsi="Times New Roman" w:eastAsia="仿宋_GB2312" w:cs="Times New Roman"/>
          <w:color w:val="auto"/>
          <w:sz w:val="32"/>
        </w:rPr>
      </w:pPr>
      <w:r>
        <w:rPr>
          <w:rFonts w:hint="eastAsia" w:ascii="仿宋_GB2312" w:hAnsi="仿宋_GB2312" w:eastAsia="仿宋_GB2312" w:cs="仿宋_GB2312"/>
          <w:b/>
          <w:bCs/>
          <w:color w:val="auto"/>
          <w:sz w:val="32"/>
          <w:highlight w:val="none"/>
        </w:rPr>
        <w:t>理顺街道乡镇社会工作管理体制，推动管理重心和资源下沉。</w:t>
      </w:r>
      <w:r>
        <w:rPr>
          <w:rFonts w:hint="eastAsia" w:ascii="仿宋_GB2312" w:hAnsi="仿宋_GB2312" w:eastAsia="仿宋_GB2312" w:cs="仿宋_GB2312"/>
          <w:b w:val="0"/>
          <w:bCs/>
          <w:color w:val="auto"/>
          <w:sz w:val="32"/>
          <w:lang w:val="en-US" w:eastAsia="zh-CN"/>
        </w:rPr>
        <w:t>进一步理顺街道乡镇社会工作管理体制，严格落实街道（乡镇）党（工）委书记为本地区社会工作第一责任人、党（工）委副书记牵头负责社会工作的职责要求，压实属地管理责任。明确基层党组织在社会治理中的领导定位，强化街道党工委、乡镇党委在基层社会治理中的核心领导作用。理顺街道乡镇社会工作协调机制，强化街道乡镇、社区和村整合辖区资源、协商公共事务、破解实际问题的功能，引导各类资源、服务和项目更多向基层一线、向社区（村）治理单元集聚，进一步推动管理重心下移、力量下沉、服务前移，切实提升基层党组织统筹和解决实际问题的能力。</w:t>
      </w:r>
    </w:p>
    <w:p>
      <w:pPr>
        <w:snapToGrid w:val="0"/>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color w:val="auto"/>
          <w:sz w:val="32"/>
          <w:highlight w:val="none"/>
        </w:rPr>
        <w:t>建立党建引领基层治理效能评估体系。</w:t>
      </w:r>
      <w:r>
        <w:rPr>
          <w:rFonts w:hint="eastAsia" w:ascii="仿宋_GB2312" w:hAnsi="仿宋_GB2312" w:eastAsia="仿宋_GB2312" w:cs="仿宋_GB2312"/>
          <w:b w:val="0"/>
          <w:bCs/>
          <w:color w:val="auto"/>
          <w:sz w:val="32"/>
          <w:lang w:val="en-US" w:eastAsia="zh-CN"/>
        </w:rPr>
        <w:t>把社会工作与基层治理成效作为检验基层党建工作的重要标尺，通过完善区域化党建工作机制、党建工作协调委员会运转机制和基层治理单元优化设置，把社区（村）治理的有序程度、服务能力和群众满意度作为评价基层党组织履职成效的重要内容，促使党建工作由“就党建抓党建”转向以治理实效和民生改善检验党建质量。</w:t>
      </w:r>
    </w:p>
    <w:p>
      <w:pPr>
        <w:pStyle w:val="3"/>
        <w:spacing w:before="0" w:after="0" w:line="560" w:lineRule="exact"/>
        <w:ind w:firstLine="640" w:firstLineChars="200"/>
        <w:rPr>
          <w:rFonts w:ascii="Times New Roman" w:hAnsi="Times New Roman" w:eastAsia="楷体_GB2312" w:cs="Times New Roman"/>
          <w:color w:val="auto"/>
          <w:sz w:val="32"/>
        </w:rPr>
      </w:pPr>
      <w:bookmarkStart w:id="40" w:name="_Toc214629577"/>
      <w:r>
        <w:rPr>
          <w:rFonts w:hint="eastAsia" w:ascii="楷体_GB2312" w:hAnsi="楷体_GB2312" w:eastAsia="楷体_GB2312" w:cs="楷体_GB2312"/>
          <w:b w:val="0"/>
          <w:bCs/>
          <w:color w:val="auto"/>
          <w:sz w:val="32"/>
        </w:rPr>
        <w:t>（二）拓展“两个覆盖”深度，夯实新兴领域党建组织基础</w:t>
      </w:r>
      <w:bookmarkEnd w:id="40"/>
    </w:p>
    <w:p>
      <w:pPr>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color w:val="auto"/>
          <w:sz w:val="32"/>
          <w:highlight w:val="none"/>
        </w:rPr>
        <w:t>深化</w:t>
      </w:r>
      <w:r>
        <w:rPr>
          <w:rFonts w:hint="eastAsia" w:ascii="仿宋_GB2312" w:hAnsi="仿宋_GB2312" w:eastAsia="仿宋_GB2312" w:cs="仿宋_GB2312"/>
          <w:b/>
          <w:bCs/>
          <w:color w:val="auto"/>
          <w:sz w:val="32"/>
          <w:highlight w:val="none"/>
          <w:lang w:eastAsia="zh-CN"/>
        </w:rPr>
        <w:t>新兴领域</w:t>
      </w:r>
      <w:r>
        <w:rPr>
          <w:rFonts w:hint="eastAsia" w:ascii="仿宋_GB2312" w:hAnsi="仿宋_GB2312" w:eastAsia="仿宋_GB2312" w:cs="仿宋_GB2312"/>
          <w:b/>
          <w:bCs/>
          <w:color w:val="auto"/>
          <w:sz w:val="32"/>
          <w:highlight w:val="none"/>
        </w:rPr>
        <w:t>党建，引导融入区域发展。</w:t>
      </w:r>
      <w:r>
        <w:rPr>
          <w:rFonts w:hint="eastAsia" w:ascii="仿宋_GB2312" w:hAnsi="仿宋_GB2312" w:eastAsia="仿宋_GB2312" w:cs="仿宋_GB2312"/>
          <w:b w:val="0"/>
          <w:bCs/>
          <w:color w:val="auto"/>
          <w:sz w:val="32"/>
          <w:lang w:val="en-US" w:eastAsia="zh-CN"/>
        </w:rPr>
        <w:t>发挥区委“两新”工委和新兴领域党建工作协调机制统筹协调作用，健全完善条块结合、上下联动的新兴领域党建工作体系。按照“应建尽建”的原则，围绕重点非公企业、社会组织和新就业群体，多措并举提升新兴领域党的组织覆盖和工作覆盖质量，保持“两个覆盖”率达到动态100%。推进党组织与“两新”组织管理“双向进入、交叉任职”机制，充分发挥党员先锋模范作用，加强新兴领域党建工作队伍建设，选聘高素质党建工作指导员，加强基层党组织规范化建设，推荐优秀新兴领域党组织参加全市“双强”党组织评选，推动党建工作深度融入“两新”组织运营管理和文化建设。</w:t>
      </w:r>
    </w:p>
    <w:p>
      <w:pPr>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color w:val="auto"/>
          <w:sz w:val="32"/>
          <w:highlight w:val="none"/>
        </w:rPr>
        <w:t>推动文旅、民宿、冰雪运动等特色行业党建扩面提质。</w:t>
      </w:r>
      <w:r>
        <w:rPr>
          <w:rFonts w:hint="eastAsia" w:ascii="Times New Roman" w:hAnsi="Times New Roman" w:eastAsia="仿宋_GB2312" w:cs="Times New Roman"/>
          <w:color w:val="auto"/>
          <w:sz w:val="32"/>
        </w:rPr>
        <w:t>落实</w:t>
      </w:r>
      <w:r>
        <w:rPr>
          <w:rFonts w:hint="eastAsia" w:ascii="仿宋_GB2312" w:hAnsi="仿宋_GB2312" w:eastAsia="仿宋_GB2312" w:cs="仿宋_GB2312"/>
          <w:b w:val="0"/>
          <w:bCs/>
          <w:color w:val="auto"/>
          <w:sz w:val="32"/>
          <w:lang w:val="en-US" w:eastAsia="zh-CN"/>
        </w:rPr>
        <w:t>“抓行业抓党建，管领域管人群”的工作要求，推进文旅、民宿、冰雪运动等重点行业和园区等重点区域党建工作，推动具备条件的行业组建行业党委，力争“十五五”末期实现行业党委数量超过8家。打造“妫途暖新”新兴领域党建品牌，链接各行业、属地资源，形成矩阵效应，示范带动新兴领域党建整体提质增效，建设一批“党建强、发展强”新兴领域党组织，以党建促进非公企业、社会组织健康发展，进一步融入治理。</w:t>
      </w:r>
    </w:p>
    <w:p>
      <w:pPr>
        <w:snapToGrid w:val="0"/>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color w:val="auto"/>
          <w:sz w:val="32"/>
          <w:highlight w:val="none"/>
        </w:rPr>
        <w:t>聚焦暖心服务，打造新就业群体友好之城。</w:t>
      </w:r>
      <w:r>
        <w:rPr>
          <w:rFonts w:hint="eastAsia" w:ascii="Times New Roman" w:hAnsi="Times New Roman" w:eastAsia="仿宋_GB2312" w:cs="Times New Roman"/>
          <w:color w:val="auto"/>
          <w:sz w:val="32"/>
        </w:rPr>
        <w:t>健</w:t>
      </w:r>
      <w:r>
        <w:rPr>
          <w:rFonts w:hint="eastAsia" w:ascii="仿宋_GB2312" w:hAnsi="仿宋_GB2312" w:eastAsia="仿宋_GB2312" w:cs="仿宋_GB2312"/>
          <w:b w:val="0"/>
          <w:bCs/>
          <w:color w:val="auto"/>
          <w:sz w:val="32"/>
          <w:lang w:val="en-US" w:eastAsia="zh-CN"/>
        </w:rPr>
        <w:t>全完善党建引领新就业群体凝聚服务体制机制，发挥好网约配送、交通运输等行业党委统筹作用，动态掌握新就业群体底数台账，不断加强党的组织和党的工作覆盖。强化需求导向，统筹资源阵地打造新就业群体友好场景不少于80个。建强“妫商雷锋”新就业群体志愿服务队等品牌，引导新就业群体以灵活便捷的方式参与治理、表达诉求。优化线上“妫途暖新”服务平台功能，集成驿站导航、商家优惠、事迹宣传、意见反馈等模块，实现服务“一键直达”。加强新就业群体政治意识、安全知识、权益维护和技能提升等方面培训，引导新就业群体听党话、跟党走。</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41" w:name="_Toc214629578"/>
      <w:r>
        <w:rPr>
          <w:rFonts w:hint="eastAsia" w:ascii="楷体_GB2312" w:hAnsi="楷体_GB2312" w:eastAsia="楷体_GB2312" w:cs="楷体_GB2312"/>
          <w:b w:val="0"/>
          <w:bCs/>
          <w:color w:val="auto"/>
          <w:sz w:val="32"/>
        </w:rPr>
        <w:t>（三）汇聚多元组织力量，提升群团与社会组织治理凝聚效能</w:t>
      </w:r>
      <w:bookmarkEnd w:id="41"/>
    </w:p>
    <w:p>
      <w:pPr>
        <w:snapToGrid w:val="0"/>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color w:val="auto"/>
          <w:sz w:val="32"/>
          <w:highlight w:val="none"/>
        </w:rPr>
        <w:t>强化工青妇等群团组织桥梁纽带功能，拓展对新就业群体的服务半径。</w:t>
      </w:r>
      <w:r>
        <w:rPr>
          <w:rFonts w:hint="eastAsia" w:ascii="仿宋_GB2312" w:hAnsi="仿宋_GB2312" w:eastAsia="仿宋_GB2312" w:cs="仿宋_GB2312"/>
          <w:b w:val="0"/>
          <w:bCs/>
          <w:color w:val="auto"/>
          <w:sz w:val="32"/>
          <w:lang w:val="en-US" w:eastAsia="zh-CN"/>
        </w:rPr>
        <w:t>切实发挥工会、共青团、妇联等群团组织在联系群众、服务群众、组织群众中的桥梁纽带作用。提升共青团“小哥服务站”、工会“暖心驿站”等服务阵地效能，为新就业群体和一线劳动者提供休憩、协助、咨询等综合服务。赋能基层妇联组织，激发妇女参与基层治理的积极性。在社区居委会设立</w:t>
      </w:r>
      <w:bookmarkStart w:id="42" w:name="OLE_LINK1"/>
      <w:r>
        <w:rPr>
          <w:rFonts w:hint="eastAsia" w:ascii="仿宋_GB2312" w:hAnsi="仿宋_GB2312" w:eastAsia="仿宋_GB2312" w:cs="仿宋_GB2312"/>
          <w:b w:val="0"/>
          <w:bCs/>
          <w:color w:val="auto"/>
          <w:sz w:val="32"/>
          <w:lang w:val="en-US" w:eastAsia="zh-CN"/>
        </w:rPr>
        <w:t>老年人和妇女儿童工作委员会</w:t>
      </w:r>
      <w:bookmarkEnd w:id="42"/>
      <w:r>
        <w:rPr>
          <w:rFonts w:hint="eastAsia" w:ascii="仿宋_GB2312" w:hAnsi="仿宋_GB2312" w:eastAsia="仿宋_GB2312" w:cs="仿宋_GB2312"/>
          <w:b w:val="0"/>
          <w:bCs/>
          <w:color w:val="auto"/>
          <w:sz w:val="32"/>
          <w:lang w:val="en-US" w:eastAsia="zh-CN"/>
        </w:rPr>
        <w:t>，聚焦“一老一小”服务，维护老人、儿童、妇女及女性新就业群体的合法权益。</w:t>
      </w:r>
    </w:p>
    <w:p>
      <w:pPr>
        <w:snapToGrid w:val="0"/>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color w:val="auto"/>
          <w:sz w:val="32"/>
          <w:highlight w:val="none"/>
        </w:rPr>
        <w:t>完善社会组织党建与全生命周期管理联动机制。</w:t>
      </w:r>
      <w:r>
        <w:rPr>
          <w:rFonts w:hint="eastAsia" w:ascii="仿宋_GB2312" w:hAnsi="仿宋_GB2312" w:eastAsia="仿宋_GB2312" w:cs="仿宋_GB2312"/>
          <w:b w:val="0"/>
          <w:bCs/>
          <w:color w:val="auto"/>
          <w:sz w:val="32"/>
          <w:lang w:val="en-US" w:eastAsia="zh-CN"/>
        </w:rPr>
        <w:t>加强社会组织党建工作，发挥社会组织发展管理协调机制作用，建立和完善“培育、登记、赋能、管理、退出”全生命周期服务管理机制，坚持培育发展与监督管理并重、激励支持与规范引导并行。通过加大政府购买服务力度、压实行业部门党建和监管责任、健全行业协会商会负责人管理制度等举措，引导社会组织在民生保障、社会服务和社会治理等领域发挥专业优势，提升规范发展水平。</w:t>
      </w:r>
    </w:p>
    <w:p>
      <w:pPr>
        <w:snapToGrid w:val="0"/>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color w:val="auto"/>
          <w:sz w:val="32"/>
          <w:highlight w:val="none"/>
        </w:rPr>
        <w:t>聚焦服务中心大局，拓展社会组织功能。</w:t>
      </w:r>
      <w:r>
        <w:rPr>
          <w:rFonts w:hint="eastAsia" w:ascii="仿宋_GB2312" w:hAnsi="仿宋_GB2312" w:eastAsia="仿宋_GB2312" w:cs="仿宋_GB2312"/>
          <w:b w:val="0"/>
          <w:bCs/>
          <w:color w:val="auto"/>
          <w:sz w:val="32"/>
          <w:lang w:val="en-US" w:eastAsia="zh-CN"/>
        </w:rPr>
        <w:t>通过政府购买服务、公益创投、项目委托等方式，为社会组织参与基层治理、公共服务和社区建设搭建多层次、多领域平台。围绕生态文明建设、乡村振兴、社区服务等重点领域，支持社会组织承接项目、参与试点，在实践中提升议题识别、项目运作、专业服务与协同治理能力。完善评估激励机制和典型选树机制，引导社会组织成为联结政府和社会、连接公共需求和专业服务的重要力量，增强其在社会治理体系中的功能性和可持续性。</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43" w:name="_Toc214629579"/>
      <w:r>
        <w:rPr>
          <w:rFonts w:hint="eastAsia" w:ascii="楷体_GB2312" w:hAnsi="楷体_GB2312" w:eastAsia="楷体_GB2312" w:cs="楷体_GB2312"/>
          <w:b w:val="0"/>
          <w:bCs/>
          <w:color w:val="auto"/>
          <w:sz w:val="32"/>
        </w:rPr>
        <w:t>（四）强化基层政权建设，提升基层党组织统筹治理组织力与执行力</w:t>
      </w:r>
      <w:bookmarkEnd w:id="43"/>
    </w:p>
    <w:p>
      <w:pPr>
        <w:snapToGrid w:val="0"/>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color w:val="auto"/>
          <w:sz w:val="32"/>
          <w:highlight w:val="none"/>
        </w:rPr>
        <w:t>深化街道管理体制改革。</w:t>
      </w:r>
      <w:r>
        <w:rPr>
          <w:rFonts w:hint="eastAsia" w:ascii="仿宋_GB2312" w:hAnsi="仿宋_GB2312" w:eastAsia="仿宋_GB2312" w:cs="仿宋_GB2312"/>
          <w:b w:val="0"/>
          <w:bCs/>
          <w:color w:val="auto"/>
          <w:sz w:val="32"/>
          <w:lang w:val="en-US" w:eastAsia="zh-CN"/>
        </w:rPr>
        <w:t>双向发力，统筹推进乡镇街道赋能和减负工作。强化街道抓党建、抓治理、抓服务的主责主业，优化街道乡镇内设机构职能配置，强化基层统筹能力，完善党建引领、区域统筹、条块协同、上下联动、共建共享的街道乡镇工作新格局。对于条件成熟的城乡结合部社区，推动管理权属由乡镇向属地街道移交。持续为基层减负，进一步优化乡镇（街道）履行职责事项清单，完善社区事项准入清单制度，理顺区职能部门与街道乡镇关系，健全事权清晰、责能适应、履职顺畅、保障有力的街镇乡镇权责体系，有效破解基层治理“小马拉大车”突出问题。</w:t>
      </w:r>
    </w:p>
    <w:p>
      <w:pPr>
        <w:snapToGrid w:val="0"/>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color w:val="auto"/>
          <w:sz w:val="32"/>
          <w:highlight w:val="none"/>
        </w:rPr>
        <w:t>实施“头雁工程”，选优配强基层党组织书记。</w:t>
      </w:r>
      <w:r>
        <w:rPr>
          <w:rFonts w:hint="eastAsia" w:ascii="仿宋_GB2312" w:hAnsi="仿宋_GB2312" w:eastAsia="仿宋_GB2312" w:cs="仿宋_GB2312"/>
          <w:b w:val="0"/>
          <w:bCs/>
          <w:color w:val="auto"/>
          <w:sz w:val="32"/>
          <w:lang w:val="en-US" w:eastAsia="zh-CN"/>
        </w:rPr>
        <w:t>把巩固执政根基与加强基层政权建设紧密结合，平稳有序推进村（社区）“两委”换届选举，坚持把政治标准放在首位，选优配强、持续优化村（社区）“两委”班子特别是村党组织书记结构，打造一支政治坚定、能力过硬、作风扎实的基层党组织书记队伍。通过社区书记工作室建设、培训培养和实践锻炼等制度安排，突出“头雁工程”的示范引领作用，使基层党组织书记在推动社会治理、服务群众、协调各方中的领航作用更加凸显。</w:t>
      </w:r>
    </w:p>
    <w:p>
      <w:pPr>
        <w:snapToGrid w:val="0"/>
        <w:spacing w:before="0" w:after="0" w:line="560" w:lineRule="exact"/>
        <w:ind w:firstLine="643"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bCs w:val="0"/>
          <w:color w:val="auto"/>
          <w:sz w:val="32"/>
          <w:lang w:val="en-US" w:eastAsia="zh-CN"/>
        </w:rPr>
        <w:t>强化各级党建工作协调委员会作用发挥，构建坚实有力的区域治理组织基础。</w:t>
      </w:r>
      <w:r>
        <w:rPr>
          <w:rFonts w:hint="eastAsia" w:ascii="仿宋_GB2312" w:hAnsi="仿宋_GB2312" w:eastAsia="仿宋_GB2312" w:cs="仿宋_GB2312"/>
          <w:b w:val="0"/>
          <w:bCs/>
          <w:color w:val="auto"/>
          <w:sz w:val="32"/>
          <w:lang w:val="en-US" w:eastAsia="zh-CN"/>
        </w:rPr>
        <w:t>充分发挥区、街道（乡镇）、社区（村）三级党建工作协调委员会作用，将区域社会治理纳入各级党政联席会议核心议程。完善区域化党建工作机制，推动区、街道乡镇党员领导干部担任下一级党建工作协调委员会主任，推动社区（村）与驻区单位资源共享、共驻共建、互利共赢。</w:t>
      </w:r>
      <w:r>
        <w:rPr>
          <w:rFonts w:hint="eastAsia" w:ascii="Times New Roman" w:hAnsi="Times New Roman" w:eastAsia="仿宋_GB2312" w:cs="Times New Roman"/>
          <w:color w:val="auto"/>
          <w:sz w:val="32"/>
          <w:lang w:val="en-US" w:eastAsia="zh-CN"/>
        </w:rPr>
        <w:t>稳妥</w:t>
      </w:r>
      <w:r>
        <w:rPr>
          <w:rFonts w:hint="eastAsia" w:ascii="仿宋_GB2312" w:hAnsi="仿宋_GB2312" w:eastAsia="仿宋_GB2312" w:cs="仿宋_GB2312"/>
          <w:b w:val="0"/>
          <w:bCs/>
          <w:color w:val="auto"/>
          <w:sz w:val="32"/>
          <w:lang w:val="en-US" w:eastAsia="zh-CN"/>
        </w:rPr>
        <w:t>有序推进撤村建居和小规模社区整合，优化基层治理单元设置。在山区村庄试行区域联村党建或乡镇统筹治理模式，适度上移治理重心，有效破解山区半山区农村治理难题。</w:t>
      </w:r>
    </w:p>
    <w:p>
      <w:pPr>
        <w:pStyle w:val="3"/>
        <w:spacing w:before="0" w:after="0" w:line="560" w:lineRule="exact"/>
        <w:ind w:firstLine="640" w:firstLineChars="200"/>
        <w:rPr>
          <w:rFonts w:ascii="Times New Roman" w:hAnsi="Times New Roman" w:eastAsia="黑体" w:cs="Times New Roman"/>
          <w:b w:val="0"/>
          <w:bCs/>
          <w:color w:val="auto"/>
          <w:sz w:val="32"/>
        </w:rPr>
      </w:pPr>
      <w:bookmarkStart w:id="44" w:name="_Toc214629580"/>
      <w:r>
        <w:rPr>
          <w:rFonts w:ascii="Times New Roman" w:hAnsi="Times New Roman" w:eastAsia="黑体" w:cs="Times New Roman"/>
          <w:b w:val="0"/>
          <w:bCs/>
          <w:color w:val="auto"/>
          <w:sz w:val="32"/>
        </w:rPr>
        <w:t>九、保障措施</w:t>
      </w:r>
      <w:bookmarkEnd w:id="44"/>
    </w:p>
    <w:p>
      <w:pPr>
        <w:snapToGrid w:val="0"/>
        <w:spacing w:before="0" w:after="0" w:line="560" w:lineRule="exact"/>
        <w:ind w:firstLine="640"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val="0"/>
          <w:bCs/>
          <w:color w:val="auto"/>
          <w:sz w:val="32"/>
          <w:lang w:val="en-US" w:eastAsia="zh-CN"/>
        </w:rPr>
        <w:t>建立全方位、多层次的实施保障与支撑体系，确保“十五五”时期延庆区社会治理各项重点任务落地见效。</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45" w:name="_Toc214629581"/>
      <w:r>
        <w:rPr>
          <w:rFonts w:hint="eastAsia" w:ascii="楷体_GB2312" w:hAnsi="楷体_GB2312" w:eastAsia="楷体_GB2312" w:cs="楷体_GB2312"/>
          <w:b w:val="0"/>
          <w:bCs/>
          <w:color w:val="auto"/>
          <w:sz w:val="32"/>
        </w:rPr>
        <w:t>（一）组织与资金保障</w:t>
      </w:r>
      <w:bookmarkEnd w:id="45"/>
    </w:p>
    <w:p>
      <w:pPr>
        <w:snapToGrid w:val="0"/>
        <w:spacing w:before="0" w:after="0" w:line="560" w:lineRule="exact"/>
        <w:ind w:firstLine="640" w:firstLineChars="200"/>
        <w:rPr>
          <w:rFonts w:ascii="Times New Roman" w:hAnsi="Times New Roman" w:eastAsia="仿宋_GB2312" w:cs="Times New Roman"/>
          <w:color w:val="auto"/>
          <w:sz w:val="32"/>
        </w:rPr>
      </w:pPr>
      <w:r>
        <w:rPr>
          <w:rFonts w:hint="eastAsia" w:ascii="仿宋_GB2312" w:hAnsi="仿宋_GB2312" w:eastAsia="仿宋_GB2312" w:cs="仿宋_GB2312"/>
          <w:b w:val="0"/>
          <w:bCs/>
          <w:color w:val="auto"/>
          <w:sz w:val="32"/>
          <w:lang w:val="en-US" w:eastAsia="zh-CN"/>
        </w:rPr>
        <w:t>健全组织领导体系。健全规划实施的领导体制，区委社会工作领导小组及</w:t>
      </w:r>
      <w:r>
        <w:rPr>
          <w:rFonts w:hint="eastAsia" w:ascii="Times New Roman" w:hAnsi="Times New Roman" w:eastAsia="仿宋_GB2312" w:cs="Times New Roman"/>
          <w:color w:val="auto"/>
          <w:sz w:val="32"/>
          <w:lang w:val="en-US" w:eastAsia="zh-CN"/>
        </w:rPr>
        <w:t>其办公室</w:t>
      </w:r>
      <w:r>
        <w:rPr>
          <w:rFonts w:hint="eastAsia" w:ascii="仿宋_GB2312" w:hAnsi="仿宋_GB2312" w:eastAsia="仿宋_GB2312" w:cs="仿宋_GB2312"/>
          <w:b w:val="0"/>
          <w:bCs/>
          <w:color w:val="auto"/>
          <w:sz w:val="32"/>
          <w:lang w:val="en-US" w:eastAsia="zh-CN"/>
        </w:rPr>
        <w:t>加强《规划》落实的统筹协调。完善部门协同工作机制，建立重点任务联席会议制度，形成“区级统筹、部门协同、基层落实”的工作格局。各成员单位按照职责分工，细化年度目标任务，制定实施方案，明确时间节点和责任单位，确保规划目标有序推进。建立分级分类领导责任制，将社会治理工作纳入各级党委（党组）重要议事日程，实行“一把手”负总责、分管领导具体抓的工作机制，定期开展专项督导和成效评估。规划实施中的重大事项、重点项目和难点问题，纳入区委社会工作领导小组会议议题研究，列入区级“折子工程”，实行动态跟踪、闭环管理，确保工作务实高效推进。压实属地责任与运行机制，完善区、街道（乡镇）、社区（村）、网格四级治理责任网络，推进“条块结合、横向到边、纵向到底”的全域化管理模式。</w:t>
      </w:r>
    </w:p>
    <w:p>
      <w:pPr>
        <w:snapToGrid w:val="0"/>
        <w:spacing w:before="0" w:after="0" w:line="560" w:lineRule="exact"/>
        <w:ind w:firstLine="640"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val="0"/>
          <w:bCs/>
          <w:color w:val="auto"/>
          <w:sz w:val="32"/>
          <w:lang w:val="en-US" w:eastAsia="zh-CN"/>
        </w:rPr>
        <w:t>强化资金多元投入。优化财政投入结构，设立社会治理专项引导资金，重点保障心理服务体系搭建、矛盾纠纷化解、社会组织培育等重点任务实施。规范资金使用绩效考评，确保专款专用、提质增效。推进财政资金使用信息公开，强化全过程监管和绩效结果运用，增加结果导向的资金使用灵活度。推动社会治理投入从“项目制”向“公共服务化”管理转变，提升政府公共管理与服务效能。</w:t>
      </w:r>
    </w:p>
    <w:p>
      <w:pPr>
        <w:snapToGrid w:val="0"/>
        <w:spacing w:before="0" w:after="0" w:line="560" w:lineRule="exact"/>
        <w:ind w:firstLine="640"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val="0"/>
          <w:bCs/>
          <w:color w:val="auto"/>
          <w:sz w:val="32"/>
          <w:lang w:val="en-US" w:eastAsia="zh-CN"/>
        </w:rPr>
        <w:t>建立资金动态调整机制，根据重点任务推进进度、民生需求变化和绩效评估结果，合理调配资金投向，优先保障群众急难愁盼问题解决和基层治理短板补齐。按照常住人口规模科学测算财政配置标准，合理确定人员编制、经费拨付与设施投入，向城区街道等人口密集区域适度倾斜，确保基层治理“有权、有钱、有人办事”。</w:t>
      </w:r>
    </w:p>
    <w:p>
      <w:pPr>
        <w:snapToGrid w:val="0"/>
        <w:spacing w:before="0" w:after="0" w:line="560" w:lineRule="exact"/>
        <w:ind w:firstLine="640" w:firstLineChars="200"/>
        <w:rPr>
          <w:rFonts w:ascii="Times New Roman" w:hAnsi="Times New Roman" w:eastAsia="仿宋_GB2312" w:cs="Times New Roman"/>
          <w:color w:val="auto"/>
          <w:sz w:val="32"/>
        </w:rPr>
      </w:pPr>
      <w:r>
        <w:rPr>
          <w:rFonts w:hint="eastAsia" w:ascii="仿宋_GB2312" w:hAnsi="仿宋_GB2312" w:eastAsia="仿宋_GB2312" w:cs="仿宋_GB2312"/>
          <w:b w:val="0"/>
          <w:bCs/>
          <w:color w:val="auto"/>
          <w:sz w:val="32"/>
          <w:lang w:val="en-US" w:eastAsia="zh-CN"/>
        </w:rPr>
        <w:t>积极探索社会资本参与模式，通过政府购买服务、PPP 项目合作、公益捐赠、社区慈善基金等方式，引导企业、社会组织等力量投入智慧社区、数字乡村、便民服务、公益慈善等领域建设，形成“政府主导、社会参与、多元投入”的资金保障格局。</w:t>
      </w:r>
      <w:r>
        <w:rPr>
          <w:rFonts w:ascii="Times New Roman" w:hAnsi="Times New Roman" w:eastAsia="MS Gothic" w:cs="Times New Roman"/>
          <w:color w:val="auto"/>
          <w:sz w:val="32"/>
        </w:rPr>
        <w:t>​</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46" w:name="_Toc214629582"/>
      <w:r>
        <w:rPr>
          <w:rFonts w:hint="eastAsia" w:ascii="楷体_GB2312" w:hAnsi="楷体_GB2312" w:eastAsia="楷体_GB2312" w:cs="楷体_GB2312"/>
          <w:b w:val="0"/>
          <w:bCs/>
          <w:color w:val="auto"/>
          <w:sz w:val="32"/>
        </w:rPr>
        <w:t>（二）安全与科技保障​</w:t>
      </w:r>
      <w:bookmarkEnd w:id="46"/>
    </w:p>
    <w:p>
      <w:pPr>
        <w:snapToGrid w:val="0"/>
        <w:spacing w:before="0" w:after="0" w:line="560" w:lineRule="exact"/>
        <w:ind w:firstLine="640"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val="0"/>
          <w:bCs/>
          <w:color w:val="auto"/>
          <w:sz w:val="32"/>
          <w:lang w:val="en-US" w:eastAsia="zh-CN"/>
        </w:rPr>
        <w:t>破除数据壁垒，推进互联互通。建立跨部门数据共享协调机制，制定统一的数据采集、交换、共享标准和安全管理规范，破除部门信息孤岛，推动政务服务、公共安全、公共卫生、生态保护、民生保障、社会动员等重点领域数据资源整合汇聚，实现数据“一次采集、多方复用”。强化数据安全保障，建立数据分级分类管理、风险评估和应急处置机制，落实数据安全主体责任，筑牢数字安全屏障，确保数据共享与隐私保护并重。</w:t>
      </w:r>
    </w:p>
    <w:p>
      <w:pPr>
        <w:snapToGrid w:val="0"/>
        <w:spacing w:before="0" w:after="0" w:line="560" w:lineRule="exact"/>
        <w:ind w:firstLine="640"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val="0"/>
          <w:bCs/>
          <w:color w:val="auto"/>
          <w:sz w:val="32"/>
          <w:lang w:val="en-US" w:eastAsia="zh-CN"/>
        </w:rPr>
        <w:t>升级科技设施，提升治理效能。深化“雪亮工程”智慧化应用，部署AI智能分析算法，拓展其在社会治安、安全生产、防灾减灾、疫情防控、环境监测等多领域的自动识别、智能研判和实时预警功能，健全智慧治安防控网。推动雪亮工程、智能监控等数据跨部门共享共用，强化公检法司信、应急管理、城市管理、社区治理等部门联动响应，提升风险处置效率和协同治理能力。</w:t>
      </w:r>
    </w:p>
    <w:p>
      <w:pPr>
        <w:snapToGrid w:val="0"/>
        <w:spacing w:before="0" w:after="0" w:line="560" w:lineRule="exact"/>
        <w:ind w:firstLine="640" w:firstLineChars="200"/>
        <w:rPr>
          <w:rFonts w:ascii="Times New Roman" w:hAnsi="Times New Roman" w:eastAsia="仿宋_GB2312" w:cs="Times New Roman"/>
          <w:color w:val="auto"/>
          <w:sz w:val="32"/>
        </w:rPr>
      </w:pPr>
      <w:r>
        <w:rPr>
          <w:rFonts w:hint="eastAsia" w:ascii="仿宋_GB2312" w:hAnsi="仿宋_GB2312" w:eastAsia="仿宋_GB2312" w:cs="仿宋_GB2312"/>
          <w:b w:val="0"/>
          <w:bCs/>
          <w:color w:val="auto"/>
          <w:sz w:val="32"/>
          <w:lang w:val="en-US" w:eastAsia="zh-CN"/>
        </w:rPr>
        <w:t>以“高效办成一件事”为目标，推进政务服务数字化转型，优化线上办事流程，实现高频事项“一网通办、跨区通办”。加快智慧社区、数字乡村建设，搭建便民服务小程序、智能治理平台，集成安防监控、环境监测、便民缴费、诉求反馈、议事协商等功能，提升基层治理精细化和便民服务水平。</w:t>
      </w:r>
      <w:r>
        <w:rPr>
          <w:rFonts w:ascii="Times New Roman" w:hAnsi="Times New Roman" w:eastAsia="MS Gothic" w:cs="Times New Roman"/>
          <w:color w:val="auto"/>
          <w:sz w:val="32"/>
        </w:rPr>
        <w:t>​</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47" w:name="_Toc214629583"/>
      <w:r>
        <w:rPr>
          <w:rFonts w:hint="eastAsia" w:ascii="楷体_GB2312" w:hAnsi="楷体_GB2312" w:eastAsia="楷体_GB2312" w:cs="楷体_GB2312"/>
          <w:b w:val="0"/>
          <w:bCs/>
          <w:color w:val="auto"/>
          <w:sz w:val="32"/>
        </w:rPr>
        <w:t>（三）心理与法治保障</w:t>
      </w:r>
      <w:bookmarkEnd w:id="47"/>
    </w:p>
    <w:p>
      <w:pPr>
        <w:snapToGrid w:val="0"/>
        <w:spacing w:before="0" w:after="0" w:line="560" w:lineRule="exact"/>
        <w:ind w:firstLine="640" w:firstLineChars="200"/>
        <w:rPr>
          <w:rFonts w:ascii="Times New Roman" w:hAnsi="Times New Roman" w:eastAsia="仿宋_GB2312" w:cs="Times New Roman"/>
          <w:color w:val="auto"/>
          <w:sz w:val="32"/>
        </w:rPr>
      </w:pPr>
      <w:r>
        <w:rPr>
          <w:rFonts w:hint="eastAsia" w:ascii="仿宋_GB2312" w:hAnsi="仿宋_GB2312" w:eastAsia="仿宋_GB2312" w:cs="仿宋_GB2312"/>
          <w:b w:val="0"/>
          <w:bCs/>
          <w:color w:val="auto"/>
          <w:sz w:val="32"/>
          <w:lang w:val="en-US" w:eastAsia="zh-CN"/>
        </w:rPr>
        <w:t>完善心理服务体系。</w:t>
      </w:r>
      <w:r>
        <w:rPr>
          <w:rFonts w:hint="default" w:ascii="仿宋_GB2312" w:hAnsi="仿宋_GB2312" w:eastAsia="仿宋_GB2312" w:cs="仿宋_GB2312"/>
          <w:b w:val="0"/>
          <w:bCs/>
          <w:color w:val="auto"/>
          <w:sz w:val="32"/>
          <w:lang w:val="en-US" w:eastAsia="zh-CN"/>
        </w:rPr>
        <w:t>高标准建设区级心理健康指导中心，配备专业设备和人员，提供心理测评、咨询与心理热线等一体化服务，打造全区技术核心。遴选组建区级心理服务专家库，通过系统化业务培训和常态化技术督导，全面提升基层心理服务人员的专业能力。深入开展心理健康科普宣传，依托公众号、宣传资料、专题讲座等多元渠道，广泛提升公众心理健康素养。建立专业心理危机干预队伍，完善应急响应机制，确保对突发事件及时有效处置。</w:t>
      </w:r>
      <w:r>
        <w:rPr>
          <w:rFonts w:hint="eastAsia" w:ascii="仿宋_GB2312" w:hAnsi="仿宋_GB2312" w:eastAsia="仿宋_GB2312" w:cs="仿宋_GB2312"/>
          <w:b w:val="0"/>
          <w:bCs/>
          <w:color w:val="auto"/>
          <w:sz w:val="32"/>
          <w:lang w:val="en-US" w:eastAsia="zh-CN"/>
        </w:rPr>
        <w:t>​</w:t>
      </w:r>
    </w:p>
    <w:p>
      <w:pPr>
        <w:snapToGrid w:val="0"/>
        <w:spacing w:before="0" w:after="0"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b w:val="0"/>
          <w:bCs/>
          <w:color w:val="auto"/>
          <w:sz w:val="32"/>
          <w:lang w:val="en-US" w:eastAsia="zh-CN"/>
        </w:rPr>
        <w:t>强化法治支撑作用。坚持依法推进社会治理各项工作，将成熟经验和创新做法及时通过制度规范固化下来，为“和美社区”“村民说事”等品牌建设和实践探索提供法治遵循。深化新时代“枫桥经验”延庆实践创新，构建“本土调解先行、专业力量支撑、行政司法保障”的矛盾分层化解体系，完善诉调对接、“调解+仲裁+审判”无缝衔接机制，提升矛盾纠纷源头化解能力。加大社会领域法治宣传教育力度，落实“九五”普法规划，提升“法律明白人”法治素养，利用好新媒体普法，推动法治宣传从常识普及向法治信仰培育转变，营造全社会尊法学法守法用法的良好氛围。</w:t>
      </w:r>
    </w:p>
    <w:p>
      <w:pPr>
        <w:pStyle w:val="3"/>
        <w:spacing w:before="0" w:after="0" w:line="560" w:lineRule="exact"/>
        <w:ind w:firstLine="640" w:firstLineChars="200"/>
        <w:rPr>
          <w:rFonts w:hint="eastAsia" w:ascii="楷体_GB2312" w:hAnsi="楷体_GB2312" w:eastAsia="楷体_GB2312" w:cs="楷体_GB2312"/>
          <w:b w:val="0"/>
          <w:bCs/>
          <w:color w:val="auto"/>
          <w:sz w:val="32"/>
        </w:rPr>
      </w:pPr>
      <w:bookmarkStart w:id="48" w:name="_Toc214629584"/>
      <w:r>
        <w:rPr>
          <w:rFonts w:hint="eastAsia" w:ascii="楷体_GB2312" w:hAnsi="楷体_GB2312" w:eastAsia="楷体_GB2312" w:cs="楷体_GB2312"/>
          <w:b w:val="0"/>
          <w:bCs/>
          <w:color w:val="auto"/>
          <w:sz w:val="32"/>
        </w:rPr>
        <w:t>（四）社会工作队伍支撑</w:t>
      </w:r>
      <w:bookmarkEnd w:id="48"/>
    </w:p>
    <w:p>
      <w:pPr>
        <w:snapToGrid w:val="0"/>
        <w:spacing w:before="0" w:after="0" w:line="560" w:lineRule="exact"/>
        <w:ind w:firstLine="640"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val="0"/>
          <w:bCs/>
          <w:color w:val="auto"/>
          <w:sz w:val="32"/>
          <w:lang w:val="en-US" w:eastAsia="zh-CN"/>
        </w:rPr>
        <w:t>壮大队伍规模，优化队伍结构。统筹推进社区工作者、社会工作者（含党务工作者）、志愿者队伍建设。按照“总量充足、结构合理、素质过硬”的要求，配齐配强社区工作者队伍，根据社区规模、人口数量等因素科学核定人员</w:t>
      </w:r>
      <w:r>
        <w:rPr>
          <w:rFonts w:hint="eastAsia" w:ascii="Times New Roman" w:hAnsi="Times New Roman" w:eastAsia="仿宋_GB2312" w:cs="Times New Roman"/>
          <w:color w:val="auto"/>
          <w:sz w:val="32"/>
          <w:lang w:val="en-US" w:eastAsia="zh-CN"/>
        </w:rPr>
        <w:t>规模</w:t>
      </w:r>
      <w:r>
        <w:rPr>
          <w:rFonts w:hint="eastAsia" w:ascii="仿宋_GB2312" w:hAnsi="仿宋_GB2312" w:eastAsia="仿宋_GB2312" w:cs="仿宋_GB2312"/>
          <w:b w:val="0"/>
          <w:bCs/>
          <w:color w:val="auto"/>
          <w:sz w:val="32"/>
          <w:lang w:val="en-US" w:eastAsia="zh-CN"/>
        </w:rPr>
        <w:t>，规范进出渠道。</w:t>
      </w:r>
    </w:p>
    <w:p>
      <w:pPr>
        <w:snapToGrid w:val="0"/>
        <w:spacing w:before="0" w:after="0" w:line="560" w:lineRule="exact"/>
        <w:ind w:firstLine="640" w:firstLineChars="200"/>
        <w:rPr>
          <w:rFonts w:ascii="Times New Roman" w:hAnsi="Times New Roman" w:eastAsia="仿宋_GB2312" w:cs="Times New Roman"/>
          <w:color w:val="auto"/>
          <w:sz w:val="32"/>
        </w:rPr>
      </w:pPr>
      <w:r>
        <w:rPr>
          <w:rFonts w:hint="eastAsia" w:ascii="仿宋_GB2312" w:hAnsi="仿宋_GB2312" w:eastAsia="仿宋_GB2312" w:cs="仿宋_GB2312"/>
          <w:b w:val="0"/>
          <w:bCs/>
          <w:color w:val="auto"/>
          <w:sz w:val="32"/>
          <w:lang w:val="en-US" w:eastAsia="zh-CN"/>
        </w:rPr>
        <w:t>加强培训和能力支撑。加大社会工作专业人才培育力度，鼓励社区工作者、基层干部考取社会工作师、心理咨询师等专业资质，充实基层服务力量。健全社会工作领域党务工作者培养机制，强化党建业务培训，提升党建引领社会工作的能力水平。完善志愿者分类培训机制，重点提升应急救援、心理疏导、法治宣传、便民服务等专业志愿服务能力。​</w:t>
      </w:r>
    </w:p>
    <w:p>
      <w:pPr>
        <w:snapToGrid w:val="0"/>
        <w:spacing w:before="0" w:after="0" w:line="560" w:lineRule="exact"/>
        <w:ind w:firstLine="640"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val="0"/>
          <w:bCs/>
          <w:color w:val="auto"/>
          <w:sz w:val="32"/>
          <w:lang w:val="en-US" w:eastAsia="zh-CN"/>
        </w:rPr>
        <w:t>强化赋能培训，依托区委党校和专业合作院校，高标准建设延庆区社会治理学院，聚焦共识凝聚、社会动员、基层共治、专业服务、党建引领等核心领域，开设系统化培训课程，培育兼具政策理解、专业技能和实践能力的复合型治理人才。</w:t>
      </w:r>
    </w:p>
    <w:p>
      <w:pPr>
        <w:snapToGrid w:val="0"/>
        <w:spacing w:before="0" w:after="0" w:line="560" w:lineRule="exact"/>
        <w:ind w:firstLine="640" w:firstLineChars="200"/>
        <w:rPr>
          <w:rFonts w:hint="eastAsia" w:ascii="仿宋_GB2312" w:hAnsi="仿宋_GB2312" w:eastAsia="仿宋_GB2312" w:cs="仿宋_GB2312"/>
          <w:b w:val="0"/>
          <w:bCs/>
          <w:color w:val="auto"/>
          <w:sz w:val="32"/>
          <w:lang w:val="en-US" w:eastAsia="zh-CN"/>
        </w:rPr>
      </w:pPr>
      <w:r>
        <w:rPr>
          <w:rFonts w:hint="eastAsia" w:ascii="仿宋_GB2312" w:hAnsi="仿宋_GB2312" w:eastAsia="仿宋_GB2312" w:cs="仿宋_GB2312"/>
          <w:b w:val="0"/>
          <w:bCs/>
          <w:color w:val="auto"/>
          <w:sz w:val="32"/>
          <w:lang w:val="en-US" w:eastAsia="zh-CN"/>
        </w:rPr>
        <w:t>优化激励保障机制。提高社会工作队伍入职门槛，优先录用具备相关专业背景、持有专业资质证书的人员。建立科学的绩效考核体系，将工作实绩、群众满意度等纳入考核指标，考核结果与薪酬待遇、晋升提拔直接挂钩。完善职业发展通道，设立管理岗、专业技术岗等多维度晋升路径，定期开展升职考试和选拔任用，畅通优秀人才成长渠道，稳定和壮大社会工作队伍。</w:t>
      </w:r>
    </w:p>
    <w:p>
      <w:pPr>
        <w:pStyle w:val="2"/>
        <w:keepNext w:val="0"/>
        <w:keepLines w:val="0"/>
        <w:pageBreakBefore w:val="0"/>
        <w:widowControl w:val="0"/>
        <w:kinsoku/>
        <w:wordWrap/>
        <w:overflowPunct/>
        <w:topLinePunct w:val="0"/>
        <w:autoSpaceDE/>
        <w:autoSpaceDN/>
        <w:bidi w:val="0"/>
        <w:adjustRightInd/>
        <w:spacing w:line="550" w:lineRule="exact"/>
        <w:ind w:firstLine="640"/>
        <w:textAlignment w:val="auto"/>
        <w:rPr>
          <w:sz w:val="32"/>
        </w:rPr>
      </w:pPr>
    </w:p>
    <w:p>
      <w:pPr>
        <w:pStyle w:val="2"/>
        <w:keepNext w:val="0"/>
        <w:keepLines w:val="0"/>
        <w:pageBreakBefore w:val="0"/>
        <w:widowControl w:val="0"/>
        <w:kinsoku/>
        <w:wordWrap/>
        <w:overflowPunct/>
        <w:topLinePunct w:val="0"/>
        <w:autoSpaceDE/>
        <w:autoSpaceDN/>
        <w:bidi w:val="0"/>
        <w:adjustRightInd/>
        <w:spacing w:line="550" w:lineRule="exact"/>
        <w:ind w:firstLine="640"/>
        <w:textAlignment w:val="auto"/>
        <w:rPr>
          <w:rFonts w:hint="eastAsia" w:ascii="仿宋_GB2312" w:hAnsi="仿宋_GB2312" w:eastAsia="仿宋_GB2312" w:cs="仿宋_GB2312"/>
          <w:b w:val="0"/>
          <w:bCs/>
          <w:color w:val="auto"/>
          <w:kern w:val="2"/>
          <w:sz w:val="32"/>
          <w:szCs w:val="24"/>
          <w:lang w:val="en-US" w:eastAsia="zh-CN" w:bidi="ar-SA"/>
        </w:rPr>
      </w:pPr>
      <w:r>
        <w:rPr>
          <w:rFonts w:hint="eastAsia"/>
          <w:sz w:val="32"/>
        </w:rPr>
        <w:t>附件：</w:t>
      </w:r>
      <w:r>
        <w:rPr>
          <w:rFonts w:hint="eastAsia" w:ascii="仿宋_GB2312" w:hAnsi="仿宋_GB2312" w:eastAsia="仿宋_GB2312" w:cs="仿宋_GB2312"/>
          <w:color w:val="auto"/>
          <w:kern w:val="2"/>
          <w:sz w:val="32"/>
          <w:szCs w:val="24"/>
          <w:highlight w:val="none"/>
          <w:lang w:val="en-US" w:eastAsia="zh-CN" w:bidi="ar-SA"/>
        </w:rPr>
        <w:t>1.</w:t>
      </w:r>
      <w:r>
        <w:rPr>
          <w:rFonts w:hint="eastAsia" w:ascii="仿宋_GB2312" w:hAnsi="仿宋_GB2312" w:eastAsia="仿宋_GB2312" w:cs="仿宋_GB2312"/>
          <w:b w:val="0"/>
          <w:bCs/>
          <w:color w:val="auto"/>
          <w:kern w:val="2"/>
          <w:sz w:val="32"/>
          <w:szCs w:val="24"/>
          <w:lang w:val="en-US" w:eastAsia="zh-CN" w:bidi="ar-SA"/>
        </w:rPr>
        <w:t>“十五五”时期重大战略任务清单</w:t>
      </w:r>
    </w:p>
    <w:p>
      <w:pPr>
        <w:pStyle w:val="2"/>
        <w:keepNext w:val="0"/>
        <w:keepLines w:val="0"/>
        <w:pageBreakBefore w:val="0"/>
        <w:widowControl w:val="0"/>
        <w:kinsoku/>
        <w:wordWrap/>
        <w:overflowPunct/>
        <w:topLinePunct w:val="0"/>
        <w:autoSpaceDE/>
        <w:autoSpaceDN/>
        <w:bidi w:val="0"/>
        <w:adjustRightInd/>
        <w:spacing w:line="560" w:lineRule="exact"/>
        <w:ind w:firstLine="1600" w:firstLineChars="500"/>
        <w:textAlignment w:val="auto"/>
        <w:rPr>
          <w:rFonts w:hint="eastAsia" w:ascii="仿宋_GB2312" w:hAnsi="仿宋_GB2312" w:eastAsia="仿宋_GB2312" w:cs="仿宋_GB2312"/>
          <w:b w:val="0"/>
          <w:bCs/>
          <w:color w:val="auto"/>
          <w:kern w:val="2"/>
          <w:sz w:val="32"/>
          <w:szCs w:val="24"/>
          <w:lang w:val="en-US" w:eastAsia="zh-CN" w:bidi="ar-SA"/>
        </w:rPr>
      </w:pPr>
      <w:r>
        <w:rPr>
          <w:rFonts w:hint="eastAsia" w:ascii="仿宋_GB2312" w:hAnsi="仿宋_GB2312" w:eastAsia="仿宋_GB2312" w:cs="仿宋_GB2312"/>
          <w:b w:val="0"/>
          <w:bCs/>
          <w:color w:val="auto"/>
          <w:kern w:val="2"/>
          <w:sz w:val="32"/>
          <w:szCs w:val="24"/>
          <w:lang w:val="en-US" w:eastAsia="zh-CN" w:bidi="ar-SA"/>
        </w:rPr>
        <w:t>2.名词解释</w:t>
      </w:r>
    </w:p>
    <w:sectPr>
      <w:pgSz w:w="11906" w:h="16838"/>
      <w:pgMar w:top="2098" w:right="1474" w:bottom="1984" w:left="1587" w:header="851" w:footer="992" w:gutter="0"/>
      <w:pgNumType w:fmt="numberInDash" w:start="1"/>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onaco">
    <w:altName w:val="Courier New"/>
    <w:panose1 w:val="00000000000000000000"/>
    <w:charset w:val="00"/>
    <w:family w:val="auto"/>
    <w:pitch w:val="default"/>
    <w:sig w:usb0="00000000" w:usb1="00000000" w:usb2="00000000" w:usb3="00000000" w:csb0="00000197"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17367050"/>
                          </w:sdtPr>
                          <w:sdtEndPr>
                            <w:rPr>
                              <w:rFonts w:hint="eastAsia" w:ascii="宋体" w:hAnsi="宋体" w:eastAsia="宋体" w:cs="宋体"/>
                              <w:sz w:val="28"/>
                              <w:szCs w:val="28"/>
                            </w:rPr>
                          </w:sdtEndPr>
                          <w:sdtContent>
                            <w:p>
                              <w:pPr>
                                <w:pStyle w:val="1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42 -</w:t>
                              </w:r>
                              <w:r>
                                <w:rPr>
                                  <w:rFonts w:hint="eastAsia" w:ascii="宋体" w:hAnsi="宋体" w:eastAsia="宋体" w:cs="宋体"/>
                                  <w:sz w:val="28"/>
                                  <w:szCs w:val="28"/>
                                </w:rPr>
                                <w:fldChar w:fldCharType="end"/>
                              </w:r>
                            </w:p>
                          </w:sdtContent>
                        </w:sdt>
                        <w:p>
                          <w:pPr>
                            <w:pStyle w:val="2"/>
                            <w:ind w:firstLine="60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417367050"/>
                    </w:sdtPr>
                    <w:sdtEndPr>
                      <w:rPr>
                        <w:rFonts w:hint="eastAsia" w:ascii="宋体" w:hAnsi="宋体" w:eastAsia="宋体" w:cs="宋体"/>
                        <w:sz w:val="28"/>
                        <w:szCs w:val="28"/>
                      </w:rPr>
                    </w:sdtEndPr>
                    <w:sdtContent>
                      <w:p>
                        <w:pPr>
                          <w:pStyle w:val="1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42 -</w:t>
                        </w:r>
                        <w:r>
                          <w:rPr>
                            <w:rFonts w:hint="eastAsia" w:ascii="宋体" w:hAnsi="宋体" w:eastAsia="宋体" w:cs="宋体"/>
                            <w:sz w:val="28"/>
                            <w:szCs w:val="28"/>
                          </w:rPr>
                          <w:fldChar w:fldCharType="end"/>
                        </w:r>
                      </w:p>
                    </w:sdtContent>
                  </w:sdt>
                  <w:p>
                    <w:pPr>
                      <w:pStyle w:val="2"/>
                      <w:ind w:firstLine="600"/>
                    </w:pPr>
                  </w:p>
                </w:txbxContent>
              </v:textbox>
            </v:shape>
          </w:pict>
        </mc:Fallback>
      </mc:AlternateContent>
    </w:r>
  </w:p>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20"/>
  <w:drawingGridVerticalSpacing w:val="387"/>
  <w:displayHorizontalDrawingGridEvery w:val="0"/>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07337"/>
    <w:rsid w:val="00056FBB"/>
    <w:rsid w:val="000644C7"/>
    <w:rsid w:val="00080566"/>
    <w:rsid w:val="00082146"/>
    <w:rsid w:val="000915AB"/>
    <w:rsid w:val="00094300"/>
    <w:rsid w:val="000A0557"/>
    <w:rsid w:val="000B62CA"/>
    <w:rsid w:val="000E4834"/>
    <w:rsid w:val="000F3A21"/>
    <w:rsid w:val="000F6BAE"/>
    <w:rsid w:val="001131AD"/>
    <w:rsid w:val="0012636E"/>
    <w:rsid w:val="0014250C"/>
    <w:rsid w:val="00155C6D"/>
    <w:rsid w:val="00156BF2"/>
    <w:rsid w:val="00165FA5"/>
    <w:rsid w:val="00170435"/>
    <w:rsid w:val="00172A37"/>
    <w:rsid w:val="00186519"/>
    <w:rsid w:val="001E3CC9"/>
    <w:rsid w:val="001F2D31"/>
    <w:rsid w:val="002153B4"/>
    <w:rsid w:val="00224889"/>
    <w:rsid w:val="0022786D"/>
    <w:rsid w:val="00240061"/>
    <w:rsid w:val="0025787A"/>
    <w:rsid w:val="00282FEF"/>
    <w:rsid w:val="002A53AA"/>
    <w:rsid w:val="002B6C9C"/>
    <w:rsid w:val="002C0FF7"/>
    <w:rsid w:val="002D672E"/>
    <w:rsid w:val="0034252F"/>
    <w:rsid w:val="003530B2"/>
    <w:rsid w:val="00360970"/>
    <w:rsid w:val="00386EB3"/>
    <w:rsid w:val="003A7594"/>
    <w:rsid w:val="003B094E"/>
    <w:rsid w:val="003B19FE"/>
    <w:rsid w:val="003D0881"/>
    <w:rsid w:val="003D7E6C"/>
    <w:rsid w:val="003E7EE6"/>
    <w:rsid w:val="00404E8F"/>
    <w:rsid w:val="00410E77"/>
    <w:rsid w:val="00421C63"/>
    <w:rsid w:val="00427F36"/>
    <w:rsid w:val="00474EC4"/>
    <w:rsid w:val="0047508C"/>
    <w:rsid w:val="00475362"/>
    <w:rsid w:val="00475BA3"/>
    <w:rsid w:val="00490A30"/>
    <w:rsid w:val="0049778D"/>
    <w:rsid w:val="004A7203"/>
    <w:rsid w:val="004B7BCA"/>
    <w:rsid w:val="004D7B5A"/>
    <w:rsid w:val="004E6590"/>
    <w:rsid w:val="004E7D57"/>
    <w:rsid w:val="004F4B56"/>
    <w:rsid w:val="005221A6"/>
    <w:rsid w:val="00526A46"/>
    <w:rsid w:val="00541F91"/>
    <w:rsid w:val="0054221B"/>
    <w:rsid w:val="00564E8C"/>
    <w:rsid w:val="0058530D"/>
    <w:rsid w:val="005968B8"/>
    <w:rsid w:val="005B5DB3"/>
    <w:rsid w:val="005C26C1"/>
    <w:rsid w:val="005C35DE"/>
    <w:rsid w:val="005D2ABB"/>
    <w:rsid w:val="005D2C57"/>
    <w:rsid w:val="005E0453"/>
    <w:rsid w:val="005E0BA5"/>
    <w:rsid w:val="005E5C80"/>
    <w:rsid w:val="00626AA2"/>
    <w:rsid w:val="00662319"/>
    <w:rsid w:val="0068574D"/>
    <w:rsid w:val="006D73DD"/>
    <w:rsid w:val="006E696F"/>
    <w:rsid w:val="006F09C2"/>
    <w:rsid w:val="006F72B8"/>
    <w:rsid w:val="00713E89"/>
    <w:rsid w:val="0071681D"/>
    <w:rsid w:val="007212DD"/>
    <w:rsid w:val="007279F9"/>
    <w:rsid w:val="00741A59"/>
    <w:rsid w:val="00763622"/>
    <w:rsid w:val="00763B79"/>
    <w:rsid w:val="00765ACE"/>
    <w:rsid w:val="00784B5C"/>
    <w:rsid w:val="007C7A70"/>
    <w:rsid w:val="007E5B24"/>
    <w:rsid w:val="008130C8"/>
    <w:rsid w:val="008133B0"/>
    <w:rsid w:val="00817A4E"/>
    <w:rsid w:val="008224C1"/>
    <w:rsid w:val="00832B92"/>
    <w:rsid w:val="00834324"/>
    <w:rsid w:val="00847F35"/>
    <w:rsid w:val="008803C3"/>
    <w:rsid w:val="00882B78"/>
    <w:rsid w:val="00890FE1"/>
    <w:rsid w:val="00893568"/>
    <w:rsid w:val="008C6780"/>
    <w:rsid w:val="008D7E8E"/>
    <w:rsid w:val="008F0887"/>
    <w:rsid w:val="008F1432"/>
    <w:rsid w:val="0090731C"/>
    <w:rsid w:val="00945D7A"/>
    <w:rsid w:val="00947F68"/>
    <w:rsid w:val="00953606"/>
    <w:rsid w:val="0096265A"/>
    <w:rsid w:val="009634D7"/>
    <w:rsid w:val="009807B0"/>
    <w:rsid w:val="009A1AAC"/>
    <w:rsid w:val="009A5CAB"/>
    <w:rsid w:val="009A78BB"/>
    <w:rsid w:val="009B4EA5"/>
    <w:rsid w:val="009C4335"/>
    <w:rsid w:val="009C47AE"/>
    <w:rsid w:val="009D5B2B"/>
    <w:rsid w:val="009E7FC9"/>
    <w:rsid w:val="00A0672E"/>
    <w:rsid w:val="00A06F23"/>
    <w:rsid w:val="00A13098"/>
    <w:rsid w:val="00A223EF"/>
    <w:rsid w:val="00A2655C"/>
    <w:rsid w:val="00A374CD"/>
    <w:rsid w:val="00A41AFE"/>
    <w:rsid w:val="00A572AB"/>
    <w:rsid w:val="00A770F3"/>
    <w:rsid w:val="00A85D95"/>
    <w:rsid w:val="00A92CCE"/>
    <w:rsid w:val="00AA3414"/>
    <w:rsid w:val="00AA5E18"/>
    <w:rsid w:val="00AB1D25"/>
    <w:rsid w:val="00AD3D80"/>
    <w:rsid w:val="00AD5712"/>
    <w:rsid w:val="00AE1945"/>
    <w:rsid w:val="00AF7565"/>
    <w:rsid w:val="00B00337"/>
    <w:rsid w:val="00B05D5C"/>
    <w:rsid w:val="00B1455F"/>
    <w:rsid w:val="00B17073"/>
    <w:rsid w:val="00B727BA"/>
    <w:rsid w:val="00B73E03"/>
    <w:rsid w:val="00B90A68"/>
    <w:rsid w:val="00BA455B"/>
    <w:rsid w:val="00BA4C9B"/>
    <w:rsid w:val="00BB6D9D"/>
    <w:rsid w:val="00BD3334"/>
    <w:rsid w:val="00BD50CE"/>
    <w:rsid w:val="00BE0D57"/>
    <w:rsid w:val="00BE3BF4"/>
    <w:rsid w:val="00BF1F58"/>
    <w:rsid w:val="00BF29F8"/>
    <w:rsid w:val="00C0365F"/>
    <w:rsid w:val="00C10C35"/>
    <w:rsid w:val="00C325E5"/>
    <w:rsid w:val="00C85E33"/>
    <w:rsid w:val="00C92623"/>
    <w:rsid w:val="00C95847"/>
    <w:rsid w:val="00CA0CC9"/>
    <w:rsid w:val="00CA7A21"/>
    <w:rsid w:val="00CB401D"/>
    <w:rsid w:val="00CB5651"/>
    <w:rsid w:val="00CB66E0"/>
    <w:rsid w:val="00CC4975"/>
    <w:rsid w:val="00CC642B"/>
    <w:rsid w:val="00CE0F8F"/>
    <w:rsid w:val="00CE523F"/>
    <w:rsid w:val="00D42605"/>
    <w:rsid w:val="00D46FCF"/>
    <w:rsid w:val="00D517E5"/>
    <w:rsid w:val="00D6024C"/>
    <w:rsid w:val="00D63288"/>
    <w:rsid w:val="00DB0B55"/>
    <w:rsid w:val="00DC2C75"/>
    <w:rsid w:val="00DC3EAB"/>
    <w:rsid w:val="00DC46BF"/>
    <w:rsid w:val="00DC645F"/>
    <w:rsid w:val="00E1778E"/>
    <w:rsid w:val="00E34FEB"/>
    <w:rsid w:val="00E5188C"/>
    <w:rsid w:val="00E700DC"/>
    <w:rsid w:val="00E7313D"/>
    <w:rsid w:val="00EB241D"/>
    <w:rsid w:val="00EE1D2F"/>
    <w:rsid w:val="00EE3A63"/>
    <w:rsid w:val="00EE6D40"/>
    <w:rsid w:val="00F138F8"/>
    <w:rsid w:val="00F33B3A"/>
    <w:rsid w:val="00F34DAA"/>
    <w:rsid w:val="00F50C8B"/>
    <w:rsid w:val="00F6245C"/>
    <w:rsid w:val="00F9493E"/>
    <w:rsid w:val="00FD2808"/>
    <w:rsid w:val="00FE1D14"/>
    <w:rsid w:val="00FE285E"/>
    <w:rsid w:val="012357A8"/>
    <w:rsid w:val="01916C56"/>
    <w:rsid w:val="01D65E04"/>
    <w:rsid w:val="02192276"/>
    <w:rsid w:val="02D54B8A"/>
    <w:rsid w:val="030E6DBA"/>
    <w:rsid w:val="033513DC"/>
    <w:rsid w:val="03CD6509"/>
    <w:rsid w:val="042514B3"/>
    <w:rsid w:val="0489796F"/>
    <w:rsid w:val="04BA5B06"/>
    <w:rsid w:val="05195849"/>
    <w:rsid w:val="054D42CC"/>
    <w:rsid w:val="05654A8A"/>
    <w:rsid w:val="06150615"/>
    <w:rsid w:val="06A026FD"/>
    <w:rsid w:val="06D70DE5"/>
    <w:rsid w:val="07011CC2"/>
    <w:rsid w:val="07644792"/>
    <w:rsid w:val="07655B82"/>
    <w:rsid w:val="08EB3C11"/>
    <w:rsid w:val="091A2A60"/>
    <w:rsid w:val="091A300D"/>
    <w:rsid w:val="09284798"/>
    <w:rsid w:val="0A062E71"/>
    <w:rsid w:val="0AD86006"/>
    <w:rsid w:val="0B0F019E"/>
    <w:rsid w:val="0B1473F1"/>
    <w:rsid w:val="0C023C03"/>
    <w:rsid w:val="0C2C46C5"/>
    <w:rsid w:val="0C3A6E18"/>
    <w:rsid w:val="0CAE1408"/>
    <w:rsid w:val="0CE43104"/>
    <w:rsid w:val="0D0567D3"/>
    <w:rsid w:val="0D63281E"/>
    <w:rsid w:val="0D70693C"/>
    <w:rsid w:val="0D912414"/>
    <w:rsid w:val="0DA07393"/>
    <w:rsid w:val="0DF5474E"/>
    <w:rsid w:val="0EAC547A"/>
    <w:rsid w:val="0F2B6FD9"/>
    <w:rsid w:val="10D95F55"/>
    <w:rsid w:val="1164559B"/>
    <w:rsid w:val="11921283"/>
    <w:rsid w:val="11DB1286"/>
    <w:rsid w:val="11F40649"/>
    <w:rsid w:val="12195BE2"/>
    <w:rsid w:val="123D4372"/>
    <w:rsid w:val="125C6F8E"/>
    <w:rsid w:val="129468CA"/>
    <w:rsid w:val="12980792"/>
    <w:rsid w:val="12F2241A"/>
    <w:rsid w:val="13257DC8"/>
    <w:rsid w:val="148B6970"/>
    <w:rsid w:val="15935191"/>
    <w:rsid w:val="15B1077D"/>
    <w:rsid w:val="15D46238"/>
    <w:rsid w:val="15EC2B1E"/>
    <w:rsid w:val="1645553C"/>
    <w:rsid w:val="16AD5C7A"/>
    <w:rsid w:val="16BF2542"/>
    <w:rsid w:val="17042E55"/>
    <w:rsid w:val="17885755"/>
    <w:rsid w:val="17C46F43"/>
    <w:rsid w:val="183C240D"/>
    <w:rsid w:val="188A72F3"/>
    <w:rsid w:val="19907A5C"/>
    <w:rsid w:val="19AD2480"/>
    <w:rsid w:val="19AE18CF"/>
    <w:rsid w:val="19BF3A09"/>
    <w:rsid w:val="1A0F1F4C"/>
    <w:rsid w:val="1A897311"/>
    <w:rsid w:val="1A9E5F76"/>
    <w:rsid w:val="1AA24D9F"/>
    <w:rsid w:val="1B034E51"/>
    <w:rsid w:val="1B0526DF"/>
    <w:rsid w:val="1B345C51"/>
    <w:rsid w:val="1B536381"/>
    <w:rsid w:val="1B5522B6"/>
    <w:rsid w:val="1B7632E7"/>
    <w:rsid w:val="1C252722"/>
    <w:rsid w:val="1C374C0B"/>
    <w:rsid w:val="1D3877E6"/>
    <w:rsid w:val="1DA7479E"/>
    <w:rsid w:val="1DB03A79"/>
    <w:rsid w:val="1EFF43F9"/>
    <w:rsid w:val="1F7B61D2"/>
    <w:rsid w:val="1F7CBD91"/>
    <w:rsid w:val="1FDA4D7F"/>
    <w:rsid w:val="2013151A"/>
    <w:rsid w:val="20731B1A"/>
    <w:rsid w:val="20876ABD"/>
    <w:rsid w:val="20C552F5"/>
    <w:rsid w:val="21003850"/>
    <w:rsid w:val="21A447B6"/>
    <w:rsid w:val="21B3320B"/>
    <w:rsid w:val="21F90DC5"/>
    <w:rsid w:val="23344CBD"/>
    <w:rsid w:val="23D25A7F"/>
    <w:rsid w:val="240C0EF5"/>
    <w:rsid w:val="245520DE"/>
    <w:rsid w:val="24892692"/>
    <w:rsid w:val="24D409F4"/>
    <w:rsid w:val="2504475E"/>
    <w:rsid w:val="25141F85"/>
    <w:rsid w:val="253772AE"/>
    <w:rsid w:val="25F634DA"/>
    <w:rsid w:val="262E0EA2"/>
    <w:rsid w:val="26AC43CD"/>
    <w:rsid w:val="26CE139E"/>
    <w:rsid w:val="27033FA8"/>
    <w:rsid w:val="27FBD2E2"/>
    <w:rsid w:val="2813737E"/>
    <w:rsid w:val="28576ADC"/>
    <w:rsid w:val="28881124"/>
    <w:rsid w:val="28DA2E89"/>
    <w:rsid w:val="2A24120E"/>
    <w:rsid w:val="2A4254F9"/>
    <w:rsid w:val="2A8F2EB3"/>
    <w:rsid w:val="2AF64D74"/>
    <w:rsid w:val="2B780B56"/>
    <w:rsid w:val="2D141D6A"/>
    <w:rsid w:val="2D145B0C"/>
    <w:rsid w:val="2D1F32F4"/>
    <w:rsid w:val="30161C4C"/>
    <w:rsid w:val="304A214A"/>
    <w:rsid w:val="30A5037E"/>
    <w:rsid w:val="31321472"/>
    <w:rsid w:val="31674C19"/>
    <w:rsid w:val="318F5D29"/>
    <w:rsid w:val="31A63F34"/>
    <w:rsid w:val="31A92962"/>
    <w:rsid w:val="323B4D81"/>
    <w:rsid w:val="324E5D9C"/>
    <w:rsid w:val="32C719B4"/>
    <w:rsid w:val="32D6673D"/>
    <w:rsid w:val="32F45F25"/>
    <w:rsid w:val="33375245"/>
    <w:rsid w:val="33A745A1"/>
    <w:rsid w:val="33E61D6F"/>
    <w:rsid w:val="348172DC"/>
    <w:rsid w:val="34B70380"/>
    <w:rsid w:val="34DC36F6"/>
    <w:rsid w:val="35146D6C"/>
    <w:rsid w:val="3519702A"/>
    <w:rsid w:val="35A66E60"/>
    <w:rsid w:val="36170E7A"/>
    <w:rsid w:val="36663B9A"/>
    <w:rsid w:val="36786774"/>
    <w:rsid w:val="37933C70"/>
    <w:rsid w:val="37FB619D"/>
    <w:rsid w:val="38775EF5"/>
    <w:rsid w:val="392813E6"/>
    <w:rsid w:val="39443106"/>
    <w:rsid w:val="39E0587D"/>
    <w:rsid w:val="3A2636B7"/>
    <w:rsid w:val="3A2F153E"/>
    <w:rsid w:val="3A651B3A"/>
    <w:rsid w:val="3A9A5C7B"/>
    <w:rsid w:val="3AE174A3"/>
    <w:rsid w:val="3BD800E6"/>
    <w:rsid w:val="3C351A95"/>
    <w:rsid w:val="3CC2016F"/>
    <w:rsid w:val="3D491162"/>
    <w:rsid w:val="3DBB1A18"/>
    <w:rsid w:val="3DD842E7"/>
    <w:rsid w:val="3E0E32D3"/>
    <w:rsid w:val="3E1732B7"/>
    <w:rsid w:val="3E61340D"/>
    <w:rsid w:val="3E905026"/>
    <w:rsid w:val="3E9540C1"/>
    <w:rsid w:val="3EEA3329"/>
    <w:rsid w:val="3FF46485"/>
    <w:rsid w:val="40650F6B"/>
    <w:rsid w:val="42445539"/>
    <w:rsid w:val="42CC0FB4"/>
    <w:rsid w:val="43243D9C"/>
    <w:rsid w:val="43446334"/>
    <w:rsid w:val="443C2116"/>
    <w:rsid w:val="444F5AFA"/>
    <w:rsid w:val="4457123C"/>
    <w:rsid w:val="44860751"/>
    <w:rsid w:val="44A84E71"/>
    <w:rsid w:val="44B6767E"/>
    <w:rsid w:val="44F36607"/>
    <w:rsid w:val="450800B6"/>
    <w:rsid w:val="45771679"/>
    <w:rsid w:val="45A12443"/>
    <w:rsid w:val="45AB0B1A"/>
    <w:rsid w:val="45D978FB"/>
    <w:rsid w:val="45F50001"/>
    <w:rsid w:val="46444F13"/>
    <w:rsid w:val="47530D8B"/>
    <w:rsid w:val="477DCE1E"/>
    <w:rsid w:val="4790671F"/>
    <w:rsid w:val="47F63AAD"/>
    <w:rsid w:val="48A537E4"/>
    <w:rsid w:val="48C001F8"/>
    <w:rsid w:val="48DD6654"/>
    <w:rsid w:val="49FD709E"/>
    <w:rsid w:val="4A9B4D86"/>
    <w:rsid w:val="4B753DDB"/>
    <w:rsid w:val="4BB55BB1"/>
    <w:rsid w:val="4CE20950"/>
    <w:rsid w:val="4D6530F0"/>
    <w:rsid w:val="4DB037AE"/>
    <w:rsid w:val="4DB7083B"/>
    <w:rsid w:val="4E316139"/>
    <w:rsid w:val="4E555B35"/>
    <w:rsid w:val="4ED7347D"/>
    <w:rsid w:val="4FAB2688"/>
    <w:rsid w:val="4FB70E67"/>
    <w:rsid w:val="4FFFB134"/>
    <w:rsid w:val="50184A48"/>
    <w:rsid w:val="50396A6A"/>
    <w:rsid w:val="513101E7"/>
    <w:rsid w:val="52740950"/>
    <w:rsid w:val="52C445B6"/>
    <w:rsid w:val="53276F31"/>
    <w:rsid w:val="538A0F6C"/>
    <w:rsid w:val="53D00DC5"/>
    <w:rsid w:val="544D655E"/>
    <w:rsid w:val="550B6AC4"/>
    <w:rsid w:val="551F7602"/>
    <w:rsid w:val="552802DD"/>
    <w:rsid w:val="558B75F8"/>
    <w:rsid w:val="55A3322C"/>
    <w:rsid w:val="55A44CCC"/>
    <w:rsid w:val="56023EAA"/>
    <w:rsid w:val="573E1E21"/>
    <w:rsid w:val="57665E3E"/>
    <w:rsid w:val="580B41D7"/>
    <w:rsid w:val="585B6DFB"/>
    <w:rsid w:val="58980105"/>
    <w:rsid w:val="59427BE7"/>
    <w:rsid w:val="594B5A96"/>
    <w:rsid w:val="599843D4"/>
    <w:rsid w:val="599A2D73"/>
    <w:rsid w:val="59BA1C7B"/>
    <w:rsid w:val="5A140950"/>
    <w:rsid w:val="5A6D5FBD"/>
    <w:rsid w:val="5B2C3663"/>
    <w:rsid w:val="5B487E91"/>
    <w:rsid w:val="5B7E450C"/>
    <w:rsid w:val="5BD51B76"/>
    <w:rsid w:val="5BFFB150"/>
    <w:rsid w:val="5C053B8D"/>
    <w:rsid w:val="5CF9550F"/>
    <w:rsid w:val="5D0645A4"/>
    <w:rsid w:val="5D63479F"/>
    <w:rsid w:val="5DF5573B"/>
    <w:rsid w:val="5DFD2EFC"/>
    <w:rsid w:val="5E351E4F"/>
    <w:rsid w:val="5E5E5A85"/>
    <w:rsid w:val="5E74107D"/>
    <w:rsid w:val="5EFEBDE8"/>
    <w:rsid w:val="5FDFBB7E"/>
    <w:rsid w:val="5FE86F61"/>
    <w:rsid w:val="601406FA"/>
    <w:rsid w:val="60367020"/>
    <w:rsid w:val="6063291B"/>
    <w:rsid w:val="606D41D2"/>
    <w:rsid w:val="609C564D"/>
    <w:rsid w:val="60D76EC2"/>
    <w:rsid w:val="60EB4819"/>
    <w:rsid w:val="611F0829"/>
    <w:rsid w:val="617610C9"/>
    <w:rsid w:val="62010BC5"/>
    <w:rsid w:val="625641C6"/>
    <w:rsid w:val="626F5992"/>
    <w:rsid w:val="629728D3"/>
    <w:rsid w:val="62DB6D15"/>
    <w:rsid w:val="6330355C"/>
    <w:rsid w:val="64126EE6"/>
    <w:rsid w:val="643A551D"/>
    <w:rsid w:val="64810207"/>
    <w:rsid w:val="64F15F74"/>
    <w:rsid w:val="658720D0"/>
    <w:rsid w:val="66572B02"/>
    <w:rsid w:val="668A405D"/>
    <w:rsid w:val="66DF344D"/>
    <w:rsid w:val="67427785"/>
    <w:rsid w:val="67EC2059"/>
    <w:rsid w:val="67F99AAC"/>
    <w:rsid w:val="686A26B5"/>
    <w:rsid w:val="68CA2609"/>
    <w:rsid w:val="68CC1AED"/>
    <w:rsid w:val="68FE793C"/>
    <w:rsid w:val="690612CD"/>
    <w:rsid w:val="69584388"/>
    <w:rsid w:val="695E58AD"/>
    <w:rsid w:val="69BB0F42"/>
    <w:rsid w:val="69C52692"/>
    <w:rsid w:val="69E52719"/>
    <w:rsid w:val="6A1A34BD"/>
    <w:rsid w:val="6A637494"/>
    <w:rsid w:val="6AB47A4D"/>
    <w:rsid w:val="6B9D7D50"/>
    <w:rsid w:val="6BCF62E6"/>
    <w:rsid w:val="6BD90983"/>
    <w:rsid w:val="6CA1522E"/>
    <w:rsid w:val="6CBB680B"/>
    <w:rsid w:val="6CCB689E"/>
    <w:rsid w:val="6CD3A16D"/>
    <w:rsid w:val="6D4A6C85"/>
    <w:rsid w:val="6D535020"/>
    <w:rsid w:val="6D572910"/>
    <w:rsid w:val="6D6836BD"/>
    <w:rsid w:val="6D893680"/>
    <w:rsid w:val="6E5F49A6"/>
    <w:rsid w:val="6E9C15C8"/>
    <w:rsid w:val="6F535BF3"/>
    <w:rsid w:val="6FFF37D2"/>
    <w:rsid w:val="70DE2EF1"/>
    <w:rsid w:val="70F2694B"/>
    <w:rsid w:val="713D47DC"/>
    <w:rsid w:val="719D3201"/>
    <w:rsid w:val="723027DA"/>
    <w:rsid w:val="727A2AFC"/>
    <w:rsid w:val="72B140CA"/>
    <w:rsid w:val="72D43CB8"/>
    <w:rsid w:val="732158C5"/>
    <w:rsid w:val="73A042A0"/>
    <w:rsid w:val="7415226C"/>
    <w:rsid w:val="744E25B4"/>
    <w:rsid w:val="746020CE"/>
    <w:rsid w:val="753E7CC5"/>
    <w:rsid w:val="75511586"/>
    <w:rsid w:val="75906D56"/>
    <w:rsid w:val="75FA3364"/>
    <w:rsid w:val="768250C9"/>
    <w:rsid w:val="77780AAE"/>
    <w:rsid w:val="782B774E"/>
    <w:rsid w:val="78BE6229"/>
    <w:rsid w:val="79654FF6"/>
    <w:rsid w:val="79E3598E"/>
    <w:rsid w:val="7A217079"/>
    <w:rsid w:val="7A2B1937"/>
    <w:rsid w:val="7B78088D"/>
    <w:rsid w:val="7B8F662C"/>
    <w:rsid w:val="7BAC1CEE"/>
    <w:rsid w:val="7BCB7E2F"/>
    <w:rsid w:val="7C1B0150"/>
    <w:rsid w:val="7C481A6C"/>
    <w:rsid w:val="7C5F1D79"/>
    <w:rsid w:val="7C5F4108"/>
    <w:rsid w:val="7C7C1BE8"/>
    <w:rsid w:val="7CB425FA"/>
    <w:rsid w:val="7CEC43E5"/>
    <w:rsid w:val="7CF20FCF"/>
    <w:rsid w:val="7D046301"/>
    <w:rsid w:val="7D5FB1D6"/>
    <w:rsid w:val="7D744DB6"/>
    <w:rsid w:val="7D994E6C"/>
    <w:rsid w:val="7E9E2BDE"/>
    <w:rsid w:val="7EC4661E"/>
    <w:rsid w:val="7EF7A9EB"/>
    <w:rsid w:val="7F481B74"/>
    <w:rsid w:val="7F661D91"/>
    <w:rsid w:val="7F79C282"/>
    <w:rsid w:val="7F7B6CAE"/>
    <w:rsid w:val="7FA278B4"/>
    <w:rsid w:val="7FA453A5"/>
    <w:rsid w:val="7FA7D8E9"/>
    <w:rsid w:val="7FBF6DD0"/>
    <w:rsid w:val="7FCD17FE"/>
    <w:rsid w:val="7FD7E9A0"/>
    <w:rsid w:val="7FE9FBB2"/>
    <w:rsid w:val="7FFCE2DB"/>
    <w:rsid w:val="856F9EE8"/>
    <w:rsid w:val="8FFFA67E"/>
    <w:rsid w:val="A2FD9D73"/>
    <w:rsid w:val="A97F623E"/>
    <w:rsid w:val="AFBF8780"/>
    <w:rsid w:val="B7FB0A9D"/>
    <w:rsid w:val="BEEFCB4B"/>
    <w:rsid w:val="BFE4340C"/>
    <w:rsid w:val="BFE6F841"/>
    <w:rsid w:val="BFFBDBCA"/>
    <w:rsid w:val="D3EBE035"/>
    <w:rsid w:val="D5DE8897"/>
    <w:rsid w:val="DFFDA1A2"/>
    <w:rsid w:val="E7FE3684"/>
    <w:rsid w:val="E95E2A0D"/>
    <w:rsid w:val="EFFF70E4"/>
    <w:rsid w:val="F2BF2B6B"/>
    <w:rsid w:val="F7EEC240"/>
    <w:rsid w:val="F8EF3905"/>
    <w:rsid w:val="FBF75102"/>
    <w:rsid w:val="FDDC5620"/>
    <w:rsid w:val="FDEA700A"/>
    <w:rsid w:val="FFBFCE42"/>
    <w:rsid w:val="FFFF40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微软雅黑"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qFormat="1" w:unhideWhenUsed="0" w:uiPriority="99" w:semiHidden="0" w:name="toc 8"/>
    <w:lsdException w:unhideWhenUsed="0" w:uiPriority="99" w:semiHidden="0" w:name="toc 9"/>
    <w:lsdException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60" w:after="60"/>
      <w:jc w:val="both"/>
    </w:pPr>
    <w:rPr>
      <w:rFonts w:ascii="Arial" w:hAnsi="Arial" w:eastAsia="微软雅黑" w:cs="Arial"/>
      <w:color w:val="333333"/>
      <w:kern w:val="2"/>
      <w:sz w:val="22"/>
      <w:szCs w:val="24"/>
      <w:lang w:val="en-US" w:eastAsia="zh-CN" w:bidi="ar-SA"/>
    </w:rPr>
  </w:style>
  <w:style w:type="paragraph" w:styleId="3">
    <w:name w:val="heading 1"/>
    <w:basedOn w:val="1"/>
    <w:next w:val="1"/>
    <w:link w:val="38"/>
    <w:qFormat/>
    <w:uiPriority w:val="0"/>
    <w:pPr>
      <w:keepNext/>
      <w:keepLines/>
      <w:outlineLvl w:val="0"/>
    </w:pPr>
    <w:rPr>
      <w:b/>
      <w:kern w:val="44"/>
      <w:sz w:val="36"/>
    </w:rPr>
  </w:style>
  <w:style w:type="paragraph" w:styleId="4">
    <w:name w:val="heading 2"/>
    <w:basedOn w:val="1"/>
    <w:next w:val="1"/>
    <w:qFormat/>
    <w:uiPriority w:val="0"/>
    <w:pPr>
      <w:keepNext/>
      <w:keepLines/>
      <w:outlineLvl w:val="1"/>
    </w:pPr>
    <w:rPr>
      <w:b/>
      <w:sz w:val="32"/>
    </w:rPr>
  </w:style>
  <w:style w:type="paragraph" w:styleId="5">
    <w:name w:val="heading 3"/>
    <w:basedOn w:val="1"/>
    <w:next w:val="1"/>
    <w:qFormat/>
    <w:uiPriority w:val="0"/>
    <w:pPr>
      <w:keepNext/>
      <w:keepLines/>
      <w:outlineLvl w:val="2"/>
    </w:pPr>
    <w:rPr>
      <w:b/>
      <w:sz w:val="28"/>
    </w:rPr>
  </w:style>
  <w:style w:type="paragraph" w:styleId="6">
    <w:name w:val="heading 4"/>
    <w:basedOn w:val="1"/>
    <w:next w:val="1"/>
    <w:qFormat/>
    <w:uiPriority w:val="0"/>
    <w:pPr>
      <w:keepNext/>
      <w:keepLines/>
      <w:outlineLvl w:val="3"/>
    </w:pPr>
    <w:rPr>
      <w:b/>
      <w:sz w:val="24"/>
    </w:rPr>
  </w:style>
  <w:style w:type="paragraph" w:styleId="7">
    <w:name w:val="heading 5"/>
    <w:basedOn w:val="1"/>
    <w:next w:val="1"/>
    <w:qFormat/>
    <w:uiPriority w:val="0"/>
    <w:pPr>
      <w:keepNext/>
      <w:keepLines/>
      <w:spacing w:line="480" w:lineRule="auto"/>
      <w:outlineLvl w:val="4"/>
    </w:pPr>
    <w:rPr>
      <w:b/>
    </w:rPr>
  </w:style>
  <w:style w:type="paragraph" w:styleId="8">
    <w:name w:val="heading 6"/>
    <w:basedOn w:val="1"/>
    <w:next w:val="1"/>
    <w:qFormat/>
    <w:uiPriority w:val="0"/>
    <w:pPr>
      <w:keepNext/>
      <w:keepLines/>
      <w:spacing w:line="480" w:lineRule="auto"/>
      <w:outlineLvl w:val="5"/>
    </w:pPr>
    <w:rPr>
      <w:b/>
    </w:rPr>
  </w:style>
  <w:style w:type="paragraph" w:styleId="9">
    <w:name w:val="heading 7"/>
    <w:basedOn w:val="1"/>
    <w:next w:val="1"/>
    <w:unhideWhenUsed/>
    <w:qFormat/>
    <w:uiPriority w:val="0"/>
    <w:pPr>
      <w:keepNext/>
      <w:keepLines/>
      <w:spacing w:line="480" w:lineRule="auto"/>
      <w:outlineLvl w:val="6"/>
    </w:pPr>
    <w:rPr>
      <w:b/>
    </w:rPr>
  </w:style>
  <w:style w:type="paragraph" w:styleId="10">
    <w:name w:val="heading 8"/>
    <w:basedOn w:val="1"/>
    <w:next w:val="1"/>
    <w:unhideWhenUsed/>
    <w:qFormat/>
    <w:uiPriority w:val="0"/>
    <w:pPr>
      <w:keepNext/>
      <w:keepLines/>
      <w:spacing w:line="480" w:lineRule="auto"/>
      <w:outlineLvl w:val="7"/>
    </w:pPr>
    <w:rPr>
      <w:b/>
    </w:rPr>
  </w:style>
  <w:style w:type="paragraph" w:styleId="11">
    <w:name w:val="heading 9"/>
    <w:basedOn w:val="1"/>
    <w:next w:val="1"/>
    <w:unhideWhenUsed/>
    <w:qFormat/>
    <w:uiPriority w:val="0"/>
    <w:pPr>
      <w:keepNext/>
      <w:keepLines/>
      <w:spacing w:line="480" w:lineRule="auto"/>
      <w:outlineLvl w:val="8"/>
    </w:pPr>
    <w:rPr>
      <w:b/>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99"/>
    <w:pPr>
      <w:widowControl w:val="0"/>
      <w:ind w:firstLine="420" w:firstLineChars="200"/>
      <w:jc w:val="both"/>
    </w:pPr>
    <w:rPr>
      <w:rFonts w:ascii="Times New Roman" w:hAnsi="Times New Roman" w:eastAsia="仿宋_GB2312" w:cs="Times New Roman"/>
      <w:kern w:val="2"/>
      <w:sz w:val="30"/>
      <w:szCs w:val="30"/>
      <w:lang w:val="en-US" w:eastAsia="zh-CN" w:bidi="ar-SA"/>
    </w:rPr>
  </w:style>
  <w:style w:type="paragraph" w:styleId="12">
    <w:name w:val="annotation text"/>
    <w:basedOn w:val="1"/>
    <w:link w:val="34"/>
    <w:qFormat/>
    <w:uiPriority w:val="0"/>
    <w:pPr>
      <w:jc w:val="left"/>
    </w:pPr>
  </w:style>
  <w:style w:type="paragraph" w:styleId="13">
    <w:name w:val="toc 3"/>
    <w:basedOn w:val="1"/>
    <w:next w:val="1"/>
    <w:unhideWhenUsed/>
    <w:qFormat/>
    <w:uiPriority w:val="39"/>
    <w:pPr>
      <w:widowControl/>
      <w:spacing w:before="0" w:after="100" w:line="259" w:lineRule="auto"/>
      <w:ind w:left="440"/>
      <w:jc w:val="left"/>
    </w:pPr>
    <w:rPr>
      <w:rFonts w:cs="Times New Roman" w:asciiTheme="minorHAnsi" w:hAnsiTheme="minorHAnsi" w:eastAsiaTheme="minorEastAsia"/>
      <w:color w:val="auto"/>
      <w:kern w:val="0"/>
      <w:szCs w:val="22"/>
    </w:rPr>
  </w:style>
  <w:style w:type="paragraph" w:styleId="14">
    <w:name w:val="toc 8"/>
    <w:basedOn w:val="1"/>
    <w:next w:val="1"/>
    <w:qFormat/>
    <w:uiPriority w:val="99"/>
    <w:pPr>
      <w:ind w:left="2940" w:leftChars="1400"/>
    </w:pPr>
  </w:style>
  <w:style w:type="paragraph" w:styleId="15">
    <w:name w:val="Balloon Text"/>
    <w:basedOn w:val="1"/>
    <w:link w:val="35"/>
    <w:qFormat/>
    <w:uiPriority w:val="0"/>
    <w:pPr>
      <w:spacing w:before="0" w:after="0"/>
    </w:pPr>
    <w:rPr>
      <w:sz w:val="18"/>
      <w:szCs w:val="18"/>
    </w:rPr>
  </w:style>
  <w:style w:type="paragraph" w:styleId="16">
    <w:name w:val="footer"/>
    <w:basedOn w:val="1"/>
    <w:link w:val="37"/>
    <w:qFormat/>
    <w:uiPriority w:val="99"/>
    <w:pPr>
      <w:tabs>
        <w:tab w:val="center" w:pos="4153"/>
        <w:tab w:val="right" w:pos="8306"/>
      </w:tabs>
      <w:snapToGrid w:val="0"/>
      <w:jc w:val="center"/>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before="0" w:after="100" w:line="259" w:lineRule="auto"/>
      <w:jc w:val="left"/>
    </w:pPr>
    <w:rPr>
      <w:rFonts w:cs="Times New Roman" w:asciiTheme="minorHAnsi" w:hAnsiTheme="minorHAnsi" w:eastAsiaTheme="minorEastAsia"/>
      <w:color w:val="auto"/>
      <w:kern w:val="0"/>
      <w:szCs w:val="22"/>
    </w:rPr>
  </w:style>
  <w:style w:type="paragraph" w:styleId="19">
    <w:name w:val="Subtitle"/>
    <w:basedOn w:val="1"/>
    <w:next w:val="1"/>
    <w:link w:val="32"/>
    <w:qFormat/>
    <w:uiPriority w:val="0"/>
    <w:pPr>
      <w:jc w:val="center"/>
      <w:outlineLvl w:val="1"/>
    </w:pPr>
    <w:rPr>
      <w:rFonts w:cstheme="minorBidi"/>
      <w:b/>
      <w:bCs/>
      <w:kern w:val="28"/>
      <w:sz w:val="44"/>
      <w:szCs w:val="32"/>
    </w:rPr>
  </w:style>
  <w:style w:type="paragraph" w:styleId="20">
    <w:name w:val="toc 2"/>
    <w:basedOn w:val="1"/>
    <w:next w:val="1"/>
    <w:unhideWhenUsed/>
    <w:qFormat/>
    <w:uiPriority w:val="39"/>
    <w:pPr>
      <w:widowControl/>
      <w:spacing w:before="0" w:after="100" w:line="259" w:lineRule="auto"/>
      <w:ind w:left="220"/>
      <w:jc w:val="left"/>
    </w:pPr>
    <w:rPr>
      <w:rFonts w:cs="Times New Roman" w:asciiTheme="minorHAnsi" w:hAnsiTheme="minorHAnsi" w:eastAsiaTheme="minorEastAsia"/>
      <w:color w:val="auto"/>
      <w:kern w:val="0"/>
      <w:szCs w:val="22"/>
    </w:rPr>
  </w:style>
  <w:style w:type="paragraph" w:styleId="21">
    <w:name w:val="Normal (Web)"/>
    <w:basedOn w:val="1"/>
    <w:unhideWhenUsed/>
    <w:qFormat/>
    <w:uiPriority w:val="99"/>
    <w:pPr>
      <w:spacing w:before="100" w:beforeAutospacing="1" w:after="100" w:afterAutospacing="1"/>
      <w:jc w:val="left"/>
    </w:pPr>
    <w:rPr>
      <w:rFonts w:ascii="Calibri" w:hAnsi="Calibri" w:eastAsia="宋体" w:cs="Times New Roman"/>
      <w:color w:val="auto"/>
      <w:kern w:val="0"/>
      <w:sz w:val="24"/>
    </w:rPr>
  </w:style>
  <w:style w:type="paragraph" w:styleId="22">
    <w:name w:val="Title"/>
    <w:basedOn w:val="1"/>
    <w:next w:val="1"/>
    <w:link w:val="33"/>
    <w:qFormat/>
    <w:uiPriority w:val="0"/>
    <w:pPr>
      <w:jc w:val="center"/>
      <w:outlineLvl w:val="0"/>
    </w:pPr>
    <w:rPr>
      <w:rFonts w:cstheme="majorBidi"/>
      <w:b/>
      <w:bCs/>
      <w:sz w:val="48"/>
      <w:szCs w:val="32"/>
    </w:rPr>
  </w:style>
  <w:style w:type="paragraph" w:styleId="23">
    <w:name w:val="annotation subject"/>
    <w:basedOn w:val="12"/>
    <w:next w:val="12"/>
    <w:link w:val="40"/>
    <w:qFormat/>
    <w:uiPriority w:val="0"/>
    <w:rPr>
      <w:b/>
      <w:bCs/>
    </w:rPr>
  </w:style>
  <w:style w:type="table" w:styleId="25">
    <w:name w:val="Table Grid"/>
    <w:basedOn w:val="24"/>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27">
    <w:name w:val="Strong"/>
    <w:basedOn w:val="26"/>
    <w:qFormat/>
    <w:uiPriority w:val="22"/>
    <w:rPr>
      <w:b/>
      <w:bCs/>
    </w:rPr>
  </w:style>
  <w:style w:type="character" w:styleId="28">
    <w:name w:val="Hyperlink"/>
    <w:basedOn w:val="26"/>
    <w:qFormat/>
    <w:uiPriority w:val="99"/>
    <w:rPr>
      <w:color w:val="1E6FFF"/>
      <w:u w:val="single"/>
    </w:rPr>
  </w:style>
  <w:style w:type="character" w:styleId="29">
    <w:name w:val="annotation reference"/>
    <w:basedOn w:val="26"/>
    <w:qFormat/>
    <w:uiPriority w:val="0"/>
    <w:rPr>
      <w:sz w:val="21"/>
      <w:szCs w:val="21"/>
    </w:rPr>
  </w:style>
  <w:style w:type="character" w:customStyle="1" w:styleId="30">
    <w:name w:val="melo-codeblock-Base-theme-char"/>
    <w:qFormat/>
    <w:uiPriority w:val="99"/>
    <w:rPr>
      <w:rFonts w:ascii="Monaco" w:hAnsi="Monaco" w:eastAsia="Monaco" w:cs="Monaco"/>
      <w:color w:val="000000"/>
      <w:sz w:val="21"/>
    </w:rPr>
  </w:style>
  <w:style w:type="paragraph" w:customStyle="1" w:styleId="31">
    <w:name w:val="melo-codeblock-Base-theme-para"/>
    <w:qFormat/>
    <w:uiPriority w:val="99"/>
    <w:pPr>
      <w:snapToGrid w:val="0"/>
      <w:spacing w:line="360" w:lineRule="auto"/>
    </w:pPr>
    <w:rPr>
      <w:rFonts w:ascii="Monaco" w:hAnsi="Monaco" w:eastAsia="Monaco" w:cs="Monaco"/>
      <w:color w:val="000000"/>
      <w:sz w:val="21"/>
      <w:lang w:val="en-US" w:eastAsia="zh-CN" w:bidi="ar-SA"/>
    </w:rPr>
  </w:style>
  <w:style w:type="character" w:customStyle="1" w:styleId="32">
    <w:name w:val="副标题 字符"/>
    <w:basedOn w:val="26"/>
    <w:link w:val="19"/>
    <w:qFormat/>
    <w:uiPriority w:val="0"/>
    <w:rPr>
      <w:rFonts w:ascii="Arial" w:hAnsi="Arial" w:eastAsia="微软雅黑" w:cstheme="minorBidi"/>
      <w:b/>
      <w:bCs/>
      <w:kern w:val="28"/>
      <w:sz w:val="44"/>
      <w:szCs w:val="32"/>
    </w:rPr>
  </w:style>
  <w:style w:type="character" w:customStyle="1" w:styleId="33">
    <w:name w:val="标题 字符"/>
    <w:basedOn w:val="26"/>
    <w:link w:val="22"/>
    <w:qFormat/>
    <w:uiPriority w:val="0"/>
    <w:rPr>
      <w:rFonts w:ascii="Arial" w:hAnsi="Arial" w:eastAsia="微软雅黑" w:cstheme="majorBidi"/>
      <w:b/>
      <w:bCs/>
      <w:kern w:val="2"/>
      <w:sz w:val="48"/>
      <w:szCs w:val="32"/>
    </w:rPr>
  </w:style>
  <w:style w:type="character" w:customStyle="1" w:styleId="34">
    <w:name w:val="批注文字 字符"/>
    <w:basedOn w:val="26"/>
    <w:link w:val="12"/>
    <w:qFormat/>
    <w:uiPriority w:val="0"/>
    <w:rPr>
      <w:color w:val="333333"/>
      <w:kern w:val="2"/>
      <w:sz w:val="22"/>
      <w:szCs w:val="24"/>
    </w:rPr>
  </w:style>
  <w:style w:type="character" w:customStyle="1" w:styleId="35">
    <w:name w:val="批注框文本 字符"/>
    <w:basedOn w:val="26"/>
    <w:link w:val="15"/>
    <w:qFormat/>
    <w:uiPriority w:val="0"/>
    <w:rPr>
      <w:color w:val="333333"/>
      <w:kern w:val="2"/>
      <w:sz w:val="18"/>
      <w:szCs w:val="18"/>
    </w:rPr>
  </w:style>
  <w:style w:type="paragraph" w:customStyle="1" w:styleId="3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37">
    <w:name w:val="页脚 字符"/>
    <w:basedOn w:val="26"/>
    <w:link w:val="16"/>
    <w:qFormat/>
    <w:uiPriority w:val="99"/>
    <w:rPr>
      <w:color w:val="333333"/>
      <w:kern w:val="2"/>
      <w:sz w:val="18"/>
      <w:szCs w:val="18"/>
    </w:rPr>
  </w:style>
  <w:style w:type="character" w:customStyle="1" w:styleId="38">
    <w:name w:val="标题 1 字符"/>
    <w:basedOn w:val="26"/>
    <w:link w:val="3"/>
    <w:qFormat/>
    <w:uiPriority w:val="0"/>
    <w:rPr>
      <w:b/>
      <w:color w:val="333333"/>
      <w:kern w:val="44"/>
      <w:sz w:val="36"/>
      <w:szCs w:val="24"/>
    </w:rPr>
  </w:style>
  <w:style w:type="paragraph" w:customStyle="1" w:styleId="39">
    <w:name w:val="ds-markdown-paragraph"/>
    <w:basedOn w:val="1"/>
    <w:qFormat/>
    <w:uiPriority w:val="0"/>
    <w:pPr>
      <w:widowControl/>
      <w:spacing w:before="100" w:beforeAutospacing="1" w:after="100" w:afterAutospacing="1"/>
      <w:jc w:val="left"/>
    </w:pPr>
    <w:rPr>
      <w:rFonts w:ascii="宋体" w:hAnsi="宋体" w:eastAsia="宋体" w:cs="宋体"/>
      <w:color w:val="auto"/>
      <w:kern w:val="0"/>
      <w:sz w:val="24"/>
    </w:rPr>
  </w:style>
  <w:style w:type="character" w:customStyle="1" w:styleId="40">
    <w:name w:val="批注主题 字符"/>
    <w:basedOn w:val="34"/>
    <w:link w:val="23"/>
    <w:qFormat/>
    <w:uiPriority w:val="0"/>
    <w:rPr>
      <w:b/>
      <w:bCs/>
      <w:color w:val="333333"/>
      <w:kern w:val="2"/>
      <w:sz w:val="2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4030</Words>
  <Characters>22971</Characters>
  <Lines>191</Lines>
  <Paragraphs>53</Paragraphs>
  <TotalTime>7</TotalTime>
  <ScaleCrop>false</ScaleCrop>
  <LinksUpToDate>false</LinksUpToDate>
  <CharactersWithSpaces>26948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2025-11-25T22:06:00Z</dcterms:created>
  <dc:creator>钟文仁</dc:creator>
  <cp:lastModifiedBy>Administrator</cp:lastModifiedBy>
  <cp:lastPrinted>2025-11-27T13:56:00Z</cp:lastPrinted>
  <dcterms:modified xsi:type="dcterms:W3CDTF">2026-01-12T09:34:25Z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eyJoZGlkIjoiZWEzNWQwYzNkMjgxMWZhMGMzZGUzOTc1NDBhZWNlZDUiLCJ1c2VySWQiOiIyNzMwMDI5MDkifQ==</vt:lpwstr>
  </property>
  <property fmtid="{D5CDD505-2E9C-101B-9397-08002B2CF9AE}" pid="3" name="KSOProductBuildVer">
    <vt:lpwstr>2052-11.8.2.10972</vt:lpwstr>
  </property>
  <property fmtid="{D5CDD505-2E9C-101B-9397-08002B2CF9AE}" pid="4" name="ICV">
    <vt:lpwstr>B70C40CCF31A4187BF827D1AE4912626</vt:lpwstr>
  </property>
</Properties>
</file>