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rPr>
          <w:rFonts w:hint="eastAsia"/>
          <w:color w:val="auto"/>
          <w:highlight w:val="none"/>
        </w:rPr>
      </w:pPr>
    </w:p>
    <w:p>
      <w:pPr>
        <w:pStyle w:val="32"/>
        <w:rPr>
          <w:rFonts w:hint="eastAsia"/>
          <w:color w:val="auto"/>
          <w:highlight w:val="none"/>
        </w:rPr>
      </w:pPr>
    </w:p>
    <w:p>
      <w:pPr>
        <w:pStyle w:val="32"/>
        <w:rPr>
          <w:rFonts w:hint="eastAsia"/>
          <w:color w:val="auto"/>
          <w:highlight w:val="none"/>
        </w:rPr>
      </w:pPr>
    </w:p>
    <w:p>
      <w:pPr>
        <w:pStyle w:val="32"/>
        <w:rPr>
          <w:rFonts w:hint="eastAsia"/>
          <w:color w:val="auto"/>
          <w:highlight w:val="none"/>
        </w:rPr>
      </w:pPr>
    </w:p>
    <w:p>
      <w:pPr>
        <w:adjustRightInd w:val="0"/>
        <w:snapToGrid w:val="0"/>
        <w:spacing w:line="560" w:lineRule="exact"/>
        <w:jc w:val="center"/>
        <w:rPr>
          <w:rFonts w:hint="eastAsia" w:ascii="方正小标宋简体" w:hAnsi="方正小标宋简体" w:eastAsia="方正小标宋简体" w:cs="方正小标宋简体"/>
          <w:color w:val="auto"/>
          <w:kern w:val="0"/>
          <w:sz w:val="44"/>
          <w:szCs w:val="44"/>
          <w:highlight w:val="none"/>
        </w:rPr>
      </w:pPr>
      <w:bookmarkStart w:id="0" w:name="_Hlk216428032"/>
      <w:r>
        <w:rPr>
          <w:rFonts w:hint="eastAsia" w:ascii="方正小标宋简体" w:hAnsi="方正小标宋简体" w:eastAsia="方正小标宋简体" w:cs="方正小标宋简体"/>
          <w:color w:val="auto"/>
          <w:kern w:val="0"/>
          <w:sz w:val="44"/>
          <w:szCs w:val="44"/>
          <w:highlight w:val="none"/>
        </w:rPr>
        <w:t>延庆区</w:t>
      </w:r>
      <w:r>
        <w:rPr>
          <w:rFonts w:hint="default" w:ascii="Times New Roman" w:hAnsi="Times New Roman" w:eastAsia="方正小标宋简体" w:cs="Times New Roman"/>
          <w:b w:val="0"/>
          <w:bCs/>
          <w:color w:val="auto"/>
          <w:sz w:val="44"/>
          <w:szCs w:val="44"/>
          <w:highlight w:val="none"/>
          <w:lang w:eastAsia="zh-CN"/>
        </w:rPr>
        <w:t>“</w:t>
      </w:r>
      <w:r>
        <w:rPr>
          <w:rFonts w:hint="eastAsia" w:ascii="方正小标宋简体" w:hAnsi="方正小标宋简体" w:eastAsia="方正小标宋简体" w:cs="方正小标宋简体"/>
          <w:color w:val="auto"/>
          <w:kern w:val="0"/>
          <w:sz w:val="44"/>
          <w:szCs w:val="44"/>
          <w:highlight w:val="none"/>
        </w:rPr>
        <w:t>十五五</w:t>
      </w:r>
      <w:r>
        <w:rPr>
          <w:rFonts w:hint="default" w:ascii="Times New Roman" w:hAnsi="Times New Roman" w:eastAsia="方正小标宋简体" w:cs="Times New Roman"/>
          <w:color w:val="auto"/>
          <w:kern w:val="0"/>
          <w:sz w:val="44"/>
          <w:szCs w:val="44"/>
          <w:highlight w:val="none"/>
        </w:rPr>
        <w:t>”</w:t>
      </w:r>
      <w:r>
        <w:rPr>
          <w:rFonts w:hint="eastAsia" w:ascii="方正小标宋简体" w:hAnsi="方正小标宋简体" w:eastAsia="方正小标宋简体" w:cs="方正小标宋简体"/>
          <w:color w:val="auto"/>
          <w:kern w:val="0"/>
          <w:sz w:val="44"/>
          <w:szCs w:val="44"/>
          <w:highlight w:val="none"/>
        </w:rPr>
        <w:t>时期美丽延庆建设规划</w:t>
      </w:r>
    </w:p>
    <w:bookmarkEnd w:id="0"/>
    <w:p>
      <w:pPr>
        <w:adjustRightInd w:val="0"/>
        <w:snapToGrid w:val="0"/>
        <w:spacing w:line="560" w:lineRule="exact"/>
        <w:jc w:val="center"/>
        <w:rPr>
          <w:rFonts w:hint="eastAsia" w:ascii="方正小标宋简体" w:hAnsi="方正小标宋简体" w:eastAsia="方正小标宋简体" w:cs="方正小标宋简体"/>
          <w:color w:val="auto"/>
          <w:kern w:val="0"/>
          <w:sz w:val="44"/>
          <w:szCs w:val="44"/>
          <w:highlight w:val="none"/>
        </w:rPr>
      </w:pPr>
    </w:p>
    <w:p>
      <w:pPr>
        <w:adjustRightInd w:val="0"/>
        <w:snapToGrid w:val="0"/>
        <w:spacing w:line="560" w:lineRule="exact"/>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lang w:val="en-US" w:eastAsia="zh-CN"/>
        </w:rPr>
        <w:t>（征求意见）</w:t>
      </w:r>
    </w:p>
    <w:p>
      <w:pPr>
        <w:adjustRightInd w:val="0"/>
        <w:snapToGrid w:val="0"/>
        <w:spacing w:line="560" w:lineRule="exact"/>
        <w:jc w:val="center"/>
        <w:rPr>
          <w:rFonts w:hint="eastAsia" w:ascii="方正小标宋简体" w:hAnsi="方正小标宋简体" w:eastAsia="方正小标宋简体" w:cs="方正小标宋简体"/>
          <w:color w:val="auto"/>
          <w:kern w:val="0"/>
          <w:sz w:val="44"/>
          <w:szCs w:val="44"/>
          <w:highlight w:val="none"/>
        </w:rPr>
      </w:pPr>
    </w:p>
    <w:p>
      <w:pPr>
        <w:adjustRightInd w:val="0"/>
        <w:snapToGrid w:val="0"/>
        <w:spacing w:line="560" w:lineRule="exact"/>
        <w:jc w:val="center"/>
        <w:rPr>
          <w:rFonts w:hint="eastAsia" w:ascii="方正小标宋简体" w:hAnsi="方正小标宋简体" w:eastAsia="方正小标宋简体" w:cs="方正小标宋简体"/>
          <w:color w:val="auto"/>
          <w:kern w:val="0"/>
          <w:sz w:val="44"/>
          <w:szCs w:val="44"/>
          <w:highlight w:val="none"/>
        </w:rPr>
      </w:pPr>
    </w:p>
    <w:p>
      <w:pPr>
        <w:adjustRightInd w:val="0"/>
        <w:snapToGrid w:val="0"/>
        <w:spacing w:line="560" w:lineRule="exact"/>
        <w:jc w:val="center"/>
        <w:rPr>
          <w:rFonts w:hint="eastAsia" w:ascii="方正小标宋简体" w:hAnsi="方正小标宋简体" w:eastAsia="方正小标宋简体" w:cs="方正小标宋简体"/>
          <w:color w:val="auto"/>
          <w:kern w:val="0"/>
          <w:sz w:val="44"/>
          <w:szCs w:val="44"/>
          <w:highlight w:val="none"/>
        </w:rPr>
      </w:pPr>
    </w:p>
    <w:p>
      <w:pPr>
        <w:pStyle w:val="32"/>
        <w:ind w:firstLine="880"/>
        <w:rPr>
          <w:rFonts w:hint="eastAsia" w:ascii="方正小标宋简体" w:hAnsi="方正小标宋简体" w:eastAsia="方正小标宋简体" w:cs="方正小标宋简体"/>
          <w:color w:val="auto"/>
          <w:kern w:val="0"/>
          <w:sz w:val="44"/>
          <w:szCs w:val="44"/>
          <w:highlight w:val="none"/>
        </w:rPr>
      </w:pPr>
    </w:p>
    <w:p>
      <w:pPr>
        <w:pStyle w:val="32"/>
        <w:ind w:firstLine="880"/>
        <w:rPr>
          <w:rFonts w:hint="eastAsia" w:ascii="方正小标宋简体" w:hAnsi="方正小标宋简体" w:eastAsia="方正小标宋简体" w:cs="方正小标宋简体"/>
          <w:color w:val="auto"/>
          <w:kern w:val="0"/>
          <w:sz w:val="44"/>
          <w:szCs w:val="44"/>
          <w:highlight w:val="none"/>
        </w:rPr>
      </w:pPr>
    </w:p>
    <w:p>
      <w:pPr>
        <w:pStyle w:val="32"/>
        <w:ind w:firstLine="880"/>
        <w:rPr>
          <w:rFonts w:hint="eastAsia" w:ascii="方正小标宋简体" w:hAnsi="方正小标宋简体" w:eastAsia="方正小标宋简体" w:cs="方正小标宋简体"/>
          <w:color w:val="auto"/>
          <w:kern w:val="0"/>
          <w:sz w:val="44"/>
          <w:szCs w:val="44"/>
          <w:highlight w:val="none"/>
        </w:rPr>
      </w:pPr>
    </w:p>
    <w:p>
      <w:pPr>
        <w:pStyle w:val="32"/>
        <w:ind w:firstLine="880"/>
        <w:rPr>
          <w:rFonts w:hint="eastAsia" w:ascii="方正小标宋简体" w:hAnsi="方正小标宋简体" w:eastAsia="方正小标宋简体" w:cs="方正小标宋简体"/>
          <w:color w:val="auto"/>
          <w:kern w:val="0"/>
          <w:sz w:val="44"/>
          <w:szCs w:val="44"/>
          <w:highlight w:val="none"/>
        </w:rPr>
      </w:pPr>
    </w:p>
    <w:p>
      <w:pPr>
        <w:pStyle w:val="32"/>
        <w:ind w:firstLine="880"/>
        <w:rPr>
          <w:rFonts w:hint="eastAsia" w:ascii="方正小标宋简体" w:hAnsi="方正小标宋简体" w:eastAsia="方正小标宋简体" w:cs="方正小标宋简体"/>
          <w:color w:val="auto"/>
          <w:kern w:val="0"/>
          <w:sz w:val="44"/>
          <w:szCs w:val="44"/>
          <w:highlight w:val="none"/>
        </w:rPr>
      </w:pPr>
    </w:p>
    <w:p>
      <w:pPr>
        <w:pStyle w:val="32"/>
        <w:ind w:firstLine="880"/>
        <w:rPr>
          <w:rFonts w:hint="eastAsia" w:ascii="方正小标宋简体" w:hAnsi="方正小标宋简体" w:eastAsia="方正小标宋简体" w:cs="方正小标宋简体"/>
          <w:color w:val="auto"/>
          <w:kern w:val="0"/>
          <w:sz w:val="44"/>
          <w:szCs w:val="44"/>
          <w:highlight w:val="none"/>
        </w:rPr>
      </w:pPr>
    </w:p>
    <w:p>
      <w:pPr>
        <w:keepNext w:val="0"/>
        <w:keepLines w:val="0"/>
        <w:widowControl/>
        <w:suppressLineNumbers w:val="0"/>
        <w:ind w:left="0" w:leftChars="0" w:firstLine="0" w:firstLineChars="0"/>
        <w:jc w:val="center"/>
        <w:rPr>
          <w:rFonts w:ascii="华文仿宋" w:hAnsi="华文仿宋" w:eastAsia="华文仿宋" w:cs="华文仿宋"/>
          <w:b/>
          <w:bCs/>
          <w:color w:val="auto"/>
          <w:kern w:val="0"/>
          <w:sz w:val="30"/>
          <w:szCs w:val="30"/>
          <w:highlight w:val="none"/>
          <w:lang w:val="en-US" w:eastAsia="zh-CN" w:bidi="ar"/>
        </w:rPr>
      </w:pPr>
      <w:r>
        <w:rPr>
          <w:rFonts w:ascii="华文仿宋" w:hAnsi="华文仿宋" w:eastAsia="华文仿宋" w:cs="华文仿宋"/>
          <w:b/>
          <w:bCs/>
          <w:color w:val="auto"/>
          <w:kern w:val="0"/>
          <w:sz w:val="30"/>
          <w:szCs w:val="30"/>
          <w:highlight w:val="none"/>
          <w:lang w:val="en-US" w:eastAsia="zh-CN" w:bidi="ar"/>
        </w:rPr>
        <w:t>北京市延庆区人民政府</w:t>
      </w:r>
    </w:p>
    <w:p>
      <w:pPr>
        <w:pStyle w:val="15"/>
        <w:ind w:left="0" w:leftChars="0" w:firstLine="0" w:firstLineChars="0"/>
        <w:jc w:val="center"/>
        <w:rPr>
          <w:rFonts w:hint="default"/>
          <w:b/>
          <w:bCs/>
          <w:color w:val="auto"/>
          <w:highlight w:val="none"/>
          <w:lang w:val="en-US"/>
        </w:rPr>
      </w:pPr>
      <w:r>
        <w:rPr>
          <w:rFonts w:hint="eastAsia" w:ascii="华文仿宋" w:hAnsi="华文仿宋" w:eastAsia="华文仿宋" w:cs="华文仿宋"/>
          <w:b/>
          <w:bCs/>
          <w:color w:val="auto"/>
          <w:kern w:val="0"/>
          <w:sz w:val="30"/>
          <w:szCs w:val="30"/>
          <w:highlight w:val="none"/>
          <w:lang w:val="en-US" w:eastAsia="zh-CN" w:bidi="ar"/>
        </w:rPr>
        <w:t>2025年12月</w:t>
      </w:r>
    </w:p>
    <w:p>
      <w:pPr>
        <w:pStyle w:val="32"/>
        <w:ind w:firstLine="880"/>
        <w:rPr>
          <w:rFonts w:hint="eastAsia" w:ascii="方正小标宋简体" w:hAnsi="方正小标宋简体" w:eastAsia="方正小标宋简体" w:cs="方正小标宋简体"/>
          <w:color w:val="auto"/>
          <w:kern w:val="0"/>
          <w:sz w:val="44"/>
          <w:szCs w:val="44"/>
          <w:highlight w:val="none"/>
        </w:rPr>
        <w:sectPr>
          <w:pgSz w:w="11906" w:h="16838"/>
          <w:pgMar w:top="1440" w:right="1800" w:bottom="1440" w:left="1800" w:header="851" w:footer="992" w:gutter="0"/>
          <w:pgNumType w:fmt="numberInDash" w:start="1"/>
          <w:cols w:space="425" w:num="1"/>
          <w:docGrid w:type="lines" w:linePitch="312" w:charSpace="0"/>
        </w:sectPr>
      </w:pPr>
    </w:p>
    <w:p>
      <w:pPr>
        <w:pStyle w:val="23"/>
        <w:tabs>
          <w:tab w:val="right" w:leader="dot" w:pos="8296"/>
        </w:tabs>
        <w:spacing w:line="560" w:lineRule="exact"/>
        <w:jc w:val="center"/>
        <w:rPr>
          <w:rFonts w:hint="eastAsia" w:ascii="黑体" w:hAnsi="黑体" w:eastAsia="黑体"/>
          <w:bCs/>
          <w:color w:val="auto"/>
          <w:sz w:val="32"/>
          <w:szCs w:val="32"/>
          <w:highlight w:val="none"/>
        </w:rPr>
      </w:pPr>
      <w:r>
        <w:rPr>
          <w:rFonts w:hint="eastAsia" w:ascii="黑体" w:hAnsi="黑体" w:eastAsia="黑体"/>
          <w:bCs/>
          <w:color w:val="auto"/>
          <w:sz w:val="32"/>
          <w:szCs w:val="32"/>
          <w:highlight w:val="none"/>
        </w:rPr>
        <w:t>前 言</w:t>
      </w:r>
    </w:p>
    <w:p>
      <w:pPr>
        <w:pStyle w:val="23"/>
        <w:tabs>
          <w:tab w:val="right" w:leader="dot" w:pos="8296"/>
        </w:tabs>
        <w:spacing w:line="560" w:lineRule="exact"/>
        <w:ind w:firstLine="64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“十五五”时期是基本实现社会主义现代化夯实基础、全面发力的关键时期，是</w:t>
      </w:r>
      <w:bookmarkStart w:id="1" w:name="_Hlk215576748"/>
      <w:r>
        <w:rPr>
          <w:rFonts w:hint="eastAsia" w:ascii="仿宋_GB2312" w:hAnsi="仿宋_GB2312" w:eastAsia="仿宋_GB2312" w:cs="仿宋_GB2312"/>
          <w:bCs/>
          <w:color w:val="auto"/>
          <w:sz w:val="32"/>
          <w:szCs w:val="32"/>
          <w:highlight w:val="none"/>
        </w:rPr>
        <w:t>美丽中国建设取得新的重大进展的关键阶段</w:t>
      </w:r>
      <w:bookmarkEnd w:id="1"/>
      <w:r>
        <w:rPr>
          <w:rFonts w:hint="eastAsia" w:ascii="仿宋_GB2312" w:hAnsi="仿宋_GB2312" w:eastAsia="仿宋_GB2312" w:cs="仿宋_GB2312"/>
          <w:bCs/>
          <w:color w:val="auto"/>
          <w:sz w:val="32"/>
          <w:szCs w:val="32"/>
          <w:highlight w:val="none"/>
        </w:rPr>
        <w:t>，延庆区要坚持以习近平新时代中国特色社会主义思想特别是习近平生态文明思想为指导，立足生态涵养区功能定位，统筹绿色低碳发展、污染防治攻坚、生态系统保护、生态环境安全、生态成果转化、美丽标杆建设和治理能力提升，全面建设美丽延庆，加快推进人与自然和谐共生的现代化。</w:t>
      </w:r>
      <w:bookmarkStart w:id="2" w:name="_Hlk203939592"/>
    </w:p>
    <w:p>
      <w:pPr>
        <w:pStyle w:val="23"/>
        <w:tabs>
          <w:tab w:val="right" w:leader="dot" w:pos="8296"/>
        </w:tabs>
        <w:spacing w:line="560" w:lineRule="exact"/>
        <w:ind w:firstLine="640"/>
        <w:rPr>
          <w:color w:val="auto"/>
          <w:highlight w:val="none"/>
        </w:rPr>
      </w:pPr>
      <w:r>
        <w:rPr>
          <w:rFonts w:ascii="仿宋_GB2312" w:hAnsi="仿宋_GB2312" w:eastAsia="仿宋_GB2312" w:cs="仿宋_GB2312"/>
          <w:bCs/>
          <w:color w:val="auto"/>
          <w:sz w:val="32"/>
          <w:szCs w:val="32"/>
          <w:highlight w:val="none"/>
        </w:rPr>
        <w:tab/>
      </w:r>
      <w:r>
        <w:rPr>
          <w:rFonts w:hint="eastAsia" w:ascii="仿宋_GB2312" w:hAnsi="仿宋_GB2312" w:eastAsia="仿宋_GB2312" w:cs="仿宋_GB2312"/>
          <w:bCs/>
          <w:color w:val="auto"/>
          <w:sz w:val="32"/>
          <w:szCs w:val="32"/>
          <w:highlight w:val="none"/>
        </w:rPr>
        <w:t>本规划主要依据生态环境法律法规、</w:t>
      </w:r>
      <w:r>
        <w:rPr>
          <w:rFonts w:hint="eastAsia" w:ascii="仿宋_GB2312" w:hAnsi="仿宋_GB2312" w:eastAsia="仿宋_GB2312" w:cs="仿宋_GB2312"/>
          <w:color w:val="auto"/>
          <w:sz w:val="32"/>
          <w:szCs w:val="32"/>
          <w:highlight w:val="none"/>
        </w:rPr>
        <w:t>《中共北京市委 北京市人民政府关于全面建设美丽北京加快推进人与自然和谐共生的现代化的实施意见》《</w:t>
      </w:r>
      <w:r>
        <w:rPr>
          <w:rFonts w:ascii="仿宋_GB2312" w:hAnsi="仿宋_GB2312" w:eastAsia="仿宋_GB2312" w:cs="仿宋_GB2312"/>
          <w:color w:val="auto"/>
          <w:sz w:val="32"/>
          <w:szCs w:val="32"/>
          <w:highlight w:val="none"/>
        </w:rPr>
        <w:t>北京花园城市专项规划 (2023年—2035年)</w:t>
      </w:r>
      <w:r>
        <w:rPr>
          <w:rFonts w:hint="eastAsia" w:ascii="仿宋_GB2312" w:hAnsi="仿宋_GB2312" w:eastAsia="仿宋_GB2312" w:cs="仿宋_GB2312"/>
          <w:color w:val="auto"/>
          <w:sz w:val="32"/>
          <w:szCs w:val="32"/>
          <w:highlight w:val="none"/>
        </w:rPr>
        <w:t>》《中共北京市委关于制定北京市国民经济和社会发展第十五个五年规划的建议》《延庆分区规划（国土空间规划）（2017年-2035年）》《延庆区生态文明建设规划（2021-2035年）》《延庆区绿色低碳美丽城市建设方案（2024年-2035年）》</w:t>
      </w:r>
      <w:r>
        <w:rPr>
          <w:rFonts w:hint="eastAsia" w:ascii="仿宋_GB2312" w:hAnsi="仿宋_GB2312" w:eastAsia="仿宋_GB2312" w:cs="仿宋_GB2312"/>
          <w:bCs/>
          <w:color w:val="auto"/>
          <w:sz w:val="32"/>
          <w:szCs w:val="32"/>
          <w:highlight w:val="none"/>
        </w:rPr>
        <w:t>等编制。规划期限为2026-2030年。</w:t>
      </w:r>
      <w:bookmarkEnd w:id="2"/>
    </w:p>
    <w:p>
      <w:pPr>
        <w:spacing w:line="560" w:lineRule="exact"/>
        <w:rPr>
          <w:rFonts w:hint="eastAsia"/>
          <w:color w:val="auto"/>
          <w:highlight w:val="none"/>
        </w:rPr>
        <w:sectPr>
          <w:pgSz w:w="11906" w:h="16838"/>
          <w:pgMar w:top="1440" w:right="1800" w:bottom="1440" w:left="1800" w:header="851" w:footer="992" w:gutter="0"/>
          <w:pgNumType w:fmt="numberInDash" w:start="1"/>
          <w:cols w:space="425" w:num="1"/>
          <w:docGrid w:type="lines" w:linePitch="312" w:charSpace="0"/>
        </w:sectPr>
      </w:pPr>
    </w:p>
    <w:sdt>
      <w:sdtPr>
        <w:rPr>
          <w:rFonts w:hint="eastAsia" w:ascii="黑体" w:hAnsi="黑体" w:eastAsia="黑体" w:cs="Times New Roman"/>
          <w:bCs/>
          <w:color w:val="auto"/>
          <w:kern w:val="2"/>
          <w:sz w:val="32"/>
          <w:szCs w:val="32"/>
          <w:highlight w:val="none"/>
          <w:lang w:val="en-US" w:eastAsia="zh-CN" w:bidi="ar-SA"/>
        </w:rPr>
        <w:id w:val="147477247"/>
        <w15:color w:val="DBDBDB"/>
        <w:docPartObj>
          <w:docPartGallery w:val="Table of Contents"/>
          <w:docPartUnique/>
        </w:docPartObj>
      </w:sdtPr>
      <w:sdtEndPr>
        <w:rPr>
          <w:rFonts w:hint="eastAsia" w:ascii="Times New Roman" w:hAnsi="Times New Roman" w:eastAsia="黑体" w:cs="Times New Roman"/>
          <w:bCs/>
          <w:color w:val="auto"/>
          <w:kern w:val="2"/>
          <w:sz w:val="28"/>
          <w:szCs w:val="28"/>
          <w:highlight w:val="none"/>
          <w:lang w:val="en-US" w:eastAsia="zh-CN" w:bidi="ar-SA"/>
        </w:rPr>
      </w:sdtEndPr>
      <w:sdtContent>
        <w:p>
          <w:pPr>
            <w:pStyle w:val="23"/>
            <w:tabs>
              <w:tab w:val="right" w:leader="dot" w:pos="8296"/>
            </w:tabs>
            <w:spacing w:line="560" w:lineRule="exact"/>
            <w:rPr>
              <w:rFonts w:hint="eastAsia" w:ascii="黑体" w:hAnsi="黑体" w:eastAsia="黑体" w:cs="Times New Roman"/>
              <w:bCs/>
              <w:color w:val="auto"/>
              <w:sz w:val="32"/>
              <w:szCs w:val="32"/>
              <w:highlight w:val="none"/>
            </w:rPr>
          </w:pPr>
          <w:r>
            <w:rPr>
              <w:rFonts w:hint="eastAsia" w:ascii="黑体" w:hAnsi="黑体" w:eastAsia="黑体" w:cs="Times New Roman"/>
              <w:bCs/>
              <w:color w:val="auto"/>
              <w:kern w:val="2"/>
              <w:sz w:val="32"/>
              <w:szCs w:val="32"/>
              <w:highlight w:val="none"/>
              <w:lang w:val="en-US" w:eastAsia="zh-CN" w:bidi="ar-SA"/>
            </w:rPr>
            <w:t xml:space="preserve">                      </w:t>
          </w:r>
          <w:r>
            <w:rPr>
              <w:rFonts w:hint="eastAsia" w:ascii="黑体" w:hAnsi="黑体" w:eastAsia="黑体" w:cs="Times New Roman"/>
              <w:bCs/>
              <w:color w:val="auto"/>
              <w:sz w:val="32"/>
              <w:szCs w:val="32"/>
              <w:highlight w:val="none"/>
            </w:rPr>
            <w:t>目</w:t>
          </w:r>
          <w:r>
            <w:rPr>
              <w:rFonts w:hint="eastAsia" w:ascii="黑体" w:hAnsi="黑体" w:eastAsia="黑体" w:cs="Times New Roman"/>
              <w:bCs/>
              <w:color w:val="auto"/>
              <w:sz w:val="32"/>
              <w:szCs w:val="32"/>
              <w:highlight w:val="none"/>
              <w:lang w:val="en-US" w:eastAsia="zh-CN"/>
            </w:rPr>
            <w:t xml:space="preserve"> </w:t>
          </w:r>
          <w:r>
            <w:rPr>
              <w:rFonts w:hint="eastAsia" w:ascii="黑体" w:hAnsi="黑体" w:eastAsia="黑体" w:cs="Times New Roman"/>
              <w:bCs/>
              <w:color w:val="auto"/>
              <w:sz w:val="32"/>
              <w:szCs w:val="32"/>
              <w:highlight w:val="none"/>
            </w:rPr>
            <w:t>录</w:t>
          </w:r>
        </w:p>
        <w:p>
          <w:pPr>
            <w:pStyle w:val="23"/>
            <w:tabs>
              <w:tab w:val="right" w:leader="dot" w:pos="8306"/>
            </w:tabs>
            <w:spacing w:line="560" w:lineRule="exact"/>
            <w:rPr>
              <w:rFonts w:ascii="Times New Roman" w:hAnsi="Times New Roman"/>
              <w:color w:val="auto"/>
              <w:sz w:val="28"/>
              <w:szCs w:val="28"/>
              <w:highlight w:val="none"/>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TOC \o "1-2" \h \u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_Toc6313 </w:instrText>
          </w:r>
          <w:r>
            <w:rPr>
              <w:rFonts w:ascii="Times New Roman" w:hAnsi="Times New Roman"/>
              <w:color w:val="auto"/>
              <w:sz w:val="28"/>
              <w:szCs w:val="28"/>
              <w:highlight w:val="none"/>
            </w:rPr>
            <w:fldChar w:fldCharType="separate"/>
          </w:r>
          <w:r>
            <w:rPr>
              <w:rFonts w:hint="default" w:ascii="Times New Roman" w:hAnsi="Times New Roman" w:eastAsia="方正小标宋简体" w:cs="Times New Roman"/>
              <w:bCs/>
              <w:color w:val="auto"/>
              <w:kern w:val="44"/>
              <w:sz w:val="28"/>
              <w:szCs w:val="28"/>
              <w:highlight w:val="none"/>
            </w:rPr>
            <w:t>第一章 发展基础和面临形势</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_Toc6313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- 1 -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_Toc20950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一、“十四五”时期生态环境保护工作的主要成效</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_Toc20950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- 1 -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_Toc24278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二、“十五五”时期美丽延庆建设面临的新形势</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_Toc24278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- 9 -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3"/>
            <w:tabs>
              <w:tab w:val="right" w:leader="dot" w:pos="8306"/>
            </w:tabs>
            <w:spacing w:line="560" w:lineRule="exact"/>
            <w:rPr>
              <w:rFonts w:ascii="Times New Roman" w:hAnsi="Times New Roman"/>
              <w:color w:val="auto"/>
              <w:sz w:val="28"/>
              <w:szCs w:val="28"/>
              <w:highlight w:val="none"/>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_Toc21871 </w:instrText>
          </w:r>
          <w:r>
            <w:rPr>
              <w:rFonts w:ascii="Times New Roman" w:hAnsi="Times New Roman"/>
              <w:color w:val="auto"/>
              <w:sz w:val="28"/>
              <w:szCs w:val="28"/>
              <w:highlight w:val="none"/>
            </w:rPr>
            <w:fldChar w:fldCharType="separate"/>
          </w:r>
          <w:r>
            <w:rPr>
              <w:rFonts w:hint="default" w:ascii="Times New Roman" w:hAnsi="Times New Roman" w:eastAsia="方正小标宋简体" w:cs="Times New Roman"/>
              <w:bCs/>
              <w:color w:val="auto"/>
              <w:kern w:val="44"/>
              <w:sz w:val="28"/>
              <w:szCs w:val="28"/>
              <w:highlight w:val="none"/>
            </w:rPr>
            <w:t>第二章 规划指导思想、原则及目标</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_Toc21871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- 13 -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_Toc843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一、指导思想</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_Toc843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- 13 -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_Toc17775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二、规划原则</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_Toc17775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- 13 -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_Toc22991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三、规划目标</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_Toc22991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- 14 -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3"/>
            <w:tabs>
              <w:tab w:val="right" w:leader="dot" w:pos="8306"/>
            </w:tabs>
            <w:spacing w:line="560" w:lineRule="exact"/>
            <w:rPr>
              <w:rFonts w:ascii="Times New Roman" w:hAnsi="Times New Roman"/>
              <w:color w:val="auto"/>
              <w:sz w:val="28"/>
              <w:szCs w:val="28"/>
              <w:highlight w:val="none"/>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_Toc4730 </w:instrText>
          </w:r>
          <w:r>
            <w:rPr>
              <w:rFonts w:ascii="Times New Roman" w:hAnsi="Times New Roman"/>
              <w:color w:val="auto"/>
              <w:sz w:val="28"/>
              <w:szCs w:val="28"/>
              <w:highlight w:val="none"/>
            </w:rPr>
            <w:fldChar w:fldCharType="separate"/>
          </w:r>
          <w:r>
            <w:rPr>
              <w:rFonts w:hint="default" w:ascii="Times New Roman" w:hAnsi="Times New Roman" w:eastAsia="方正小标宋简体" w:cs="Times New Roman"/>
              <w:bCs/>
              <w:color w:val="auto"/>
              <w:kern w:val="44"/>
              <w:sz w:val="28"/>
              <w:szCs w:val="28"/>
              <w:highlight w:val="none"/>
            </w:rPr>
            <w:t>第三章 锚定双碳 加快推动发展方式绿色低碳转型</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_Toc4730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- 17 -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_Toc13443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一、积极稳妥推进碳达峰碳中和</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_Toc13443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- 17 -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_Toc8699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二、推动重点领域绿色低碳发展</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_Toc8699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- 18 -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_Toc30669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三、</w:t>
          </w:r>
          <w:r>
            <w:rPr>
              <w:rFonts w:hint="default" w:ascii="Times New Roman" w:hAnsi="Times New Roman" w:cs="Times New Roman" w:eastAsiaTheme="minorEastAsia"/>
              <w:bCs/>
              <w:color w:val="auto"/>
              <w:kern w:val="2"/>
              <w:sz w:val="28"/>
              <w:szCs w:val="28"/>
              <w:highlight w:val="none"/>
              <w:lang w:bidi="ar-SA"/>
            </w:rPr>
            <w:t>加强城市气候适应性建设</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_Toc30669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- 20 -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_Toc4308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四、强化综合保障和能力建设</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_Toc4308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- 23 -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3"/>
            <w:tabs>
              <w:tab w:val="right" w:leader="dot" w:pos="8306"/>
            </w:tabs>
            <w:spacing w:line="560" w:lineRule="exact"/>
            <w:rPr>
              <w:rFonts w:ascii="Times New Roman" w:hAnsi="Times New Roman"/>
              <w:color w:val="auto"/>
              <w:sz w:val="28"/>
              <w:szCs w:val="28"/>
              <w:highlight w:val="none"/>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_Toc22201 </w:instrText>
          </w:r>
          <w:r>
            <w:rPr>
              <w:rFonts w:ascii="Times New Roman" w:hAnsi="Times New Roman"/>
              <w:color w:val="auto"/>
              <w:sz w:val="28"/>
              <w:szCs w:val="28"/>
              <w:highlight w:val="none"/>
            </w:rPr>
            <w:fldChar w:fldCharType="separate"/>
          </w:r>
          <w:r>
            <w:rPr>
              <w:rFonts w:hint="default" w:ascii="Times New Roman" w:hAnsi="Times New Roman" w:eastAsia="方正小标宋简体" w:cs="Times New Roman"/>
              <w:bCs/>
              <w:color w:val="auto"/>
              <w:kern w:val="44"/>
              <w:sz w:val="28"/>
              <w:szCs w:val="28"/>
              <w:highlight w:val="none"/>
            </w:rPr>
            <w:t>第四章 攻坚克难 持续深入打好污染防治攻坚战</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_Toc22201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- 25 -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bCs/>
              <w:color w:val="auto"/>
              <w:sz w:val="28"/>
              <w:szCs w:val="28"/>
              <w:highlight w:val="none"/>
            </w:rPr>
          </w:pPr>
          <w:r>
            <w:rPr>
              <w:rFonts w:ascii="Times New Roman" w:hAnsi="Times New Roman" w:cs="Times New Roman"/>
              <w:bCs/>
              <w:color w:val="auto"/>
              <w:sz w:val="28"/>
              <w:szCs w:val="28"/>
              <w:highlight w:val="none"/>
            </w:rPr>
            <w:fldChar w:fldCharType="begin"/>
          </w:r>
          <w:r>
            <w:rPr>
              <w:rFonts w:ascii="Times New Roman" w:hAnsi="Times New Roman" w:cs="Times New Roman"/>
              <w:bCs/>
              <w:color w:val="auto"/>
              <w:sz w:val="28"/>
              <w:szCs w:val="28"/>
              <w:highlight w:val="none"/>
            </w:rPr>
            <w:instrText xml:space="preserve"> HYPERLINK \l _Toc28881 </w:instrText>
          </w:r>
          <w:r>
            <w:rPr>
              <w:rFonts w:ascii="Times New Roman" w:hAnsi="Times New Roman" w:cs="Times New Roman"/>
              <w:bCs/>
              <w:color w:val="auto"/>
              <w:sz w:val="28"/>
              <w:szCs w:val="28"/>
              <w:highlight w:val="none"/>
            </w:rPr>
            <w:fldChar w:fldCharType="separate"/>
          </w:r>
          <w:r>
            <w:rPr>
              <w:rFonts w:hint="default" w:ascii="Times New Roman" w:hAnsi="Times New Roman" w:cs="Times New Roman"/>
              <w:bCs/>
              <w:color w:val="auto"/>
              <w:sz w:val="28"/>
              <w:szCs w:val="28"/>
              <w:highlight w:val="none"/>
            </w:rPr>
            <w:t>一、以更高标准打好蓝天保卫战</w:t>
          </w:r>
          <w:r>
            <w:rPr>
              <w:rFonts w:ascii="Times New Roman" w:hAnsi="Times New Roman" w:cs="Times New Roman"/>
              <w:bCs/>
              <w:color w:val="auto"/>
              <w:sz w:val="28"/>
              <w:szCs w:val="28"/>
              <w:highlight w:val="none"/>
            </w:rPr>
            <w:tab/>
          </w:r>
          <w:r>
            <w:rPr>
              <w:rFonts w:ascii="Times New Roman" w:hAnsi="Times New Roman" w:cs="Times New Roman"/>
              <w:bCs/>
              <w:color w:val="auto"/>
              <w:sz w:val="28"/>
              <w:szCs w:val="28"/>
              <w:highlight w:val="none"/>
            </w:rPr>
            <w:fldChar w:fldCharType="begin"/>
          </w:r>
          <w:r>
            <w:rPr>
              <w:rFonts w:ascii="Times New Roman" w:hAnsi="Times New Roman" w:cs="Times New Roman"/>
              <w:bCs/>
              <w:color w:val="auto"/>
              <w:sz w:val="28"/>
              <w:szCs w:val="28"/>
              <w:highlight w:val="none"/>
            </w:rPr>
            <w:instrText xml:space="preserve"> PAGEREF _Toc28881 \h </w:instrText>
          </w:r>
          <w:r>
            <w:rPr>
              <w:rFonts w:ascii="Times New Roman" w:hAnsi="Times New Roman" w:cs="Times New Roman"/>
              <w:bCs/>
              <w:color w:val="auto"/>
              <w:sz w:val="28"/>
              <w:szCs w:val="28"/>
              <w:highlight w:val="none"/>
            </w:rPr>
            <w:fldChar w:fldCharType="separate"/>
          </w:r>
          <w:r>
            <w:rPr>
              <w:rFonts w:ascii="Times New Roman" w:hAnsi="Times New Roman" w:cs="Times New Roman"/>
              <w:bCs/>
              <w:color w:val="auto"/>
              <w:sz w:val="28"/>
              <w:szCs w:val="28"/>
              <w:highlight w:val="none"/>
            </w:rPr>
            <w:t>- 25 -</w:t>
          </w:r>
          <w:r>
            <w:rPr>
              <w:rFonts w:ascii="Times New Roman" w:hAnsi="Times New Roman" w:cs="Times New Roman"/>
              <w:bCs/>
              <w:color w:val="auto"/>
              <w:sz w:val="28"/>
              <w:szCs w:val="28"/>
              <w:highlight w:val="none"/>
            </w:rPr>
            <w:fldChar w:fldCharType="end"/>
          </w:r>
          <w:r>
            <w:rPr>
              <w:rFonts w:ascii="Times New Roman" w:hAnsi="Times New Roman" w:cs="Times New Roman"/>
              <w:bCs/>
              <w:color w:val="auto"/>
              <w:sz w:val="28"/>
              <w:szCs w:val="28"/>
              <w:highlight w:val="none"/>
            </w:rPr>
            <w:fldChar w:fldCharType="end"/>
          </w:r>
        </w:p>
        <w:p>
          <w:pPr>
            <w:pStyle w:val="27"/>
            <w:tabs>
              <w:tab w:val="right" w:leader="dot" w:pos="8306"/>
            </w:tabs>
            <w:spacing w:line="560" w:lineRule="exact"/>
            <w:rPr>
              <w:rFonts w:ascii="Times New Roman" w:hAnsi="Times New Roman" w:cs="Times New Roman"/>
              <w:bCs/>
              <w:color w:val="auto"/>
              <w:sz w:val="28"/>
              <w:szCs w:val="28"/>
              <w:highlight w:val="none"/>
            </w:rPr>
          </w:pPr>
          <w:r>
            <w:rPr>
              <w:rFonts w:ascii="Times New Roman" w:hAnsi="Times New Roman" w:cs="Times New Roman"/>
              <w:bCs/>
              <w:color w:val="auto"/>
              <w:sz w:val="28"/>
              <w:szCs w:val="28"/>
              <w:highlight w:val="none"/>
            </w:rPr>
            <w:fldChar w:fldCharType="begin"/>
          </w:r>
          <w:r>
            <w:rPr>
              <w:rFonts w:ascii="Times New Roman" w:hAnsi="Times New Roman" w:cs="Times New Roman"/>
              <w:bCs/>
              <w:color w:val="auto"/>
              <w:sz w:val="28"/>
              <w:szCs w:val="28"/>
              <w:highlight w:val="none"/>
            </w:rPr>
            <w:instrText xml:space="preserve"> HYPERLINK \l _Toc17185 </w:instrText>
          </w:r>
          <w:r>
            <w:rPr>
              <w:rFonts w:ascii="Times New Roman" w:hAnsi="Times New Roman" w:cs="Times New Roman"/>
              <w:bCs/>
              <w:color w:val="auto"/>
              <w:sz w:val="28"/>
              <w:szCs w:val="28"/>
              <w:highlight w:val="none"/>
            </w:rPr>
            <w:fldChar w:fldCharType="separate"/>
          </w:r>
          <w:r>
            <w:rPr>
              <w:rFonts w:hint="default" w:ascii="Times New Roman" w:hAnsi="Times New Roman" w:cs="Times New Roman"/>
              <w:bCs/>
              <w:color w:val="auto"/>
              <w:sz w:val="28"/>
              <w:szCs w:val="28"/>
              <w:highlight w:val="none"/>
            </w:rPr>
            <w:t>二、持续深入打好碧水保卫战</w:t>
          </w:r>
          <w:r>
            <w:rPr>
              <w:rFonts w:ascii="Times New Roman" w:hAnsi="Times New Roman" w:cs="Times New Roman"/>
              <w:bCs/>
              <w:color w:val="auto"/>
              <w:sz w:val="28"/>
              <w:szCs w:val="28"/>
              <w:highlight w:val="none"/>
            </w:rPr>
            <w:tab/>
          </w:r>
          <w:r>
            <w:rPr>
              <w:rFonts w:ascii="Times New Roman" w:hAnsi="Times New Roman" w:cs="Times New Roman"/>
              <w:bCs/>
              <w:color w:val="auto"/>
              <w:sz w:val="28"/>
              <w:szCs w:val="28"/>
              <w:highlight w:val="none"/>
            </w:rPr>
            <w:fldChar w:fldCharType="begin"/>
          </w:r>
          <w:r>
            <w:rPr>
              <w:rFonts w:ascii="Times New Roman" w:hAnsi="Times New Roman" w:cs="Times New Roman"/>
              <w:bCs/>
              <w:color w:val="auto"/>
              <w:sz w:val="28"/>
              <w:szCs w:val="28"/>
              <w:highlight w:val="none"/>
            </w:rPr>
            <w:instrText xml:space="preserve"> PAGEREF _Toc17185 \h </w:instrText>
          </w:r>
          <w:r>
            <w:rPr>
              <w:rFonts w:ascii="Times New Roman" w:hAnsi="Times New Roman" w:cs="Times New Roman"/>
              <w:bCs/>
              <w:color w:val="auto"/>
              <w:sz w:val="28"/>
              <w:szCs w:val="28"/>
              <w:highlight w:val="none"/>
            </w:rPr>
            <w:fldChar w:fldCharType="separate"/>
          </w:r>
          <w:r>
            <w:rPr>
              <w:rFonts w:ascii="Times New Roman" w:hAnsi="Times New Roman" w:cs="Times New Roman"/>
              <w:bCs/>
              <w:color w:val="auto"/>
              <w:sz w:val="28"/>
              <w:szCs w:val="28"/>
              <w:highlight w:val="none"/>
            </w:rPr>
            <w:t>- 31 -</w:t>
          </w:r>
          <w:r>
            <w:rPr>
              <w:rFonts w:ascii="Times New Roman" w:hAnsi="Times New Roman" w:cs="Times New Roman"/>
              <w:bCs/>
              <w:color w:val="auto"/>
              <w:sz w:val="28"/>
              <w:szCs w:val="28"/>
              <w:highlight w:val="none"/>
            </w:rPr>
            <w:fldChar w:fldCharType="end"/>
          </w:r>
          <w:r>
            <w:rPr>
              <w:rFonts w:ascii="Times New Roman" w:hAnsi="Times New Roman" w:cs="Times New Roman"/>
              <w:bCs/>
              <w:color w:val="auto"/>
              <w:sz w:val="28"/>
              <w:szCs w:val="28"/>
              <w:highlight w:val="none"/>
            </w:rPr>
            <w:fldChar w:fldCharType="end"/>
          </w:r>
        </w:p>
        <w:p>
          <w:pPr>
            <w:pStyle w:val="27"/>
            <w:tabs>
              <w:tab w:val="right" w:leader="dot" w:pos="8306"/>
            </w:tabs>
            <w:spacing w:line="560" w:lineRule="exact"/>
            <w:rPr>
              <w:rFonts w:ascii="Times New Roman" w:hAnsi="Times New Roman" w:cs="Times New Roman"/>
              <w:bCs/>
              <w:color w:val="auto"/>
              <w:sz w:val="28"/>
              <w:szCs w:val="28"/>
              <w:highlight w:val="none"/>
            </w:rPr>
          </w:pPr>
          <w:r>
            <w:rPr>
              <w:rFonts w:ascii="Times New Roman" w:hAnsi="Times New Roman" w:cs="Times New Roman"/>
              <w:bCs/>
              <w:color w:val="auto"/>
              <w:sz w:val="28"/>
              <w:szCs w:val="28"/>
              <w:highlight w:val="none"/>
            </w:rPr>
            <w:fldChar w:fldCharType="begin"/>
          </w:r>
          <w:r>
            <w:rPr>
              <w:rFonts w:ascii="Times New Roman" w:hAnsi="Times New Roman" w:cs="Times New Roman"/>
              <w:bCs/>
              <w:color w:val="auto"/>
              <w:sz w:val="28"/>
              <w:szCs w:val="28"/>
              <w:highlight w:val="none"/>
            </w:rPr>
            <w:instrText xml:space="preserve"> HYPERLINK \l _Toc32411 </w:instrText>
          </w:r>
          <w:r>
            <w:rPr>
              <w:rFonts w:ascii="Times New Roman" w:hAnsi="Times New Roman" w:cs="Times New Roman"/>
              <w:bCs/>
              <w:color w:val="auto"/>
              <w:sz w:val="28"/>
              <w:szCs w:val="28"/>
              <w:highlight w:val="none"/>
            </w:rPr>
            <w:fldChar w:fldCharType="separate"/>
          </w:r>
          <w:r>
            <w:rPr>
              <w:rFonts w:hint="default" w:ascii="Times New Roman" w:hAnsi="Times New Roman" w:cs="Times New Roman"/>
              <w:bCs/>
              <w:color w:val="auto"/>
              <w:sz w:val="28"/>
              <w:szCs w:val="28"/>
              <w:highlight w:val="none"/>
            </w:rPr>
            <w:t>三、持续深入打好净土保卫战</w:t>
          </w:r>
          <w:r>
            <w:rPr>
              <w:rFonts w:ascii="Times New Roman" w:hAnsi="Times New Roman" w:cs="Times New Roman"/>
              <w:bCs/>
              <w:color w:val="auto"/>
              <w:sz w:val="28"/>
              <w:szCs w:val="28"/>
              <w:highlight w:val="none"/>
            </w:rPr>
            <w:tab/>
          </w:r>
          <w:r>
            <w:rPr>
              <w:rFonts w:ascii="Times New Roman" w:hAnsi="Times New Roman" w:cs="Times New Roman"/>
              <w:bCs/>
              <w:color w:val="auto"/>
              <w:sz w:val="28"/>
              <w:szCs w:val="28"/>
              <w:highlight w:val="none"/>
            </w:rPr>
            <w:fldChar w:fldCharType="begin"/>
          </w:r>
          <w:r>
            <w:rPr>
              <w:rFonts w:ascii="Times New Roman" w:hAnsi="Times New Roman" w:cs="Times New Roman"/>
              <w:bCs/>
              <w:color w:val="auto"/>
              <w:sz w:val="28"/>
              <w:szCs w:val="28"/>
              <w:highlight w:val="none"/>
            </w:rPr>
            <w:instrText xml:space="preserve"> PAGEREF _Toc32411 \h </w:instrText>
          </w:r>
          <w:r>
            <w:rPr>
              <w:rFonts w:ascii="Times New Roman" w:hAnsi="Times New Roman" w:cs="Times New Roman"/>
              <w:bCs/>
              <w:color w:val="auto"/>
              <w:sz w:val="28"/>
              <w:szCs w:val="28"/>
              <w:highlight w:val="none"/>
            </w:rPr>
            <w:fldChar w:fldCharType="separate"/>
          </w:r>
          <w:r>
            <w:rPr>
              <w:rFonts w:ascii="Times New Roman" w:hAnsi="Times New Roman" w:cs="Times New Roman"/>
              <w:bCs/>
              <w:color w:val="auto"/>
              <w:sz w:val="28"/>
              <w:szCs w:val="28"/>
              <w:highlight w:val="none"/>
            </w:rPr>
            <w:t>- 36 -</w:t>
          </w:r>
          <w:r>
            <w:rPr>
              <w:rFonts w:ascii="Times New Roman" w:hAnsi="Times New Roman" w:cs="Times New Roman"/>
              <w:bCs/>
              <w:color w:val="auto"/>
              <w:sz w:val="28"/>
              <w:szCs w:val="28"/>
              <w:highlight w:val="none"/>
            </w:rPr>
            <w:fldChar w:fldCharType="end"/>
          </w:r>
          <w:r>
            <w:rPr>
              <w:rFonts w:ascii="Times New Roman" w:hAnsi="Times New Roman" w:cs="Times New Roman"/>
              <w:bCs/>
              <w:color w:val="auto"/>
              <w:sz w:val="28"/>
              <w:szCs w:val="28"/>
              <w:highlight w:val="none"/>
            </w:rPr>
            <w:fldChar w:fldCharType="end"/>
          </w:r>
        </w:p>
        <w:p>
          <w:pPr>
            <w:pStyle w:val="27"/>
            <w:tabs>
              <w:tab w:val="right" w:leader="dot" w:pos="8306"/>
            </w:tabs>
            <w:spacing w:line="560" w:lineRule="exact"/>
            <w:rPr>
              <w:rFonts w:ascii="Times New Roman" w:hAnsi="Times New Roman" w:cs="Times New Roman"/>
              <w:bCs/>
              <w:color w:val="auto"/>
              <w:sz w:val="28"/>
              <w:szCs w:val="28"/>
              <w:highlight w:val="none"/>
            </w:rPr>
          </w:pPr>
          <w:r>
            <w:rPr>
              <w:rFonts w:ascii="Times New Roman" w:hAnsi="Times New Roman" w:cs="Times New Roman"/>
              <w:bCs/>
              <w:color w:val="auto"/>
              <w:sz w:val="28"/>
              <w:szCs w:val="28"/>
              <w:highlight w:val="none"/>
            </w:rPr>
            <w:fldChar w:fldCharType="begin"/>
          </w:r>
          <w:r>
            <w:rPr>
              <w:rFonts w:ascii="Times New Roman" w:hAnsi="Times New Roman" w:cs="Times New Roman"/>
              <w:bCs/>
              <w:color w:val="auto"/>
              <w:sz w:val="28"/>
              <w:szCs w:val="28"/>
              <w:highlight w:val="none"/>
            </w:rPr>
            <w:instrText xml:space="preserve"> HYPERLINK \l _Toc14430 </w:instrText>
          </w:r>
          <w:r>
            <w:rPr>
              <w:rFonts w:ascii="Times New Roman" w:hAnsi="Times New Roman" w:cs="Times New Roman"/>
              <w:bCs/>
              <w:color w:val="auto"/>
              <w:sz w:val="28"/>
              <w:szCs w:val="28"/>
              <w:highlight w:val="none"/>
            </w:rPr>
            <w:fldChar w:fldCharType="separate"/>
          </w:r>
          <w:r>
            <w:rPr>
              <w:rFonts w:hint="default" w:ascii="Times New Roman" w:hAnsi="Times New Roman" w:cs="Times New Roman"/>
              <w:bCs/>
              <w:color w:val="auto"/>
              <w:sz w:val="28"/>
              <w:szCs w:val="28"/>
              <w:highlight w:val="none"/>
            </w:rPr>
            <w:t>四、深化噪声、异味、光污染</w:t>
          </w:r>
          <w:r>
            <w:rPr>
              <w:rFonts w:hint="default" w:ascii="Times New Roman" w:hAnsi="Times New Roman" w:cs="Times New Roman"/>
              <w:bCs/>
              <w:color w:val="auto"/>
              <w:spacing w:val="0"/>
              <w:sz w:val="28"/>
              <w:szCs w:val="28"/>
              <w:highlight w:val="none"/>
              <w:lang w:eastAsia="zh-CN"/>
            </w:rPr>
            <w:t>治理</w:t>
          </w:r>
          <w:r>
            <w:rPr>
              <w:rFonts w:ascii="Times New Roman" w:hAnsi="Times New Roman" w:cs="Times New Roman"/>
              <w:bCs/>
              <w:color w:val="auto"/>
              <w:sz w:val="28"/>
              <w:szCs w:val="28"/>
              <w:highlight w:val="none"/>
            </w:rPr>
            <w:tab/>
          </w:r>
          <w:r>
            <w:rPr>
              <w:rFonts w:ascii="Times New Roman" w:hAnsi="Times New Roman" w:cs="Times New Roman"/>
              <w:bCs/>
              <w:color w:val="auto"/>
              <w:sz w:val="28"/>
              <w:szCs w:val="28"/>
              <w:highlight w:val="none"/>
            </w:rPr>
            <w:fldChar w:fldCharType="begin"/>
          </w:r>
          <w:r>
            <w:rPr>
              <w:rFonts w:ascii="Times New Roman" w:hAnsi="Times New Roman" w:cs="Times New Roman"/>
              <w:bCs/>
              <w:color w:val="auto"/>
              <w:sz w:val="28"/>
              <w:szCs w:val="28"/>
              <w:highlight w:val="none"/>
            </w:rPr>
            <w:instrText xml:space="preserve"> PAGEREF _Toc14430 \h </w:instrText>
          </w:r>
          <w:r>
            <w:rPr>
              <w:rFonts w:ascii="Times New Roman" w:hAnsi="Times New Roman" w:cs="Times New Roman"/>
              <w:bCs/>
              <w:color w:val="auto"/>
              <w:sz w:val="28"/>
              <w:szCs w:val="28"/>
              <w:highlight w:val="none"/>
            </w:rPr>
            <w:fldChar w:fldCharType="separate"/>
          </w:r>
          <w:r>
            <w:rPr>
              <w:rFonts w:ascii="Times New Roman" w:hAnsi="Times New Roman" w:cs="Times New Roman"/>
              <w:bCs/>
              <w:color w:val="auto"/>
              <w:sz w:val="28"/>
              <w:szCs w:val="28"/>
              <w:highlight w:val="none"/>
            </w:rPr>
            <w:t>- 39 -</w:t>
          </w:r>
          <w:r>
            <w:rPr>
              <w:rFonts w:ascii="Times New Roman" w:hAnsi="Times New Roman" w:cs="Times New Roman"/>
              <w:bCs/>
              <w:color w:val="auto"/>
              <w:sz w:val="28"/>
              <w:szCs w:val="28"/>
              <w:highlight w:val="none"/>
            </w:rPr>
            <w:fldChar w:fldCharType="end"/>
          </w:r>
          <w:r>
            <w:rPr>
              <w:rFonts w:ascii="Times New Roman" w:hAnsi="Times New Roman" w:cs="Times New Roman"/>
              <w:bCs/>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bCs/>
              <w:color w:val="auto"/>
              <w:sz w:val="28"/>
              <w:szCs w:val="28"/>
              <w:highlight w:val="none"/>
            </w:rPr>
            <w:fldChar w:fldCharType="begin"/>
          </w:r>
          <w:r>
            <w:rPr>
              <w:rFonts w:ascii="Times New Roman" w:hAnsi="Times New Roman" w:cs="Times New Roman"/>
              <w:bCs/>
              <w:color w:val="auto"/>
              <w:sz w:val="28"/>
              <w:szCs w:val="28"/>
              <w:highlight w:val="none"/>
            </w:rPr>
            <w:instrText xml:space="preserve"> HYPERLINK \l _Toc31792 </w:instrText>
          </w:r>
          <w:r>
            <w:rPr>
              <w:rFonts w:ascii="Times New Roman" w:hAnsi="Times New Roman" w:cs="Times New Roman"/>
              <w:bCs/>
              <w:color w:val="auto"/>
              <w:sz w:val="28"/>
              <w:szCs w:val="28"/>
              <w:highlight w:val="none"/>
            </w:rPr>
            <w:fldChar w:fldCharType="separate"/>
          </w:r>
          <w:r>
            <w:rPr>
              <w:rFonts w:hint="default" w:ascii="Times New Roman" w:hAnsi="Times New Roman" w:cs="Times New Roman"/>
              <w:bCs/>
              <w:color w:val="auto"/>
              <w:sz w:val="28"/>
              <w:szCs w:val="28"/>
              <w:highlight w:val="none"/>
            </w:rPr>
            <w:t>五、全域推进"无废城市"建设</w:t>
          </w:r>
          <w:r>
            <w:rPr>
              <w:rFonts w:ascii="Times New Roman" w:hAnsi="Times New Roman" w:cs="Times New Roman"/>
              <w:bCs/>
              <w:color w:val="auto"/>
              <w:sz w:val="28"/>
              <w:szCs w:val="28"/>
              <w:highlight w:val="none"/>
            </w:rPr>
            <w:tab/>
          </w:r>
          <w:r>
            <w:rPr>
              <w:rFonts w:ascii="Times New Roman" w:hAnsi="Times New Roman" w:cs="Times New Roman"/>
              <w:bCs/>
              <w:color w:val="auto"/>
              <w:sz w:val="28"/>
              <w:szCs w:val="28"/>
              <w:highlight w:val="none"/>
            </w:rPr>
            <w:fldChar w:fldCharType="begin"/>
          </w:r>
          <w:r>
            <w:rPr>
              <w:rFonts w:ascii="Times New Roman" w:hAnsi="Times New Roman" w:cs="Times New Roman"/>
              <w:bCs/>
              <w:color w:val="auto"/>
              <w:sz w:val="28"/>
              <w:szCs w:val="28"/>
              <w:highlight w:val="none"/>
            </w:rPr>
            <w:instrText xml:space="preserve"> PAGEREF _Toc31792 \h </w:instrText>
          </w:r>
          <w:r>
            <w:rPr>
              <w:rFonts w:ascii="Times New Roman" w:hAnsi="Times New Roman" w:cs="Times New Roman"/>
              <w:bCs/>
              <w:color w:val="auto"/>
              <w:sz w:val="28"/>
              <w:szCs w:val="28"/>
              <w:highlight w:val="none"/>
            </w:rPr>
            <w:fldChar w:fldCharType="separate"/>
          </w:r>
          <w:r>
            <w:rPr>
              <w:rFonts w:ascii="Times New Roman" w:hAnsi="Times New Roman" w:cs="Times New Roman"/>
              <w:bCs/>
              <w:color w:val="auto"/>
              <w:sz w:val="28"/>
              <w:szCs w:val="28"/>
              <w:highlight w:val="none"/>
            </w:rPr>
            <w:t>- 41 -</w:t>
          </w:r>
          <w:r>
            <w:rPr>
              <w:rFonts w:ascii="Times New Roman" w:hAnsi="Times New Roman" w:cs="Times New Roman"/>
              <w:bCs/>
              <w:color w:val="auto"/>
              <w:sz w:val="28"/>
              <w:szCs w:val="28"/>
              <w:highlight w:val="none"/>
            </w:rPr>
            <w:fldChar w:fldCharType="end"/>
          </w:r>
          <w:r>
            <w:rPr>
              <w:rFonts w:ascii="Times New Roman" w:hAnsi="Times New Roman" w:cs="Times New Roman"/>
              <w:bCs/>
              <w:color w:val="auto"/>
              <w:sz w:val="28"/>
              <w:szCs w:val="28"/>
              <w:highlight w:val="none"/>
            </w:rPr>
            <w:fldChar w:fldCharType="end"/>
          </w:r>
        </w:p>
        <w:p>
          <w:pPr>
            <w:pStyle w:val="23"/>
            <w:tabs>
              <w:tab w:val="right" w:leader="dot" w:pos="8306"/>
            </w:tabs>
            <w:spacing w:line="560" w:lineRule="exact"/>
            <w:rPr>
              <w:rFonts w:ascii="Times New Roman" w:hAnsi="Times New Roman"/>
              <w:color w:val="auto"/>
              <w:sz w:val="28"/>
              <w:szCs w:val="28"/>
              <w:highlight w:val="none"/>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_Toc31834 </w:instrText>
          </w:r>
          <w:r>
            <w:rPr>
              <w:rFonts w:ascii="Times New Roman" w:hAnsi="Times New Roman"/>
              <w:color w:val="auto"/>
              <w:sz w:val="28"/>
              <w:szCs w:val="28"/>
              <w:highlight w:val="none"/>
            </w:rPr>
            <w:fldChar w:fldCharType="separate"/>
          </w:r>
          <w:r>
            <w:rPr>
              <w:rFonts w:hint="default" w:ascii="Times New Roman" w:hAnsi="Times New Roman" w:eastAsia="方正小标宋简体" w:cs="Times New Roman"/>
              <w:bCs/>
              <w:color w:val="auto"/>
              <w:kern w:val="44"/>
              <w:sz w:val="28"/>
              <w:szCs w:val="28"/>
              <w:highlight w:val="none"/>
            </w:rPr>
            <w:t>第五章 生态筑基 夯实生态系统多样性稳定性持续性</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_Toc31834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- 43 -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_Toc31789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一、</w:t>
          </w:r>
          <w:r>
            <w:rPr>
              <w:rFonts w:hint="default" w:ascii="Times New Roman" w:hAnsi="Times New Roman" w:cs="Times New Roman"/>
              <w:bCs/>
              <w:color w:val="auto"/>
              <w:sz w:val="28"/>
              <w:szCs w:val="28"/>
              <w:highlight w:val="none"/>
              <w:lang w:eastAsia="zh-CN"/>
            </w:rPr>
            <w:t>持续提升</w:t>
          </w:r>
          <w:r>
            <w:rPr>
              <w:rFonts w:hint="default" w:ascii="Times New Roman" w:hAnsi="Times New Roman" w:cs="Times New Roman"/>
              <w:bCs/>
              <w:color w:val="auto"/>
              <w:sz w:val="28"/>
              <w:szCs w:val="28"/>
              <w:highlight w:val="none"/>
            </w:rPr>
            <w:t>生态系统多样性</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_Toc31789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- 43 -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_Toc4653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二、</w:t>
          </w:r>
          <w:r>
            <w:rPr>
              <w:rFonts w:hint="default" w:ascii="Times New Roman" w:hAnsi="Times New Roman" w:cs="Times New Roman"/>
              <w:bCs/>
              <w:color w:val="auto"/>
              <w:sz w:val="28"/>
              <w:szCs w:val="28"/>
              <w:highlight w:val="none"/>
              <w:lang w:eastAsia="zh-CN"/>
            </w:rPr>
            <w:t>切实</w:t>
          </w:r>
          <w:r>
            <w:rPr>
              <w:rFonts w:hint="default" w:ascii="Times New Roman" w:hAnsi="Times New Roman" w:cs="Times New Roman"/>
              <w:bCs/>
              <w:color w:val="auto"/>
              <w:sz w:val="28"/>
              <w:szCs w:val="28"/>
              <w:highlight w:val="none"/>
            </w:rPr>
            <w:t>维护生态系统稳定性</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_Toc4653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- 44 -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_Toc3189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三、</w:t>
          </w:r>
          <w:r>
            <w:rPr>
              <w:rFonts w:hint="default" w:ascii="Times New Roman" w:hAnsi="Times New Roman" w:cs="Times New Roman"/>
              <w:bCs/>
              <w:color w:val="auto"/>
              <w:sz w:val="28"/>
              <w:szCs w:val="28"/>
              <w:highlight w:val="none"/>
              <w:lang w:eastAsia="zh-CN"/>
            </w:rPr>
            <w:t>全面增强</w:t>
          </w:r>
          <w:r>
            <w:rPr>
              <w:rFonts w:hint="default" w:ascii="Times New Roman" w:hAnsi="Times New Roman" w:cs="Times New Roman"/>
              <w:bCs/>
              <w:color w:val="auto"/>
              <w:sz w:val="28"/>
              <w:szCs w:val="28"/>
              <w:highlight w:val="none"/>
            </w:rPr>
            <w:t>生态系统持续性</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_Toc3189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- 45 -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3"/>
            <w:tabs>
              <w:tab w:val="right" w:leader="dot" w:pos="8306"/>
            </w:tabs>
            <w:spacing w:line="560" w:lineRule="exact"/>
            <w:rPr>
              <w:rFonts w:ascii="Times New Roman" w:hAnsi="Times New Roman"/>
              <w:color w:val="auto"/>
              <w:sz w:val="28"/>
              <w:szCs w:val="28"/>
              <w:highlight w:val="none"/>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_Toc12977 </w:instrText>
          </w:r>
          <w:r>
            <w:rPr>
              <w:rFonts w:ascii="Times New Roman" w:hAnsi="Times New Roman"/>
              <w:color w:val="auto"/>
              <w:sz w:val="28"/>
              <w:szCs w:val="28"/>
              <w:highlight w:val="none"/>
            </w:rPr>
            <w:fldChar w:fldCharType="separate"/>
          </w:r>
          <w:r>
            <w:rPr>
              <w:rFonts w:hint="default" w:ascii="Times New Roman" w:hAnsi="Times New Roman" w:eastAsia="方正小标宋简体" w:cs="Times New Roman"/>
              <w:bCs/>
              <w:color w:val="auto"/>
              <w:kern w:val="44"/>
              <w:sz w:val="28"/>
              <w:szCs w:val="28"/>
              <w:highlight w:val="none"/>
            </w:rPr>
            <w:t>第六章 守正创新 促进生态产品价值转化</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_Toc12977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- 47 -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_Toc25333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一、保证调节服务功能不降低</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_Toc25333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- 47 -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_Toc689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二、提升生态产品供给能力</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_Toc689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- 48 -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_Toc1425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三、健全生态产品应用机制</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_Toc1425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- 49 -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_Toc15268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四、推动生态产业提质增效</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_Toc15268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- 51 -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3"/>
            <w:tabs>
              <w:tab w:val="right" w:leader="dot" w:pos="8306"/>
            </w:tabs>
            <w:spacing w:line="560" w:lineRule="exact"/>
            <w:rPr>
              <w:rFonts w:ascii="Times New Roman" w:hAnsi="Times New Roman"/>
              <w:color w:val="auto"/>
              <w:sz w:val="28"/>
              <w:szCs w:val="28"/>
              <w:highlight w:val="none"/>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_Toc28293 </w:instrText>
          </w:r>
          <w:r>
            <w:rPr>
              <w:rFonts w:ascii="Times New Roman" w:hAnsi="Times New Roman"/>
              <w:color w:val="auto"/>
              <w:sz w:val="28"/>
              <w:szCs w:val="28"/>
              <w:highlight w:val="none"/>
            </w:rPr>
            <w:fldChar w:fldCharType="separate"/>
          </w:r>
          <w:r>
            <w:rPr>
              <w:rFonts w:hint="default" w:ascii="Times New Roman" w:hAnsi="Times New Roman" w:eastAsia="方正小标宋简体" w:cs="Times New Roman"/>
              <w:bCs/>
              <w:color w:val="auto"/>
              <w:kern w:val="44"/>
              <w:sz w:val="28"/>
              <w:szCs w:val="28"/>
              <w:highlight w:val="none"/>
            </w:rPr>
            <w:t>第七章 严守底线 全力保障区域生态环境安全</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_Toc28293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- 53 -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_Toc25352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一、健全区域生态安全体系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_Toc25352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- 53 -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_Toc30907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二、有力维护生物安全</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_Toc30907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- 53 -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_Toc19936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三、严格防控环境风险</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_Toc19936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- 55 -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_Toc31717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四、强化防沙带建设</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_Toc31717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- 57 -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3"/>
            <w:tabs>
              <w:tab w:val="right" w:leader="dot" w:pos="8306"/>
            </w:tabs>
            <w:spacing w:line="560" w:lineRule="exact"/>
            <w:rPr>
              <w:rFonts w:ascii="Times New Roman" w:hAnsi="Times New Roman"/>
              <w:color w:val="auto"/>
              <w:sz w:val="28"/>
              <w:szCs w:val="28"/>
              <w:highlight w:val="none"/>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_Toc22758 </w:instrText>
          </w:r>
          <w:r>
            <w:rPr>
              <w:rFonts w:ascii="Times New Roman" w:hAnsi="Times New Roman"/>
              <w:color w:val="auto"/>
              <w:sz w:val="28"/>
              <w:szCs w:val="28"/>
              <w:highlight w:val="none"/>
            </w:rPr>
            <w:fldChar w:fldCharType="separate"/>
          </w:r>
          <w:r>
            <w:rPr>
              <w:rFonts w:hint="default" w:ascii="Times New Roman" w:hAnsi="Times New Roman" w:eastAsia="方正小标宋简体" w:cs="Times New Roman"/>
              <w:bCs/>
              <w:color w:val="auto"/>
              <w:kern w:val="44"/>
              <w:sz w:val="28"/>
              <w:szCs w:val="28"/>
              <w:highlight w:val="none"/>
            </w:rPr>
            <w:t>第八章 示范引领 打造美丽北京建设标杆</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_Toc22758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- 58 -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_Toc32354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一、积极开展美丽城市建设</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_Toc32354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- 58 -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_Toc17252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二、持续深化美丽乡村建设</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_Toc17252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- 59 -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_Toc21291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三、大力推广美丽细胞示范</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_Toc21291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- 60 -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_Toc18909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四、推进建设京津冀美丽中国先行区</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_Toc18909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- 61 -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3"/>
            <w:tabs>
              <w:tab w:val="right" w:leader="dot" w:pos="8306"/>
            </w:tabs>
            <w:spacing w:line="560" w:lineRule="exact"/>
            <w:rPr>
              <w:rFonts w:ascii="Times New Roman" w:hAnsi="Times New Roman"/>
              <w:color w:val="auto"/>
              <w:sz w:val="28"/>
              <w:szCs w:val="28"/>
              <w:highlight w:val="none"/>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_Toc27750 </w:instrText>
          </w:r>
          <w:r>
            <w:rPr>
              <w:rFonts w:ascii="Times New Roman" w:hAnsi="Times New Roman"/>
              <w:color w:val="auto"/>
              <w:sz w:val="28"/>
              <w:szCs w:val="28"/>
              <w:highlight w:val="none"/>
            </w:rPr>
            <w:fldChar w:fldCharType="separate"/>
          </w:r>
          <w:r>
            <w:rPr>
              <w:rFonts w:hint="default" w:ascii="Times New Roman" w:hAnsi="Times New Roman" w:eastAsia="方正小标宋简体" w:cs="Times New Roman"/>
              <w:bCs/>
              <w:color w:val="auto"/>
              <w:kern w:val="44"/>
              <w:sz w:val="28"/>
              <w:szCs w:val="28"/>
              <w:highlight w:val="none"/>
            </w:rPr>
            <w:t>第九章 多元共治 全维度健全现代治理体系</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_Toc27750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- 63 -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_Toc18148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一、健全领导责任与考核评价体系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_Toc18148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- 63 -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_Toc12108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二、健全生态环境</w:t>
          </w:r>
          <w:r>
            <w:rPr>
              <w:rFonts w:ascii="Times New Roman" w:hAnsi="Times New Roman" w:cs="Times New Roman"/>
              <w:bCs/>
              <w:color w:val="auto"/>
              <w:sz w:val="28"/>
              <w:szCs w:val="28"/>
              <w:highlight w:val="none"/>
            </w:rPr>
            <w:t>监管</w:t>
          </w:r>
          <w:r>
            <w:rPr>
              <w:rFonts w:hint="default" w:ascii="Times New Roman" w:hAnsi="Times New Roman" w:cs="Times New Roman"/>
              <w:bCs/>
              <w:color w:val="auto"/>
              <w:sz w:val="28"/>
              <w:szCs w:val="28"/>
              <w:highlight w:val="none"/>
            </w:rPr>
            <w:t>与</w:t>
          </w:r>
          <w:r>
            <w:rPr>
              <w:rFonts w:ascii="Times New Roman" w:hAnsi="Times New Roman" w:cs="Times New Roman"/>
              <w:bCs/>
              <w:color w:val="auto"/>
              <w:sz w:val="28"/>
              <w:szCs w:val="28"/>
              <w:highlight w:val="none"/>
            </w:rPr>
            <w:t>法治</w:t>
          </w:r>
          <w:r>
            <w:rPr>
              <w:rFonts w:hint="default" w:ascii="Times New Roman" w:hAnsi="Times New Roman" w:cs="Times New Roman"/>
              <w:bCs/>
              <w:color w:val="auto"/>
              <w:sz w:val="28"/>
              <w:szCs w:val="28"/>
              <w:highlight w:val="none"/>
            </w:rPr>
            <w:t>体系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_Toc12108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- 63 -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_Toc5083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三、健全企业责任与市场激励体系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_Toc5083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- 64 -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_Toc15495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四、健全全民行动与文化宣传体系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_Toc15495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- 65 -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_Toc28779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五、健全科技创新与国际交流体系</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_Toc28779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- 67 -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3"/>
            <w:tabs>
              <w:tab w:val="right" w:leader="dot" w:pos="8306"/>
            </w:tabs>
            <w:spacing w:line="560" w:lineRule="exact"/>
            <w:rPr>
              <w:rFonts w:ascii="Times New Roman" w:hAnsi="Times New Roman"/>
              <w:color w:val="auto"/>
              <w:sz w:val="28"/>
              <w:szCs w:val="28"/>
              <w:highlight w:val="none"/>
            </w:rPr>
          </w:pP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HYPERLINK \l _Toc30770 </w:instrText>
          </w:r>
          <w:r>
            <w:rPr>
              <w:rFonts w:ascii="Times New Roman" w:hAnsi="Times New Roman"/>
              <w:color w:val="auto"/>
              <w:sz w:val="28"/>
              <w:szCs w:val="28"/>
              <w:highlight w:val="none"/>
            </w:rPr>
            <w:fldChar w:fldCharType="separate"/>
          </w:r>
          <w:r>
            <w:rPr>
              <w:rFonts w:hint="default" w:ascii="Times New Roman" w:hAnsi="Times New Roman" w:eastAsia="方正小标宋简体" w:cs="Times New Roman"/>
              <w:bCs/>
              <w:color w:val="auto"/>
              <w:kern w:val="44"/>
              <w:sz w:val="28"/>
              <w:szCs w:val="28"/>
              <w:highlight w:val="none"/>
            </w:rPr>
            <w:t>第十章 保障措施</w:t>
          </w:r>
          <w:r>
            <w:rPr>
              <w:rFonts w:ascii="Times New Roman" w:hAnsi="Times New Roman"/>
              <w:color w:val="auto"/>
              <w:sz w:val="28"/>
              <w:szCs w:val="28"/>
              <w:highlight w:val="none"/>
            </w:rPr>
            <w:tab/>
          </w:r>
          <w:r>
            <w:rPr>
              <w:rFonts w:ascii="Times New Roman" w:hAnsi="Times New Roman"/>
              <w:color w:val="auto"/>
              <w:sz w:val="28"/>
              <w:szCs w:val="28"/>
              <w:highlight w:val="none"/>
            </w:rPr>
            <w:fldChar w:fldCharType="begin"/>
          </w:r>
          <w:r>
            <w:rPr>
              <w:rFonts w:ascii="Times New Roman" w:hAnsi="Times New Roman"/>
              <w:color w:val="auto"/>
              <w:sz w:val="28"/>
              <w:szCs w:val="28"/>
              <w:highlight w:val="none"/>
            </w:rPr>
            <w:instrText xml:space="preserve"> PAGEREF _Toc30770 \h </w:instrText>
          </w:r>
          <w:r>
            <w:rPr>
              <w:rFonts w:ascii="Times New Roman" w:hAnsi="Times New Roman"/>
              <w:color w:val="auto"/>
              <w:sz w:val="28"/>
              <w:szCs w:val="28"/>
              <w:highlight w:val="none"/>
            </w:rPr>
            <w:fldChar w:fldCharType="separate"/>
          </w:r>
          <w:r>
            <w:rPr>
              <w:rFonts w:ascii="Times New Roman" w:hAnsi="Times New Roman"/>
              <w:color w:val="auto"/>
              <w:sz w:val="28"/>
              <w:szCs w:val="28"/>
              <w:highlight w:val="none"/>
            </w:rPr>
            <w:t>- 70 -</w:t>
          </w:r>
          <w:r>
            <w:rPr>
              <w:rFonts w:ascii="Times New Roman" w:hAnsi="Times New Roman"/>
              <w:color w:val="auto"/>
              <w:sz w:val="28"/>
              <w:szCs w:val="28"/>
              <w:highlight w:val="none"/>
            </w:rPr>
            <w:fldChar w:fldCharType="end"/>
          </w:r>
          <w:r>
            <w:rPr>
              <w:rFonts w:ascii="Times New Roman" w:hAnsi="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_Toc12020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一、加强组织领导</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_Toc12020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- 70 -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_Toc14110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二、强化监督评估</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_Toc14110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- 70 -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p>
          <w:pPr>
            <w:pStyle w:val="27"/>
            <w:tabs>
              <w:tab w:val="right" w:leader="dot" w:pos="8306"/>
            </w:tabs>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HYPERLINK \l _Toc5445 </w:instrText>
          </w:r>
          <w:r>
            <w:rPr>
              <w:rFonts w:ascii="Times New Roman" w:hAnsi="Times New Roman" w:cs="Times New Roman"/>
              <w:color w:val="auto"/>
              <w:sz w:val="28"/>
              <w:szCs w:val="28"/>
              <w:highlight w:val="none"/>
            </w:rPr>
            <w:fldChar w:fldCharType="separate"/>
          </w:r>
          <w:r>
            <w:rPr>
              <w:rFonts w:hint="default" w:ascii="Times New Roman" w:hAnsi="Times New Roman" w:cs="Times New Roman"/>
              <w:bCs/>
              <w:color w:val="auto"/>
              <w:sz w:val="28"/>
              <w:szCs w:val="28"/>
              <w:highlight w:val="none"/>
            </w:rPr>
            <w:t>三、加大资金投入</w:t>
          </w:r>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begin"/>
          </w:r>
          <w:r>
            <w:rPr>
              <w:rFonts w:ascii="Times New Roman" w:hAnsi="Times New Roman" w:cs="Times New Roman"/>
              <w:color w:val="auto"/>
              <w:sz w:val="28"/>
              <w:szCs w:val="28"/>
              <w:highlight w:val="none"/>
            </w:rPr>
            <w:instrText xml:space="preserve"> PAGEREF _Toc5445 \h </w:instrText>
          </w:r>
          <w:r>
            <w:rPr>
              <w:rFonts w:ascii="Times New Roman" w:hAnsi="Times New Roman" w:cs="Times New Roman"/>
              <w:color w:val="auto"/>
              <w:sz w:val="28"/>
              <w:szCs w:val="28"/>
              <w:highlight w:val="none"/>
            </w:rPr>
            <w:fldChar w:fldCharType="separate"/>
          </w:r>
          <w:r>
            <w:rPr>
              <w:rFonts w:ascii="Times New Roman" w:hAnsi="Times New Roman" w:cs="Times New Roman"/>
              <w:color w:val="auto"/>
              <w:sz w:val="28"/>
              <w:szCs w:val="28"/>
              <w:highlight w:val="none"/>
            </w:rPr>
            <w:t>- 70 -</w:t>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r>
            <w:rPr>
              <w:rFonts w:ascii="Times New Roman" w:hAnsi="Times New Roman" w:cs="Times New Roman"/>
              <w:color w:val="auto"/>
              <w:sz w:val="28"/>
              <w:szCs w:val="28"/>
              <w:highlight w:val="none"/>
            </w:rPr>
            <w:fldChar w:fldCharType="end"/>
          </w:r>
        </w:p>
      </w:sdtContent>
    </w:sdt>
    <w:p>
      <w:pPr>
        <w:rPr>
          <w:color w:val="auto"/>
          <w:highlight w:val="none"/>
        </w:rPr>
      </w:pPr>
    </w:p>
    <w:p>
      <w:pPr>
        <w:rPr>
          <w:color w:val="auto"/>
          <w:highlight w:val="none"/>
        </w:rPr>
        <w:sectPr>
          <w:footerReference r:id="rId3" w:type="default"/>
          <w:pgSz w:w="11906" w:h="16838"/>
          <w:pgMar w:top="1440" w:right="1800" w:bottom="1440" w:left="1800" w:header="851" w:footer="992" w:gutter="0"/>
          <w:pgNumType w:fmt="numberInDash" w:start="1"/>
          <w:cols w:space="425" w:num="1"/>
          <w:docGrid w:type="lines" w:linePitch="312" w:charSpace="0"/>
        </w:sectPr>
      </w:pPr>
      <w:bookmarkStart w:id="3" w:name="_Toc204014682"/>
      <w:bookmarkStart w:id="4" w:name="_Toc206336497"/>
    </w:p>
    <w:p>
      <w:pPr>
        <w:pStyle w:val="3"/>
        <w:spacing w:line="560" w:lineRule="exact"/>
        <w:ind w:firstLine="0" w:firstLineChars="0"/>
        <w:jc w:val="center"/>
        <w:rPr>
          <w:rFonts w:hint="eastAsia" w:ascii="方正小标宋简体" w:hAnsi="方正小标宋简体" w:eastAsia="方正小标宋简体" w:cs="方正小标宋简体"/>
          <w:bCs/>
          <w:color w:val="auto"/>
          <w:kern w:val="44"/>
          <w:sz w:val="44"/>
          <w:szCs w:val="44"/>
          <w:highlight w:val="none"/>
        </w:rPr>
      </w:pPr>
      <w:bookmarkStart w:id="5" w:name="_Toc211871724"/>
      <w:bookmarkStart w:id="6" w:name="_Toc6313"/>
      <w:r>
        <w:rPr>
          <w:rFonts w:hint="eastAsia" w:ascii="方正小标宋简体" w:hAnsi="方正小标宋简体" w:eastAsia="方正小标宋简体" w:cs="方正小标宋简体"/>
          <w:bCs/>
          <w:color w:val="auto"/>
          <w:kern w:val="44"/>
          <w:sz w:val="44"/>
          <w:szCs w:val="44"/>
          <w:highlight w:val="none"/>
        </w:rPr>
        <w:t>第一章 发展基础和面临形势</w:t>
      </w:r>
      <w:bookmarkEnd w:id="3"/>
      <w:bookmarkEnd w:id="4"/>
      <w:bookmarkEnd w:id="5"/>
      <w:bookmarkEnd w:id="6"/>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bookmarkStart w:id="7" w:name="_Toc204014683"/>
      <w:bookmarkStart w:id="8" w:name="_Toc206336498"/>
      <w:bookmarkStart w:id="9" w:name="_Toc203635578"/>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10" w:name="_Toc20950"/>
      <w:bookmarkStart w:id="11" w:name="_Toc211871725"/>
      <w:r>
        <w:rPr>
          <w:rFonts w:hint="eastAsia" w:ascii="黑体" w:hAnsi="黑体" w:cs="黑体"/>
          <w:b w:val="0"/>
          <w:bCs/>
          <w:color w:val="auto"/>
          <w:highlight w:val="none"/>
        </w:rPr>
        <w:t>一、“十四五”时期生态环境保护工作的主要成效</w:t>
      </w:r>
      <w:bookmarkEnd w:id="7"/>
      <w:bookmarkEnd w:id="8"/>
      <w:bookmarkEnd w:id="9"/>
      <w:bookmarkEnd w:id="10"/>
      <w:bookmarkEnd w:id="11"/>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五”时期，全区上下坚持以习近平新时代中国特色社会主义思想为指导，深入贯彻习近平生态文明思想，认真学习贯彻党的二十大和二十届历次全会精神，牢记“延庆是属于未来的”重要嘱托，深入践行“两山”理念，持续夯实生态本底、大力发展生态经济、全力保障生态安全、不断创新体制机制，《延庆区“十四五”时期生态环境保护规划》全面落实，环境治理能力显著增强，生态文明建设成效显著。</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（一）生态环境目标基本完成</w:t>
      </w:r>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bookmarkStart w:id="12" w:name="_Toc8303"/>
      <w:r>
        <w:rPr>
          <w:rFonts w:hint="eastAsia" w:ascii="仿宋_GB2312" w:hAnsi="仿宋_GB2312" w:eastAsia="仿宋_GB2312" w:cs="仿宋_GB2312"/>
          <w:color w:val="auto"/>
          <w:sz w:val="32"/>
          <w:szCs w:val="32"/>
          <w:highlight w:val="none"/>
        </w:rPr>
        <w:t>十四五规划提出了减污降碳、空气清新、水体清洁、土壤安全、生态宜居、生活文明六个领域22项指标，其中约束性指标16项，预期性指标6项。</w:t>
      </w:r>
      <w:r>
        <w:rPr>
          <w:rFonts w:hint="eastAsia" w:ascii="仿宋_GB2312" w:hAnsi="仿宋_GB2312" w:eastAsia="仿宋_GB2312" w:cs="仿宋_GB2312"/>
          <w:color w:val="auto"/>
          <w:sz w:val="32"/>
          <w:szCs w:val="32"/>
          <w:highlight w:val="none"/>
          <w:lang w:eastAsia="zh-CN"/>
        </w:rPr>
        <w:t>截止目前</w:t>
      </w:r>
      <w:r>
        <w:rPr>
          <w:rFonts w:hint="eastAsia" w:ascii="仿宋_GB2312" w:hAnsi="仿宋_GB2312" w:eastAsia="仿宋_GB2312" w:cs="仿宋_GB2312"/>
          <w:color w:val="auto"/>
          <w:sz w:val="32"/>
          <w:szCs w:val="32"/>
          <w:highlight w:val="none"/>
        </w:rPr>
        <w:t>，规划确定的22项指标整体推进顺利，10项指标提前完成，12项指标进度符合预期，到期可以完成。</w:t>
      </w:r>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从指标完成情况看，</w:t>
      </w:r>
      <w:r>
        <w:rPr>
          <w:rFonts w:hint="eastAsia" w:ascii="仿宋_GB2312" w:hAnsi="仿宋_GB2312" w:eastAsia="仿宋_GB2312" w:cs="仿宋_GB2312"/>
          <w:color w:val="auto"/>
          <w:sz w:val="32"/>
          <w:szCs w:val="32"/>
          <w:highlight w:val="none"/>
          <w:lang w:eastAsia="zh-CN"/>
        </w:rPr>
        <w:t>延庆区生态环境质量</w:t>
      </w:r>
      <w:r>
        <w:rPr>
          <w:rFonts w:hint="eastAsia" w:ascii="仿宋_GB2312" w:hAnsi="仿宋_GB2312" w:eastAsia="仿宋_GB2312" w:cs="仿宋_GB2312"/>
          <w:color w:val="auto"/>
          <w:sz w:val="32"/>
          <w:szCs w:val="32"/>
          <w:highlight w:val="none"/>
        </w:rPr>
        <w:t>指标位居前列，细颗粒物年均浓度持续下降，2024年降至27微克/立方米，全市第一。森林覆盖率</w:t>
      </w:r>
      <w:r>
        <w:rPr>
          <w:rFonts w:hint="eastAsia" w:ascii="仿宋_GB2312" w:hAnsi="仿宋_GB2312" w:eastAsia="仿宋_GB2312" w:cs="仿宋_GB2312"/>
          <w:color w:val="auto"/>
          <w:sz w:val="32"/>
          <w:szCs w:val="32"/>
          <w:highlight w:val="none"/>
          <w:lang w:eastAsia="zh-CN"/>
        </w:rPr>
        <w:t>达到</w:t>
      </w:r>
      <w:r>
        <w:rPr>
          <w:rFonts w:hint="eastAsia" w:ascii="仿宋_GB2312" w:hAnsi="仿宋_GB2312" w:eastAsia="仿宋_GB2312" w:cs="仿宋_GB2312"/>
          <w:color w:val="auto"/>
          <w:sz w:val="32"/>
          <w:szCs w:val="32"/>
          <w:highlight w:val="none"/>
        </w:rPr>
        <w:t>65.22%，位居生态涵养区第三。地表水质量达到或优于Ⅲ类水体比例达到100%。生态环境状况指数（EI）76，呈现稳定向好态势，位居全市前列。</w:t>
      </w:r>
    </w:p>
    <w:p>
      <w:pPr>
        <w:pStyle w:val="66"/>
        <w:rPr>
          <w:rFonts w:hint="eastAsia" w:ascii="楷体_GB2312" w:hAnsi="楷体_GB2312" w:eastAsia="楷体_GB2312" w:cs="楷体_GB2312"/>
          <w:b w:val="0"/>
          <w:bCs/>
          <w:color w:val="auto"/>
          <w:sz w:val="28"/>
          <w:szCs w:val="28"/>
          <w:highlight w:val="none"/>
          <w14:ligatures w14:val="none"/>
        </w:rPr>
      </w:pPr>
    </w:p>
    <w:p>
      <w:pPr>
        <w:pStyle w:val="66"/>
        <w:rPr>
          <w:rFonts w:hint="eastAsia" w:ascii="楷体_GB2312" w:hAnsi="楷体_GB2312" w:eastAsia="楷体_GB2312" w:cs="楷体_GB2312"/>
          <w:b w:val="0"/>
          <w:bCs/>
          <w:color w:val="auto"/>
          <w:sz w:val="28"/>
          <w:szCs w:val="28"/>
          <w:highlight w:val="none"/>
          <w14:ligatures w14:val="none"/>
        </w:rPr>
      </w:pPr>
    </w:p>
    <w:p>
      <w:pPr>
        <w:pStyle w:val="66"/>
        <w:rPr>
          <w:rFonts w:hint="eastAsia" w:ascii="楷体_GB2312" w:hAnsi="楷体_GB2312" w:eastAsia="楷体_GB2312" w:cs="楷体_GB2312"/>
          <w:b w:val="0"/>
          <w:bCs/>
          <w:color w:val="auto"/>
          <w:sz w:val="28"/>
          <w:szCs w:val="28"/>
          <w:highlight w:val="none"/>
          <w14:ligatures w14:val="none"/>
        </w:rPr>
      </w:pPr>
      <w:r>
        <w:rPr>
          <w:rFonts w:hint="eastAsia" w:ascii="楷体_GB2312" w:hAnsi="楷体_GB2312" w:eastAsia="楷体_GB2312" w:cs="楷体_GB2312"/>
          <w:b w:val="0"/>
          <w:bCs/>
          <w:color w:val="auto"/>
          <w:sz w:val="28"/>
          <w:szCs w:val="28"/>
          <w:highlight w:val="none"/>
          <w14:ligatures w14:val="none"/>
        </w:rPr>
        <w:t xml:space="preserve">表1-1 </w:t>
      </w:r>
      <w:bookmarkStart w:id="13" w:name="_Hlk207050888"/>
      <w:r>
        <w:rPr>
          <w:rFonts w:hint="eastAsia" w:ascii="楷体_GB2312" w:hAnsi="楷体_GB2312" w:eastAsia="楷体_GB2312" w:cs="楷体_GB2312"/>
          <w:b w:val="0"/>
          <w:bCs/>
          <w:color w:val="auto"/>
          <w:sz w:val="28"/>
          <w:szCs w:val="28"/>
          <w:highlight w:val="none"/>
          <w14:ligatures w14:val="none"/>
        </w:rPr>
        <w:t>延庆区“十四五”时期生态环境保护规划主要指标完成</w:t>
      </w:r>
      <w:bookmarkEnd w:id="12"/>
      <w:r>
        <w:rPr>
          <w:rFonts w:hint="eastAsia" w:ascii="楷体_GB2312" w:hAnsi="楷体_GB2312" w:eastAsia="楷体_GB2312" w:cs="楷体_GB2312"/>
          <w:b w:val="0"/>
          <w:bCs/>
          <w:color w:val="auto"/>
          <w:sz w:val="28"/>
          <w:szCs w:val="28"/>
          <w:highlight w:val="none"/>
          <w:lang w:eastAsia="zh-CN"/>
          <w14:ligatures w14:val="none"/>
        </w:rPr>
        <w:t>情况</w:t>
      </w:r>
    </w:p>
    <w:tbl>
      <w:tblPr>
        <w:tblStyle w:val="33"/>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1519"/>
        <w:gridCol w:w="1259"/>
        <w:gridCol w:w="1451"/>
        <w:gridCol w:w="1887"/>
        <w:gridCol w:w="1183"/>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0" w:type="auto"/>
            <w:vAlign w:val="center"/>
          </w:tcPr>
          <w:p>
            <w:pPr>
              <w:jc w:val="center"/>
              <w:rPr>
                <w:rFonts w:hint="eastAsia"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序号</w:t>
            </w:r>
          </w:p>
        </w:tc>
        <w:tc>
          <w:tcPr>
            <w:tcW w:w="0" w:type="auto"/>
            <w:vAlign w:val="center"/>
          </w:tcPr>
          <w:p>
            <w:pPr>
              <w:jc w:val="center"/>
              <w:rPr>
                <w:rFonts w:hint="eastAsia"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目标</w:t>
            </w:r>
          </w:p>
        </w:tc>
        <w:tc>
          <w:tcPr>
            <w:tcW w:w="1519" w:type="dxa"/>
            <w:vAlign w:val="center"/>
          </w:tcPr>
          <w:p>
            <w:pPr>
              <w:jc w:val="center"/>
              <w:rPr>
                <w:rFonts w:hint="eastAsia"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指标层</w:t>
            </w:r>
          </w:p>
        </w:tc>
        <w:tc>
          <w:tcPr>
            <w:tcW w:w="1259" w:type="dxa"/>
            <w:vAlign w:val="center"/>
          </w:tcPr>
          <w:p>
            <w:pPr>
              <w:jc w:val="center"/>
              <w:rPr>
                <w:rFonts w:hint="eastAsia"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本底值（2020年）</w:t>
            </w:r>
          </w:p>
        </w:tc>
        <w:tc>
          <w:tcPr>
            <w:tcW w:w="1451" w:type="dxa"/>
            <w:vAlign w:val="center"/>
          </w:tcPr>
          <w:p>
            <w:pPr>
              <w:jc w:val="center"/>
              <w:rPr>
                <w:rFonts w:hint="eastAsia"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规划值</w:t>
            </w:r>
          </w:p>
          <w:p>
            <w:pPr>
              <w:jc w:val="center"/>
              <w:rPr>
                <w:rFonts w:hint="eastAsia"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（2025年）</w:t>
            </w:r>
          </w:p>
        </w:tc>
        <w:tc>
          <w:tcPr>
            <w:tcW w:w="1887" w:type="dxa"/>
            <w:vAlign w:val="center"/>
          </w:tcPr>
          <w:p>
            <w:pPr>
              <w:jc w:val="center"/>
              <w:rPr>
                <w:rFonts w:hint="eastAsia"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最新完成情况</w:t>
            </w:r>
          </w:p>
        </w:tc>
        <w:tc>
          <w:tcPr>
            <w:tcW w:w="1183" w:type="dxa"/>
            <w:vAlign w:val="center"/>
          </w:tcPr>
          <w:p>
            <w:pPr>
              <w:jc w:val="center"/>
              <w:rPr>
                <w:rFonts w:hint="eastAsia"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预估</w:t>
            </w:r>
          </w:p>
          <w:p>
            <w:pPr>
              <w:jc w:val="center"/>
              <w:rPr>
                <w:rFonts w:hint="eastAsia"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完成情况</w:t>
            </w:r>
          </w:p>
        </w:tc>
        <w:tc>
          <w:tcPr>
            <w:tcW w:w="968" w:type="dxa"/>
            <w:vAlign w:val="center"/>
          </w:tcPr>
          <w:p>
            <w:pPr>
              <w:jc w:val="center"/>
              <w:rPr>
                <w:rFonts w:hint="eastAsia"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指标</w:t>
            </w:r>
          </w:p>
          <w:p>
            <w:pPr>
              <w:jc w:val="center"/>
              <w:rPr>
                <w:rFonts w:hint="eastAsia"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w:t>
            </w:r>
          </w:p>
        </w:tc>
        <w:tc>
          <w:tcPr>
            <w:tcW w:w="0" w:type="auto"/>
            <w:vMerge w:val="restart"/>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减污降碳</w:t>
            </w:r>
          </w:p>
        </w:tc>
        <w:tc>
          <w:tcPr>
            <w:tcW w:w="1519" w:type="dxa"/>
            <w:vAlign w:val="center"/>
          </w:tcPr>
          <w:p>
            <w:pP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碳排放总量（万吨）</w:t>
            </w:r>
          </w:p>
        </w:tc>
        <w:tc>
          <w:tcPr>
            <w:tcW w:w="1259"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98.7</w:t>
            </w:r>
          </w:p>
        </w:tc>
        <w:tc>
          <w:tcPr>
            <w:tcW w:w="1451"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115</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104.2</w:t>
            </w:r>
          </w:p>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（2024年）</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能完成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2</w:t>
            </w:r>
          </w:p>
        </w:tc>
        <w:tc>
          <w:tcPr>
            <w:tcW w:w="0" w:type="auto"/>
            <w:vMerge w:val="continue"/>
            <w:vAlign w:val="center"/>
          </w:tcPr>
          <w:p>
            <w:pPr>
              <w:rPr>
                <w:rFonts w:hint="eastAsia" w:ascii="仿宋_GB2312" w:hAnsi="宋体" w:eastAsia="仿宋_GB2312" w:cs="宋体"/>
                <w:color w:val="auto"/>
                <w:szCs w:val="21"/>
                <w:highlight w:val="none"/>
              </w:rPr>
            </w:pPr>
          </w:p>
        </w:tc>
        <w:tc>
          <w:tcPr>
            <w:tcW w:w="1519" w:type="dxa"/>
            <w:vAlign w:val="center"/>
          </w:tcPr>
          <w:p>
            <w:pP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单位地区生产总值二氧化碳排放降幅（%）</w:t>
            </w:r>
          </w:p>
        </w:tc>
        <w:tc>
          <w:tcPr>
            <w:tcW w:w="1259"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40.94</w:t>
            </w:r>
          </w:p>
        </w:tc>
        <w:tc>
          <w:tcPr>
            <w:tcW w:w="1451"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达到</w:t>
            </w:r>
          </w:p>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市级要求</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2024年较2020年累计下降</w:t>
            </w:r>
            <w:r>
              <w:rPr>
                <w:rFonts w:ascii="仿宋_GB2312" w:hAnsi="宋体" w:eastAsia="仿宋_GB2312" w:cs="宋体"/>
                <w:color w:val="auto"/>
                <w:szCs w:val="21"/>
                <w:highlight w:val="none"/>
              </w:rPr>
              <w:t>13.85</w:t>
            </w:r>
            <w:r>
              <w:rPr>
                <w:rFonts w:hint="eastAsia" w:ascii="仿宋_GB2312" w:hAnsi="仿宋_GB2312" w:eastAsia="仿宋_GB2312" w:cs="仿宋_GB2312"/>
                <w:b/>
                <w:bCs/>
                <w:color w:val="auto"/>
                <w:kern w:val="0"/>
                <w:szCs w:val="21"/>
                <w:highlight w:val="none"/>
                <w:lang w:bidi="ar"/>
              </w:rPr>
              <w:t xml:space="preserve"> </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能完成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3</w:t>
            </w:r>
          </w:p>
        </w:tc>
        <w:tc>
          <w:tcPr>
            <w:tcW w:w="0" w:type="auto"/>
            <w:vMerge w:val="continue"/>
            <w:vAlign w:val="center"/>
          </w:tcPr>
          <w:p>
            <w:pPr>
              <w:rPr>
                <w:rFonts w:hint="eastAsia" w:ascii="仿宋_GB2312" w:hAnsi="宋体" w:eastAsia="仿宋_GB2312" w:cs="宋体"/>
                <w:color w:val="auto"/>
                <w:szCs w:val="21"/>
                <w:highlight w:val="none"/>
              </w:rPr>
            </w:pPr>
          </w:p>
        </w:tc>
        <w:tc>
          <w:tcPr>
            <w:tcW w:w="1519" w:type="dxa"/>
            <w:vAlign w:val="center"/>
          </w:tcPr>
          <w:p>
            <w:pP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可再生能源消费比重（%）</w:t>
            </w:r>
          </w:p>
        </w:tc>
        <w:tc>
          <w:tcPr>
            <w:tcW w:w="1259"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4.4（不含绿电）</w:t>
            </w:r>
          </w:p>
        </w:tc>
        <w:tc>
          <w:tcPr>
            <w:tcW w:w="1451"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位居生态涵养区前列</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24.96</w:t>
            </w:r>
          </w:p>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（2023年）</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能完成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4</w:t>
            </w:r>
          </w:p>
        </w:tc>
        <w:tc>
          <w:tcPr>
            <w:tcW w:w="0" w:type="auto"/>
            <w:vMerge w:val="continue"/>
            <w:vAlign w:val="center"/>
          </w:tcPr>
          <w:p>
            <w:pPr>
              <w:rPr>
                <w:rFonts w:hint="eastAsia" w:ascii="仿宋_GB2312" w:hAnsi="宋体" w:eastAsia="仿宋_GB2312" w:cs="宋体"/>
                <w:color w:val="auto"/>
                <w:szCs w:val="21"/>
                <w:highlight w:val="none"/>
              </w:rPr>
            </w:pPr>
          </w:p>
        </w:tc>
        <w:tc>
          <w:tcPr>
            <w:tcW w:w="1519" w:type="dxa"/>
            <w:vAlign w:val="center"/>
          </w:tcPr>
          <w:p>
            <w:pP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氮氧化物重点工程减排量（t）</w:t>
            </w:r>
          </w:p>
        </w:tc>
        <w:tc>
          <w:tcPr>
            <w:tcW w:w="1259"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w:t>
            </w:r>
          </w:p>
        </w:tc>
        <w:tc>
          <w:tcPr>
            <w:tcW w:w="1451"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累计530</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已累计减排564</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已完成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5</w:t>
            </w:r>
          </w:p>
        </w:tc>
        <w:tc>
          <w:tcPr>
            <w:tcW w:w="0" w:type="auto"/>
            <w:vMerge w:val="continue"/>
            <w:vAlign w:val="center"/>
          </w:tcPr>
          <w:p>
            <w:pPr>
              <w:rPr>
                <w:rFonts w:hint="eastAsia" w:ascii="仿宋_GB2312" w:hAnsi="宋体" w:eastAsia="仿宋_GB2312" w:cs="宋体"/>
                <w:color w:val="auto"/>
                <w:szCs w:val="21"/>
                <w:highlight w:val="none"/>
              </w:rPr>
            </w:pPr>
          </w:p>
        </w:tc>
        <w:tc>
          <w:tcPr>
            <w:tcW w:w="1519" w:type="dxa"/>
            <w:vAlign w:val="center"/>
          </w:tcPr>
          <w:p>
            <w:pP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挥发性有机物重点工程减排量（t）</w:t>
            </w:r>
          </w:p>
        </w:tc>
        <w:tc>
          <w:tcPr>
            <w:tcW w:w="1259"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w:t>
            </w:r>
          </w:p>
        </w:tc>
        <w:tc>
          <w:tcPr>
            <w:tcW w:w="1451"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累计170</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已累计减排168</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能完成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6</w:t>
            </w:r>
          </w:p>
        </w:tc>
        <w:tc>
          <w:tcPr>
            <w:tcW w:w="0" w:type="auto"/>
            <w:vMerge w:val="continue"/>
            <w:vAlign w:val="center"/>
          </w:tcPr>
          <w:p>
            <w:pPr>
              <w:rPr>
                <w:rFonts w:hint="eastAsia" w:ascii="仿宋_GB2312" w:hAnsi="宋体" w:eastAsia="仿宋_GB2312" w:cs="宋体"/>
                <w:color w:val="auto"/>
                <w:szCs w:val="21"/>
                <w:highlight w:val="none"/>
              </w:rPr>
            </w:pPr>
          </w:p>
        </w:tc>
        <w:tc>
          <w:tcPr>
            <w:tcW w:w="1519" w:type="dxa"/>
            <w:vAlign w:val="center"/>
          </w:tcPr>
          <w:p>
            <w:pP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化学需氧量重点工程减排量（t）</w:t>
            </w:r>
          </w:p>
        </w:tc>
        <w:tc>
          <w:tcPr>
            <w:tcW w:w="1259"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w:t>
            </w:r>
          </w:p>
        </w:tc>
        <w:tc>
          <w:tcPr>
            <w:tcW w:w="1451"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累计550</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已累计减排692</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已完成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7</w:t>
            </w:r>
          </w:p>
        </w:tc>
        <w:tc>
          <w:tcPr>
            <w:tcW w:w="0" w:type="auto"/>
            <w:vMerge w:val="continue"/>
            <w:vAlign w:val="center"/>
          </w:tcPr>
          <w:p>
            <w:pPr>
              <w:rPr>
                <w:rFonts w:hint="eastAsia" w:ascii="仿宋_GB2312" w:hAnsi="宋体" w:eastAsia="仿宋_GB2312" w:cs="宋体"/>
                <w:color w:val="auto"/>
                <w:szCs w:val="21"/>
                <w:highlight w:val="none"/>
              </w:rPr>
            </w:pPr>
          </w:p>
        </w:tc>
        <w:tc>
          <w:tcPr>
            <w:tcW w:w="1519" w:type="dxa"/>
            <w:vAlign w:val="center"/>
          </w:tcPr>
          <w:p>
            <w:pP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氨氮重点工程减排量（t）</w:t>
            </w:r>
          </w:p>
        </w:tc>
        <w:tc>
          <w:tcPr>
            <w:tcW w:w="1259"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w:t>
            </w:r>
          </w:p>
        </w:tc>
        <w:tc>
          <w:tcPr>
            <w:tcW w:w="1451"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累计70</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已累计减排177</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已完成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8</w:t>
            </w:r>
          </w:p>
        </w:tc>
        <w:tc>
          <w:tcPr>
            <w:tcW w:w="0" w:type="auto"/>
            <w:vMerge w:val="restart"/>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空气清新</w:t>
            </w:r>
          </w:p>
        </w:tc>
        <w:tc>
          <w:tcPr>
            <w:tcW w:w="1519" w:type="dxa"/>
            <w:vAlign w:val="center"/>
          </w:tcPr>
          <w:p>
            <w:pP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细颗粒物年均浓度（微克/立方米）</w:t>
            </w:r>
          </w:p>
        </w:tc>
        <w:tc>
          <w:tcPr>
            <w:tcW w:w="1259"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31</w:t>
            </w:r>
          </w:p>
        </w:tc>
        <w:tc>
          <w:tcPr>
            <w:tcW w:w="1451" w:type="dxa"/>
            <w:vAlign w:val="center"/>
          </w:tcPr>
          <w:p>
            <w:pPr>
              <w:adjustRightInd w:val="0"/>
              <w:snapToGrid w:val="0"/>
              <w:jc w:val="left"/>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达到市级要求27，位居生态涵养区前列，力争达到25</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23.3</w:t>
            </w:r>
          </w:p>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（截至2025年</w:t>
            </w:r>
          </w:p>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7月底）</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能完成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9</w:t>
            </w:r>
          </w:p>
        </w:tc>
        <w:tc>
          <w:tcPr>
            <w:tcW w:w="0" w:type="auto"/>
            <w:vMerge w:val="continue"/>
            <w:vAlign w:val="center"/>
          </w:tcPr>
          <w:p>
            <w:pPr>
              <w:rPr>
                <w:rFonts w:hint="eastAsia" w:ascii="仿宋_GB2312" w:hAnsi="宋体" w:eastAsia="仿宋_GB2312" w:cs="宋体"/>
                <w:color w:val="auto"/>
                <w:szCs w:val="21"/>
                <w:highlight w:val="none"/>
              </w:rPr>
            </w:pPr>
          </w:p>
        </w:tc>
        <w:tc>
          <w:tcPr>
            <w:tcW w:w="1519" w:type="dxa"/>
            <w:vAlign w:val="center"/>
          </w:tcPr>
          <w:p>
            <w:pP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优良天数比例（%）</w:t>
            </w:r>
          </w:p>
        </w:tc>
        <w:tc>
          <w:tcPr>
            <w:tcW w:w="1259" w:type="dxa"/>
            <w:vAlign w:val="center"/>
          </w:tcPr>
          <w:p>
            <w:pPr>
              <w:pStyle w:val="74"/>
              <w:snapToGrid w:val="0"/>
              <w:spacing w:line="240" w:lineRule="auto"/>
              <w:ind w:firstLine="6" w:firstLineChars="3"/>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81.1（297天）</w:t>
            </w:r>
          </w:p>
        </w:tc>
        <w:tc>
          <w:tcPr>
            <w:tcW w:w="1451" w:type="dxa"/>
            <w:vAlign w:val="center"/>
          </w:tcPr>
          <w:p>
            <w:pPr>
              <w:adjustRightInd w:val="0"/>
              <w:snapToGrid w:val="0"/>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稳步提升</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83.0</w:t>
            </w:r>
          </w:p>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（截至2025年</w:t>
            </w:r>
          </w:p>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7月底）</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能完成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10</w:t>
            </w:r>
          </w:p>
        </w:tc>
        <w:tc>
          <w:tcPr>
            <w:tcW w:w="0" w:type="auto"/>
            <w:vMerge w:val="continue"/>
            <w:vAlign w:val="center"/>
          </w:tcPr>
          <w:p>
            <w:pPr>
              <w:rPr>
                <w:rFonts w:hint="eastAsia" w:ascii="仿宋_GB2312" w:hAnsi="宋体" w:eastAsia="仿宋_GB2312" w:cs="宋体"/>
                <w:color w:val="auto"/>
                <w:szCs w:val="21"/>
                <w:highlight w:val="none"/>
              </w:rPr>
            </w:pPr>
          </w:p>
        </w:tc>
        <w:tc>
          <w:tcPr>
            <w:tcW w:w="1519" w:type="dxa"/>
            <w:vAlign w:val="center"/>
          </w:tcPr>
          <w:p>
            <w:pP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重度及以上污染天数比例（%）</w:t>
            </w:r>
          </w:p>
        </w:tc>
        <w:tc>
          <w:tcPr>
            <w:tcW w:w="1259"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1.6（6天）</w:t>
            </w:r>
          </w:p>
        </w:tc>
        <w:tc>
          <w:tcPr>
            <w:tcW w:w="1451"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基本消除&lt;0.9</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w:t>
            </w:r>
          </w:p>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（截至2025年</w:t>
            </w:r>
          </w:p>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7月底）</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能完成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11</w:t>
            </w:r>
          </w:p>
        </w:tc>
        <w:tc>
          <w:tcPr>
            <w:tcW w:w="0" w:type="auto"/>
            <w:vMerge w:val="restart"/>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水体清洁</w:t>
            </w:r>
          </w:p>
        </w:tc>
        <w:tc>
          <w:tcPr>
            <w:tcW w:w="1519" w:type="dxa"/>
            <w:vAlign w:val="center"/>
          </w:tcPr>
          <w:p>
            <w:pPr>
              <w:pStyle w:val="74"/>
              <w:snapToGrid w:val="0"/>
              <w:spacing w:line="240" w:lineRule="auto"/>
              <w:ind w:firstLine="0" w:firstLineChars="0"/>
              <w:jc w:val="both"/>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地表水国控断面达标比例（%）</w:t>
            </w:r>
          </w:p>
        </w:tc>
        <w:tc>
          <w:tcPr>
            <w:tcW w:w="1259" w:type="dxa"/>
            <w:vAlign w:val="center"/>
          </w:tcPr>
          <w:p>
            <w:pPr>
              <w:pStyle w:val="74"/>
              <w:snapToGrid w:val="0"/>
              <w:spacing w:line="240" w:lineRule="auto"/>
              <w:ind w:firstLine="6" w:firstLineChars="3"/>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100</w:t>
            </w:r>
          </w:p>
        </w:tc>
        <w:tc>
          <w:tcPr>
            <w:tcW w:w="1451"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达到</w:t>
            </w:r>
          </w:p>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市级要求</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100</w:t>
            </w:r>
          </w:p>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（截至2025年</w:t>
            </w:r>
          </w:p>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7月底）</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能完成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12</w:t>
            </w:r>
          </w:p>
        </w:tc>
        <w:tc>
          <w:tcPr>
            <w:tcW w:w="0" w:type="auto"/>
            <w:vMerge w:val="continue"/>
            <w:vAlign w:val="center"/>
          </w:tcPr>
          <w:p>
            <w:pPr>
              <w:pStyle w:val="74"/>
              <w:snapToGrid w:val="0"/>
              <w:spacing w:line="240" w:lineRule="auto"/>
              <w:ind w:firstLine="0" w:firstLineChars="0"/>
              <w:jc w:val="both"/>
              <w:rPr>
                <w:rFonts w:hint="eastAsia" w:ascii="仿宋_GB2312" w:hAnsi="宋体" w:eastAsia="仿宋_GB2312" w:cs="宋体"/>
                <w:color w:val="auto"/>
                <w:sz w:val="21"/>
                <w:szCs w:val="21"/>
                <w:highlight w:val="none"/>
              </w:rPr>
            </w:pPr>
          </w:p>
        </w:tc>
        <w:tc>
          <w:tcPr>
            <w:tcW w:w="1519" w:type="dxa"/>
            <w:vAlign w:val="center"/>
          </w:tcPr>
          <w:p>
            <w:pPr>
              <w:pStyle w:val="74"/>
              <w:snapToGrid w:val="0"/>
              <w:spacing w:line="240" w:lineRule="auto"/>
              <w:ind w:firstLine="0" w:firstLineChars="0"/>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全区污水处理率（%）</w:t>
            </w:r>
          </w:p>
        </w:tc>
        <w:tc>
          <w:tcPr>
            <w:tcW w:w="1259"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lang w:val="en-US"/>
              </w:rPr>
            </w:pPr>
            <w:r>
              <w:rPr>
                <w:rFonts w:hint="eastAsia" w:ascii="仿宋_GB2312" w:hAnsi="宋体" w:eastAsia="仿宋_GB2312" w:cs="宋体"/>
                <w:color w:val="auto"/>
                <w:sz w:val="21"/>
                <w:szCs w:val="21"/>
                <w:highlight w:val="none"/>
              </w:rPr>
              <w:t>9</w:t>
            </w:r>
            <w:r>
              <w:rPr>
                <w:rFonts w:hint="eastAsia" w:ascii="仿宋_GB2312" w:hAnsi="宋体" w:eastAsia="仿宋_GB2312" w:cs="宋体"/>
                <w:color w:val="auto"/>
                <w:sz w:val="21"/>
                <w:szCs w:val="21"/>
                <w:highlight w:val="none"/>
                <w:lang w:val="en-US"/>
              </w:rPr>
              <w:t>2.03</w:t>
            </w:r>
          </w:p>
        </w:tc>
        <w:tc>
          <w:tcPr>
            <w:tcW w:w="1451"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98</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97.5</w:t>
            </w:r>
          </w:p>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（2025年上半年）</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能完成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13</w:t>
            </w:r>
          </w:p>
        </w:tc>
        <w:tc>
          <w:tcPr>
            <w:tcW w:w="0" w:type="auto"/>
            <w:vMerge w:val="continue"/>
            <w:vAlign w:val="center"/>
          </w:tcPr>
          <w:p>
            <w:pPr>
              <w:pStyle w:val="74"/>
              <w:snapToGrid w:val="0"/>
              <w:spacing w:line="240" w:lineRule="auto"/>
              <w:ind w:firstLine="0" w:firstLineChars="0"/>
              <w:jc w:val="both"/>
              <w:rPr>
                <w:rFonts w:hint="eastAsia" w:ascii="仿宋_GB2312" w:hAnsi="宋体" w:eastAsia="仿宋_GB2312" w:cs="宋体"/>
                <w:color w:val="auto"/>
                <w:sz w:val="21"/>
                <w:szCs w:val="21"/>
                <w:highlight w:val="none"/>
              </w:rPr>
            </w:pPr>
          </w:p>
        </w:tc>
        <w:tc>
          <w:tcPr>
            <w:tcW w:w="1519" w:type="dxa"/>
            <w:vAlign w:val="center"/>
          </w:tcPr>
          <w:p>
            <w:pPr>
              <w:pStyle w:val="74"/>
              <w:snapToGrid w:val="0"/>
              <w:spacing w:line="240" w:lineRule="auto"/>
              <w:ind w:firstLine="0" w:firstLineChars="0"/>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农村地区生活污水处理率（%）</w:t>
            </w:r>
          </w:p>
        </w:tc>
        <w:tc>
          <w:tcPr>
            <w:tcW w:w="1259"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78.8</w:t>
            </w:r>
          </w:p>
        </w:tc>
        <w:tc>
          <w:tcPr>
            <w:tcW w:w="1451"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86</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93.37</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已完成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14</w:t>
            </w:r>
          </w:p>
        </w:tc>
        <w:tc>
          <w:tcPr>
            <w:tcW w:w="0" w:type="auto"/>
            <w:vMerge w:val="restart"/>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土壤安全</w:t>
            </w:r>
          </w:p>
        </w:tc>
        <w:tc>
          <w:tcPr>
            <w:tcW w:w="1519" w:type="dxa"/>
            <w:vAlign w:val="center"/>
          </w:tcPr>
          <w:p>
            <w:pPr>
              <w:pStyle w:val="74"/>
              <w:snapToGrid w:val="0"/>
              <w:spacing w:line="240" w:lineRule="auto"/>
              <w:ind w:firstLine="0" w:firstLineChars="0"/>
              <w:rPr>
                <w:rFonts w:hint="eastAsia" w:ascii="仿宋_GB2312" w:hAnsi="宋体" w:eastAsia="仿宋_GB2312" w:cs="宋体"/>
                <w:color w:val="auto"/>
                <w:sz w:val="21"/>
                <w:szCs w:val="21"/>
                <w:highlight w:val="none"/>
                <w:lang w:val="en-US"/>
              </w:rPr>
            </w:pPr>
            <w:r>
              <w:rPr>
                <w:rFonts w:hint="eastAsia" w:ascii="仿宋_GB2312" w:hAnsi="宋体" w:eastAsia="仿宋_GB2312" w:cs="宋体"/>
                <w:color w:val="auto"/>
                <w:sz w:val="21"/>
                <w:szCs w:val="21"/>
                <w:highlight w:val="none"/>
              </w:rPr>
              <w:t>受污染耕地安全利用率</w:t>
            </w:r>
            <w:r>
              <w:rPr>
                <w:rFonts w:hint="eastAsia" w:ascii="仿宋_GB2312" w:hAnsi="宋体" w:eastAsia="仿宋_GB2312" w:cs="宋体"/>
                <w:color w:val="auto"/>
                <w:sz w:val="21"/>
                <w:szCs w:val="21"/>
                <w:highlight w:val="none"/>
                <w:lang w:val="en-US"/>
              </w:rPr>
              <w:t>（%）</w:t>
            </w:r>
          </w:p>
        </w:tc>
        <w:tc>
          <w:tcPr>
            <w:tcW w:w="1259"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95</w:t>
            </w:r>
          </w:p>
        </w:tc>
        <w:tc>
          <w:tcPr>
            <w:tcW w:w="1451"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&gt;95</w:t>
            </w:r>
          </w:p>
        </w:tc>
        <w:tc>
          <w:tcPr>
            <w:tcW w:w="1887"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lang w:val="en-US"/>
              </w:rPr>
            </w:pPr>
            <w:r>
              <w:rPr>
                <w:rFonts w:hint="eastAsia" w:ascii="仿宋_GB2312" w:hAnsi="宋体" w:eastAsia="仿宋_GB2312" w:cs="宋体"/>
                <w:color w:val="auto"/>
                <w:sz w:val="21"/>
                <w:szCs w:val="21"/>
                <w:highlight w:val="none"/>
                <w:lang w:val="en-US"/>
              </w:rPr>
              <w:t>100</w:t>
            </w:r>
          </w:p>
        </w:tc>
        <w:tc>
          <w:tcPr>
            <w:tcW w:w="1183"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已完成</w:t>
            </w:r>
          </w:p>
        </w:tc>
        <w:tc>
          <w:tcPr>
            <w:tcW w:w="968" w:type="dxa"/>
            <w:vAlign w:val="center"/>
          </w:tcPr>
          <w:p>
            <w:pPr>
              <w:adjustRightInd w:val="0"/>
              <w:snapToGrid w:val="0"/>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15</w:t>
            </w:r>
          </w:p>
        </w:tc>
        <w:tc>
          <w:tcPr>
            <w:tcW w:w="0" w:type="auto"/>
            <w:vMerge w:val="continue"/>
            <w:vAlign w:val="center"/>
          </w:tcPr>
          <w:p>
            <w:pPr>
              <w:jc w:val="center"/>
              <w:rPr>
                <w:rFonts w:hint="eastAsia" w:ascii="仿宋_GB2312" w:hAnsi="宋体" w:eastAsia="仿宋_GB2312" w:cs="宋体"/>
                <w:color w:val="auto"/>
                <w:szCs w:val="21"/>
                <w:highlight w:val="none"/>
              </w:rPr>
            </w:pPr>
          </w:p>
        </w:tc>
        <w:tc>
          <w:tcPr>
            <w:tcW w:w="1519" w:type="dxa"/>
            <w:vAlign w:val="center"/>
          </w:tcPr>
          <w:p>
            <w:pPr>
              <w:pStyle w:val="74"/>
              <w:snapToGrid w:val="0"/>
              <w:spacing w:line="240" w:lineRule="auto"/>
              <w:ind w:firstLine="0" w:firstLineChars="0"/>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污染地块安全利用率（%）</w:t>
            </w:r>
          </w:p>
        </w:tc>
        <w:tc>
          <w:tcPr>
            <w:tcW w:w="1259"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95</w:t>
            </w:r>
          </w:p>
        </w:tc>
        <w:tc>
          <w:tcPr>
            <w:tcW w:w="1451"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&gt;95</w:t>
            </w:r>
          </w:p>
        </w:tc>
        <w:tc>
          <w:tcPr>
            <w:tcW w:w="1887" w:type="dxa"/>
            <w:vAlign w:val="center"/>
          </w:tcPr>
          <w:p>
            <w:pPr>
              <w:adjustRightInd w:val="0"/>
              <w:snapToGrid w:val="0"/>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100</w:t>
            </w:r>
          </w:p>
        </w:tc>
        <w:tc>
          <w:tcPr>
            <w:tcW w:w="1183" w:type="dxa"/>
            <w:vAlign w:val="center"/>
          </w:tcPr>
          <w:p>
            <w:pPr>
              <w:adjustRightInd w:val="0"/>
              <w:snapToGrid w:val="0"/>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已完成</w:t>
            </w:r>
          </w:p>
        </w:tc>
        <w:tc>
          <w:tcPr>
            <w:tcW w:w="968" w:type="dxa"/>
            <w:vAlign w:val="center"/>
          </w:tcPr>
          <w:p>
            <w:pPr>
              <w:adjustRightInd w:val="0"/>
              <w:snapToGrid w:val="0"/>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16</w:t>
            </w:r>
          </w:p>
        </w:tc>
        <w:tc>
          <w:tcPr>
            <w:tcW w:w="0" w:type="auto"/>
            <w:vMerge w:val="restart"/>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生态宜居</w:t>
            </w:r>
          </w:p>
        </w:tc>
        <w:tc>
          <w:tcPr>
            <w:tcW w:w="1519" w:type="dxa"/>
            <w:vAlign w:val="center"/>
          </w:tcPr>
          <w:p>
            <w:pPr>
              <w:pStyle w:val="74"/>
              <w:snapToGrid w:val="0"/>
              <w:spacing w:line="240" w:lineRule="auto"/>
              <w:ind w:firstLine="0" w:firstLineChars="0"/>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生态保护红线区面积比例（%）</w:t>
            </w:r>
          </w:p>
        </w:tc>
        <w:tc>
          <w:tcPr>
            <w:tcW w:w="1259"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36.0</w:t>
            </w:r>
          </w:p>
        </w:tc>
        <w:tc>
          <w:tcPr>
            <w:tcW w:w="1451"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不减少</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36.0</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已完成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17</w:t>
            </w:r>
          </w:p>
        </w:tc>
        <w:tc>
          <w:tcPr>
            <w:tcW w:w="0" w:type="auto"/>
            <w:vMerge w:val="continue"/>
            <w:vAlign w:val="center"/>
          </w:tcPr>
          <w:p>
            <w:pPr>
              <w:jc w:val="center"/>
              <w:rPr>
                <w:rFonts w:hint="eastAsia" w:ascii="仿宋_GB2312" w:hAnsi="宋体" w:eastAsia="仿宋_GB2312" w:cs="宋体"/>
                <w:color w:val="auto"/>
                <w:szCs w:val="21"/>
                <w:highlight w:val="none"/>
              </w:rPr>
            </w:pPr>
          </w:p>
        </w:tc>
        <w:tc>
          <w:tcPr>
            <w:tcW w:w="1519" w:type="dxa"/>
            <w:vAlign w:val="center"/>
          </w:tcPr>
          <w:p>
            <w:pPr>
              <w:pStyle w:val="74"/>
              <w:snapToGrid w:val="0"/>
              <w:spacing w:line="240" w:lineRule="auto"/>
              <w:ind w:firstLine="0" w:firstLineChars="0"/>
              <w:rPr>
                <w:rFonts w:hint="eastAsia" w:ascii="仿宋_GB2312" w:hAnsi="宋体" w:eastAsia="仿宋_GB2312" w:cs="宋体"/>
                <w:strike/>
                <w:color w:val="auto"/>
                <w:sz w:val="21"/>
                <w:szCs w:val="21"/>
                <w:highlight w:val="none"/>
              </w:rPr>
            </w:pPr>
            <w:r>
              <w:rPr>
                <w:rFonts w:hint="eastAsia" w:ascii="仿宋_GB2312" w:hAnsi="宋体" w:eastAsia="仿宋_GB2312" w:cs="宋体"/>
                <w:color w:val="auto"/>
                <w:sz w:val="21"/>
                <w:szCs w:val="21"/>
                <w:highlight w:val="none"/>
              </w:rPr>
              <w:t>生态环境质量指数</w:t>
            </w:r>
          </w:p>
        </w:tc>
        <w:tc>
          <w:tcPr>
            <w:tcW w:w="1259"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75.2（优）</w:t>
            </w:r>
          </w:p>
        </w:tc>
        <w:tc>
          <w:tcPr>
            <w:tcW w:w="1451"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达到</w:t>
            </w:r>
          </w:p>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市级要求</w:t>
            </w:r>
          </w:p>
        </w:tc>
        <w:tc>
          <w:tcPr>
            <w:tcW w:w="1887" w:type="dxa"/>
            <w:vAlign w:val="center"/>
          </w:tcPr>
          <w:p>
            <w:pPr>
              <w:jc w:val="center"/>
              <w:rPr>
                <w:rFonts w:hint="eastAsia" w:ascii="仿宋_GB2312" w:eastAsia="仿宋_GB2312"/>
                <w:color w:val="auto"/>
                <w:szCs w:val="21"/>
                <w:highlight w:val="none"/>
              </w:rPr>
            </w:pPr>
            <w:r>
              <w:rPr>
                <w:rFonts w:hint="eastAsia" w:ascii="仿宋_GB2312" w:eastAsia="仿宋_GB2312"/>
                <w:color w:val="auto"/>
                <w:szCs w:val="21"/>
                <w:highlight w:val="none"/>
              </w:rPr>
              <w:t>76</w:t>
            </w:r>
          </w:p>
          <w:p>
            <w:pPr>
              <w:jc w:val="center"/>
              <w:rPr>
                <w:rFonts w:hint="eastAsia" w:ascii="仿宋_GB2312" w:hAnsi="宋体" w:eastAsia="仿宋_GB2312" w:cs="宋体"/>
                <w:color w:val="auto"/>
                <w:szCs w:val="21"/>
                <w:highlight w:val="none"/>
              </w:rPr>
            </w:pPr>
            <w:r>
              <w:rPr>
                <w:rFonts w:hint="eastAsia" w:ascii="仿宋_GB2312" w:eastAsia="仿宋_GB2312"/>
                <w:color w:val="auto"/>
                <w:szCs w:val="21"/>
                <w:highlight w:val="none"/>
              </w:rPr>
              <w:t>（2024年）</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能完成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18</w:t>
            </w:r>
          </w:p>
        </w:tc>
        <w:tc>
          <w:tcPr>
            <w:tcW w:w="0" w:type="auto"/>
            <w:vMerge w:val="continue"/>
            <w:vAlign w:val="center"/>
          </w:tcPr>
          <w:p>
            <w:pPr>
              <w:jc w:val="center"/>
              <w:rPr>
                <w:rFonts w:hint="eastAsia" w:ascii="仿宋_GB2312" w:hAnsi="宋体" w:eastAsia="仿宋_GB2312" w:cs="宋体"/>
                <w:color w:val="auto"/>
                <w:szCs w:val="21"/>
                <w:highlight w:val="none"/>
              </w:rPr>
            </w:pPr>
          </w:p>
        </w:tc>
        <w:tc>
          <w:tcPr>
            <w:tcW w:w="1519" w:type="dxa"/>
            <w:vAlign w:val="center"/>
          </w:tcPr>
          <w:p>
            <w:pPr>
              <w:pStyle w:val="74"/>
              <w:snapToGrid w:val="0"/>
              <w:spacing w:line="240" w:lineRule="auto"/>
              <w:ind w:firstLine="0" w:firstLineChars="0"/>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森林覆盖率（%）</w:t>
            </w:r>
          </w:p>
        </w:tc>
        <w:tc>
          <w:tcPr>
            <w:tcW w:w="1259"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61.6</w:t>
            </w:r>
          </w:p>
        </w:tc>
        <w:tc>
          <w:tcPr>
            <w:tcW w:w="1451"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62.0</w:t>
            </w:r>
          </w:p>
        </w:tc>
        <w:tc>
          <w:tcPr>
            <w:tcW w:w="1887" w:type="dxa"/>
            <w:vAlign w:val="center"/>
          </w:tcPr>
          <w:p>
            <w:pPr>
              <w:jc w:val="center"/>
              <w:rPr>
                <w:rFonts w:hint="eastAsia" w:ascii="仿宋_GB2312" w:hAnsi="宋体" w:eastAsia="仿宋_GB2312" w:cs="宋体"/>
                <w:color w:val="auto"/>
                <w:szCs w:val="21"/>
                <w:highlight w:val="none"/>
              </w:rPr>
            </w:pPr>
            <w:bookmarkStart w:id="14" w:name="_Hlk201860032"/>
            <w:r>
              <w:rPr>
                <w:rFonts w:hint="eastAsia" w:ascii="仿宋_GB2312" w:hAnsi="宋体" w:eastAsia="仿宋_GB2312" w:cs="宋体"/>
                <w:color w:val="auto"/>
                <w:szCs w:val="21"/>
                <w:highlight w:val="none"/>
              </w:rPr>
              <w:t>65.22</w:t>
            </w:r>
            <w:bookmarkEnd w:id="14"/>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已完成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19</w:t>
            </w:r>
          </w:p>
        </w:tc>
        <w:tc>
          <w:tcPr>
            <w:tcW w:w="0" w:type="auto"/>
            <w:vMerge w:val="continue"/>
            <w:vAlign w:val="center"/>
          </w:tcPr>
          <w:p>
            <w:pPr>
              <w:jc w:val="center"/>
              <w:rPr>
                <w:rFonts w:hint="eastAsia" w:ascii="仿宋_GB2312" w:hAnsi="宋体" w:eastAsia="仿宋_GB2312" w:cs="宋体"/>
                <w:color w:val="auto"/>
                <w:szCs w:val="21"/>
                <w:highlight w:val="none"/>
              </w:rPr>
            </w:pPr>
          </w:p>
        </w:tc>
        <w:tc>
          <w:tcPr>
            <w:tcW w:w="1519" w:type="dxa"/>
            <w:vAlign w:val="center"/>
          </w:tcPr>
          <w:p>
            <w:pPr>
              <w:pStyle w:val="74"/>
              <w:snapToGrid w:val="0"/>
              <w:spacing w:line="240" w:lineRule="auto"/>
              <w:ind w:firstLine="0" w:firstLineChars="0"/>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城市绿化覆盖率（%）</w:t>
            </w:r>
          </w:p>
        </w:tc>
        <w:tc>
          <w:tcPr>
            <w:tcW w:w="1259"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52.91</w:t>
            </w:r>
          </w:p>
        </w:tc>
        <w:tc>
          <w:tcPr>
            <w:tcW w:w="1451"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53.27</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56.25</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已完成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20</w:t>
            </w:r>
          </w:p>
        </w:tc>
        <w:tc>
          <w:tcPr>
            <w:tcW w:w="0" w:type="auto"/>
            <w:vMerge w:val="restart"/>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生活文明</w:t>
            </w:r>
          </w:p>
        </w:tc>
        <w:tc>
          <w:tcPr>
            <w:tcW w:w="1519" w:type="dxa"/>
            <w:vAlign w:val="center"/>
          </w:tcPr>
          <w:p>
            <w:pPr>
              <w:pStyle w:val="74"/>
              <w:snapToGrid w:val="0"/>
              <w:spacing w:line="240" w:lineRule="auto"/>
              <w:ind w:firstLine="0" w:firstLineChars="0"/>
              <w:rPr>
                <w:rFonts w:hint="eastAsia" w:ascii="仿宋_GB2312" w:hAnsi="宋体" w:eastAsia="仿宋_GB2312" w:cs="宋体"/>
                <w:color w:val="auto"/>
                <w:sz w:val="21"/>
                <w:szCs w:val="21"/>
                <w:highlight w:val="none"/>
                <w:lang w:val="en-US"/>
              </w:rPr>
            </w:pPr>
            <w:r>
              <w:rPr>
                <w:rFonts w:hint="eastAsia" w:ascii="仿宋_GB2312" w:hAnsi="宋体" w:eastAsia="仿宋_GB2312" w:cs="宋体"/>
                <w:color w:val="auto"/>
                <w:sz w:val="21"/>
                <w:szCs w:val="21"/>
                <w:highlight w:val="none"/>
              </w:rPr>
              <w:t>生活垃圾回收利用率</w:t>
            </w:r>
            <w:r>
              <w:rPr>
                <w:rFonts w:hint="eastAsia" w:ascii="仿宋_GB2312" w:hAnsi="宋体" w:eastAsia="仿宋_GB2312" w:cs="宋体"/>
                <w:color w:val="auto"/>
                <w:sz w:val="21"/>
                <w:szCs w:val="21"/>
                <w:highlight w:val="none"/>
                <w:lang w:val="en-US"/>
              </w:rPr>
              <w:t>（%）</w:t>
            </w:r>
          </w:p>
        </w:tc>
        <w:tc>
          <w:tcPr>
            <w:tcW w:w="1259"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w:t>
            </w:r>
          </w:p>
        </w:tc>
        <w:tc>
          <w:tcPr>
            <w:tcW w:w="1451"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37.5</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41</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已完成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21</w:t>
            </w:r>
          </w:p>
        </w:tc>
        <w:tc>
          <w:tcPr>
            <w:tcW w:w="0" w:type="auto"/>
            <w:vMerge w:val="continue"/>
            <w:vAlign w:val="center"/>
          </w:tcPr>
          <w:p>
            <w:pPr>
              <w:pStyle w:val="74"/>
              <w:snapToGrid w:val="0"/>
              <w:spacing w:line="240" w:lineRule="auto"/>
              <w:ind w:firstLine="0" w:firstLineChars="0"/>
              <w:jc w:val="both"/>
              <w:rPr>
                <w:rFonts w:hint="eastAsia" w:ascii="仿宋_GB2312" w:hAnsi="宋体" w:eastAsia="仿宋_GB2312" w:cs="宋体"/>
                <w:color w:val="auto"/>
                <w:sz w:val="21"/>
                <w:szCs w:val="21"/>
                <w:highlight w:val="none"/>
              </w:rPr>
            </w:pPr>
          </w:p>
        </w:tc>
        <w:tc>
          <w:tcPr>
            <w:tcW w:w="1519" w:type="dxa"/>
            <w:vAlign w:val="center"/>
          </w:tcPr>
          <w:p>
            <w:pPr>
              <w:pStyle w:val="74"/>
              <w:snapToGrid w:val="0"/>
              <w:spacing w:line="240" w:lineRule="auto"/>
              <w:ind w:firstLine="0" w:firstLineChars="0"/>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绿色出行比例（%）</w:t>
            </w:r>
          </w:p>
        </w:tc>
        <w:tc>
          <w:tcPr>
            <w:tcW w:w="1259"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74</w:t>
            </w:r>
          </w:p>
        </w:tc>
        <w:tc>
          <w:tcPr>
            <w:tcW w:w="1451"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82</w:t>
            </w:r>
          </w:p>
        </w:tc>
        <w:tc>
          <w:tcPr>
            <w:tcW w:w="1887"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82.25</w:t>
            </w:r>
          </w:p>
          <w:p>
            <w:pPr>
              <w:jc w:val="center"/>
              <w:rPr>
                <w:rFonts w:hint="eastAsia" w:eastAsia="仿宋_GB2312"/>
                <w:color w:val="auto"/>
                <w:highlight w:val="none"/>
              </w:rPr>
            </w:pPr>
            <w:r>
              <w:rPr>
                <w:rFonts w:hint="eastAsia" w:ascii="仿宋_GB2312" w:hAnsi="宋体" w:eastAsia="仿宋_GB2312" w:cs="宋体"/>
                <w:color w:val="auto"/>
                <w:szCs w:val="21"/>
                <w:highlight w:val="none"/>
              </w:rPr>
              <w:t>（2024年）</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能完成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0" w:type="auto"/>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22</w:t>
            </w:r>
          </w:p>
        </w:tc>
        <w:tc>
          <w:tcPr>
            <w:tcW w:w="0" w:type="auto"/>
            <w:vMerge w:val="continue"/>
            <w:vAlign w:val="center"/>
          </w:tcPr>
          <w:p>
            <w:pPr>
              <w:pStyle w:val="74"/>
              <w:snapToGrid w:val="0"/>
              <w:spacing w:line="240" w:lineRule="auto"/>
              <w:ind w:firstLine="0" w:firstLineChars="0"/>
              <w:jc w:val="both"/>
              <w:rPr>
                <w:rFonts w:hint="eastAsia" w:ascii="仿宋_GB2312" w:hAnsi="宋体" w:eastAsia="仿宋_GB2312" w:cs="宋体"/>
                <w:color w:val="auto"/>
                <w:sz w:val="21"/>
                <w:szCs w:val="21"/>
                <w:highlight w:val="none"/>
              </w:rPr>
            </w:pPr>
          </w:p>
        </w:tc>
        <w:tc>
          <w:tcPr>
            <w:tcW w:w="1519" w:type="dxa"/>
            <w:vAlign w:val="center"/>
          </w:tcPr>
          <w:p>
            <w:pPr>
              <w:pStyle w:val="74"/>
              <w:snapToGrid w:val="0"/>
              <w:spacing w:line="240" w:lineRule="auto"/>
              <w:ind w:firstLine="0" w:firstLineChars="0"/>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公众对生态环境质量满意度（%）</w:t>
            </w:r>
          </w:p>
        </w:tc>
        <w:tc>
          <w:tcPr>
            <w:tcW w:w="1259"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96.5</w:t>
            </w:r>
          </w:p>
        </w:tc>
        <w:tc>
          <w:tcPr>
            <w:tcW w:w="1451" w:type="dxa"/>
            <w:vAlign w:val="center"/>
          </w:tcPr>
          <w:p>
            <w:pPr>
              <w:pStyle w:val="74"/>
              <w:snapToGrid w:val="0"/>
              <w:spacing w:line="240" w:lineRule="auto"/>
              <w:ind w:firstLine="0" w:firstLineChars="0"/>
              <w:jc w:val="center"/>
              <w:rPr>
                <w:rFonts w:hint="eastAsia" w:ascii="仿宋_GB2312" w:hAnsi="宋体" w:eastAsia="仿宋_GB2312" w:cs="宋体"/>
                <w:color w:val="auto"/>
                <w:sz w:val="21"/>
                <w:szCs w:val="21"/>
                <w:highlight w:val="none"/>
              </w:rPr>
            </w:pPr>
            <w:r>
              <w:rPr>
                <w:rFonts w:hint="eastAsia" w:ascii="仿宋_GB2312" w:hAnsi="宋体" w:eastAsia="仿宋_GB2312" w:cs="宋体"/>
                <w:color w:val="auto"/>
                <w:sz w:val="21"/>
                <w:szCs w:val="21"/>
                <w:highlight w:val="none"/>
              </w:rPr>
              <w:t>稳中有升</w:t>
            </w:r>
          </w:p>
        </w:tc>
        <w:tc>
          <w:tcPr>
            <w:tcW w:w="1887" w:type="dxa"/>
            <w:vAlign w:val="center"/>
          </w:tcPr>
          <w:p>
            <w:pPr>
              <w:jc w:val="center"/>
              <w:rPr>
                <w:rFonts w:hint="eastAsia" w:ascii="仿宋_GB2312" w:hAnsi="宋体" w:eastAsia="仿宋_GB2312" w:cs="宋体"/>
                <w:color w:val="auto"/>
                <w:kern w:val="0"/>
                <w:szCs w:val="21"/>
                <w:highlight w:val="none"/>
                <w:lang w:val="zh-CN"/>
              </w:rPr>
            </w:pPr>
            <w:bookmarkStart w:id="15" w:name="_Hlk201860164"/>
            <w:r>
              <w:rPr>
                <w:rFonts w:hint="eastAsia" w:ascii="仿宋_GB2312" w:hAnsi="宋体" w:eastAsia="仿宋_GB2312" w:cs="宋体"/>
                <w:color w:val="auto"/>
                <w:kern w:val="0"/>
                <w:szCs w:val="21"/>
                <w:highlight w:val="none"/>
                <w:lang w:val="zh-CN"/>
              </w:rPr>
              <w:t>97</w:t>
            </w:r>
            <w:bookmarkEnd w:id="15"/>
          </w:p>
          <w:p>
            <w:pPr>
              <w:jc w:val="center"/>
              <w:rPr>
                <w:rFonts w:hint="eastAsia" w:ascii="仿宋_GB2312" w:eastAsia="仿宋_GB2312"/>
                <w:color w:val="auto"/>
                <w:szCs w:val="21"/>
                <w:highlight w:val="none"/>
              </w:rPr>
            </w:pPr>
            <w:r>
              <w:rPr>
                <w:rFonts w:hint="eastAsia" w:ascii="仿宋_GB2312" w:hAnsi="宋体" w:eastAsia="仿宋_GB2312" w:cs="宋体"/>
                <w:color w:val="auto"/>
                <w:kern w:val="0"/>
                <w:szCs w:val="21"/>
                <w:highlight w:val="none"/>
                <w:lang w:val="zh-CN"/>
              </w:rPr>
              <w:t>（202</w:t>
            </w:r>
            <w:r>
              <w:rPr>
                <w:rFonts w:hint="eastAsia" w:ascii="仿宋_GB2312" w:hAnsi="宋体" w:eastAsia="仿宋_GB2312" w:cs="宋体"/>
                <w:color w:val="auto"/>
                <w:kern w:val="0"/>
                <w:szCs w:val="21"/>
                <w:highlight w:val="none"/>
              </w:rPr>
              <w:t>4</w:t>
            </w:r>
            <w:r>
              <w:rPr>
                <w:rFonts w:hint="eastAsia" w:ascii="仿宋_GB2312" w:hAnsi="宋体" w:eastAsia="仿宋_GB2312" w:cs="宋体"/>
                <w:color w:val="auto"/>
                <w:kern w:val="0"/>
                <w:szCs w:val="21"/>
                <w:highlight w:val="none"/>
                <w:lang w:val="zh-CN"/>
              </w:rPr>
              <w:t>年）</w:t>
            </w:r>
          </w:p>
        </w:tc>
        <w:tc>
          <w:tcPr>
            <w:tcW w:w="1183"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能完成</w:t>
            </w:r>
          </w:p>
        </w:tc>
        <w:tc>
          <w:tcPr>
            <w:tcW w:w="968" w:type="dxa"/>
            <w:vAlign w:val="center"/>
          </w:tcPr>
          <w:p>
            <w:pPr>
              <w:jc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预期性</w:t>
            </w:r>
          </w:p>
        </w:tc>
      </w:tr>
    </w:tbl>
    <w:p>
      <w:pPr>
        <w:widowControl/>
        <w:pBdr>
          <w:top w:val="none" w:color="auto" w:sz="0" w:space="1"/>
          <w:bottom w:val="none" w:color="auto" w:sz="0" w:space="16"/>
        </w:pBdr>
        <w:tabs>
          <w:tab w:val="left" w:pos="1440"/>
        </w:tabs>
        <w:spacing w:line="560" w:lineRule="exact"/>
        <w:ind w:firstLine="640" w:firstLineChars="200"/>
        <w:rPr>
          <w:rFonts w:hint="eastAsia" w:ascii="仿宋_GB2312" w:hAnsi="仿宋_GB2312" w:eastAsia="仿宋_GB2312" w:cs="仿宋_GB2312"/>
          <w:color w:val="auto"/>
          <w:sz w:val="32"/>
          <w:szCs w:val="32"/>
          <w:highlight w:val="none"/>
        </w:rPr>
      </w:pPr>
    </w:p>
    <w:p>
      <w:pPr>
        <w:pStyle w:val="66"/>
        <w:rPr>
          <w:rFonts w:hint="eastAsia" w:ascii="楷体_GB2312" w:hAnsi="楷体_GB2312" w:eastAsia="楷体_GB2312" w:cs="楷体_GB2312"/>
          <w:b w:val="0"/>
          <w:bCs/>
          <w:color w:val="auto"/>
          <w:sz w:val="28"/>
          <w:szCs w:val="28"/>
          <w:highlight w:val="none"/>
          <w14:ligatures w14:val="none"/>
        </w:rPr>
      </w:pPr>
    </w:p>
    <w:bookmarkEnd w:id="13"/>
    <w:p>
      <w:pPr>
        <w:pStyle w:val="63"/>
        <w:adjustRightInd w:val="0"/>
        <w:snapToGrid w:val="0"/>
        <w:spacing w:line="560" w:lineRule="exact"/>
        <w:ind w:firstLine="800"/>
        <w:rPr>
          <w:rFonts w:hint="eastAsia" w:ascii="仿宋_GB2312" w:hAnsi="仿宋_GB2312" w:eastAsia="仿宋_GB2312" w:cs="仿宋_GB2312"/>
          <w:color w:val="auto"/>
          <w:sz w:val="40"/>
          <w:szCs w:val="40"/>
          <w:highlight w:val="none"/>
        </w:rPr>
        <w:sectPr>
          <w:footerReference r:id="rId4" w:type="default"/>
          <w:pgSz w:w="11906" w:h="16838"/>
          <w:pgMar w:top="1440" w:right="1800" w:bottom="1440" w:left="1800" w:header="851" w:footer="992" w:gutter="0"/>
          <w:pgNumType w:fmt="numberInDash" w:start="1"/>
          <w:cols w:space="425" w:num="1"/>
          <w:docGrid w:type="lines" w:linePitch="312" w:charSpace="0"/>
        </w:sectPr>
      </w:pP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6" w:name="_Hlk214464733"/>
      <w:r>
        <w:rPr>
          <w:rFonts w:hint="eastAsia" w:ascii="楷体_GB2312" w:hAnsi="楷体_GB2312" w:eastAsia="楷体_GB2312" w:cs="楷体_GB2312"/>
          <w:color w:val="auto"/>
          <w:sz w:val="32"/>
          <w:szCs w:val="32"/>
          <w:highlight w:val="none"/>
        </w:rPr>
        <w:t>（二）污染防治攻坚战取得新突破</w:t>
      </w:r>
    </w:p>
    <w:p>
      <w:pPr>
        <w:pStyle w:val="63"/>
        <w:adjustRightInd w:val="0"/>
        <w:snapToGrid w:val="0"/>
        <w:spacing w:line="560" w:lineRule="exact"/>
        <w:ind w:firstLine="643"/>
        <w:rPr>
          <w:color w:val="auto"/>
          <w:highlight w:val="none"/>
        </w:rPr>
      </w:pPr>
      <w:r>
        <w:rPr>
          <w:rFonts w:hint="eastAsia" w:ascii="仿宋_GB2312" w:hAnsi="仿宋_GB2312" w:eastAsia="仿宋_GB2312" w:cs="仿宋_GB2312"/>
          <w:b/>
          <w:bCs/>
          <w:color w:val="auto"/>
          <w:sz w:val="32"/>
          <w:szCs w:val="32"/>
          <w:highlight w:val="none"/>
        </w:rPr>
        <w:t>蓝天保卫战铸就“延庆蓝”。</w:t>
      </w:r>
      <w:r>
        <w:rPr>
          <w:rFonts w:hint="eastAsia" w:ascii="仿宋_GB2312" w:hAnsi="仿宋_GB2312" w:eastAsia="仿宋_GB2312" w:cs="仿宋_GB2312"/>
          <w:color w:val="auto"/>
          <w:sz w:val="32"/>
          <w:szCs w:val="32"/>
          <w:highlight w:val="none"/>
        </w:rPr>
        <w:t>深入实施“0.1微克”行动，强化“四尘”共治，推进PM</w:t>
      </w:r>
      <w:r>
        <w:rPr>
          <w:rFonts w:hint="eastAsia" w:ascii="仿宋_GB2312" w:hAnsi="仿宋_GB2312" w:eastAsia="仿宋_GB2312" w:cs="仿宋_GB2312"/>
          <w:color w:val="auto"/>
          <w:sz w:val="32"/>
          <w:szCs w:val="32"/>
          <w:highlight w:val="none"/>
          <w:vertAlign w:val="subscript"/>
        </w:rPr>
        <w:t>2.5</w:t>
      </w:r>
      <w:r>
        <w:rPr>
          <w:rFonts w:hint="eastAsia" w:ascii="仿宋_GB2312" w:hAnsi="仿宋_GB2312" w:eastAsia="仿宋_GB2312" w:cs="仿宋_GB2312"/>
          <w:color w:val="auto"/>
          <w:sz w:val="32"/>
          <w:szCs w:val="32"/>
          <w:highlight w:val="none"/>
        </w:rPr>
        <w:t>、温室气体和臭氧协同治理。出台新能源叉车和国三国四柴油车补贴方案，系统提升企业“含绿量”，开展挥发性有机物治理攻坚行动，推进餐饮废气油烟净化设施更换升级等工作。PM</w:t>
      </w:r>
      <w:r>
        <w:rPr>
          <w:rFonts w:hint="eastAsia" w:ascii="仿宋_GB2312" w:hAnsi="仿宋_GB2312" w:eastAsia="仿宋_GB2312" w:cs="仿宋_GB2312"/>
          <w:color w:val="auto"/>
          <w:sz w:val="32"/>
          <w:szCs w:val="32"/>
          <w:highlight w:val="none"/>
          <w:vertAlign w:val="subscript"/>
        </w:rPr>
        <w:t>2.5</w:t>
      </w:r>
      <w:r>
        <w:rPr>
          <w:rFonts w:hint="eastAsia" w:ascii="仿宋_GB2312" w:hAnsi="仿宋_GB2312" w:eastAsia="仿宋_GB2312" w:cs="仿宋_GB2312"/>
          <w:color w:val="auto"/>
          <w:sz w:val="32"/>
          <w:szCs w:val="32"/>
          <w:highlight w:val="none"/>
        </w:rPr>
        <w:t>年均浓度由2020年31微克/立方米降到2024年27微克/立方米，降幅12.9%，连续四年稳定达标；空气质量优良天数由2020年的297天提升为2024年的313天，是全市唯一突破300天的区，创历史新高。</w:t>
      </w:r>
      <w:r>
        <w:rPr>
          <w:rFonts w:ascii="仿宋_GB2312" w:hAnsi="仿宋_GB2312" w:eastAsia="仿宋_GB2312" w:cs="仿宋_GB2312"/>
          <w:color w:val="auto"/>
          <w:sz w:val="32"/>
          <w:szCs w:val="32"/>
          <w:highlight w:val="none"/>
        </w:rPr>
        <w:t>2025年上半年，PM</w:t>
      </w:r>
      <w:r>
        <w:rPr>
          <w:rFonts w:hint="eastAsia" w:ascii="仿宋_GB2312" w:hAnsi="仿宋_GB2312" w:eastAsia="仿宋_GB2312" w:cs="仿宋_GB2312"/>
          <w:color w:val="auto"/>
          <w:sz w:val="32"/>
          <w:szCs w:val="32"/>
          <w:highlight w:val="none"/>
          <w:vertAlign w:val="subscript"/>
        </w:rPr>
        <w:t>2.5</w:t>
      </w:r>
      <w:r>
        <w:rPr>
          <w:rFonts w:ascii="仿宋_GB2312" w:hAnsi="仿宋_GB2312" w:eastAsia="仿宋_GB2312" w:cs="仿宋_GB2312"/>
          <w:color w:val="auto"/>
          <w:sz w:val="32"/>
          <w:szCs w:val="32"/>
          <w:highlight w:val="none"/>
        </w:rPr>
        <w:t>累计平均浓度24.6微克/立方米、累计优良天数150天、空气质量综合指数</w:t>
      </w:r>
      <w:r>
        <w:rPr>
          <w:rFonts w:hint="eastAsia" w:ascii="仿宋_GB2312" w:hAnsi="仿宋_GB2312" w:eastAsia="仿宋_GB2312" w:cs="仿宋_GB2312"/>
          <w:color w:val="auto"/>
          <w:sz w:val="32"/>
          <w:szCs w:val="32"/>
          <w:highlight w:val="none"/>
        </w:rPr>
        <w:t>3.07，以上三项</w:t>
      </w:r>
      <w:r>
        <w:rPr>
          <w:rFonts w:ascii="仿宋_GB2312" w:hAnsi="仿宋_GB2312" w:eastAsia="仿宋_GB2312" w:cs="仿宋_GB2312"/>
          <w:color w:val="auto"/>
          <w:sz w:val="32"/>
          <w:szCs w:val="32"/>
          <w:highlight w:val="none"/>
        </w:rPr>
        <w:t>指标均居全市首位</w:t>
      </w:r>
      <w:r>
        <w:rPr>
          <w:rFonts w:hint="eastAsia" w:ascii="仿宋_GB2312" w:hAnsi="仿宋_GB2312" w:eastAsia="仿宋_GB2312" w:cs="仿宋_GB2312"/>
          <w:color w:val="auto"/>
          <w:sz w:val="32"/>
          <w:szCs w:val="32"/>
          <w:highlight w:val="none"/>
        </w:rPr>
        <w:t>。</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碧水保卫战护航“妫水清”。</w:t>
      </w:r>
      <w:r>
        <w:rPr>
          <w:rFonts w:hint="eastAsia" w:ascii="仿宋_GB2312" w:hAnsi="仿宋_GB2312" w:eastAsia="仿宋_GB2312" w:cs="仿宋_GB2312"/>
          <w:color w:val="auto"/>
          <w:sz w:val="32"/>
          <w:szCs w:val="32"/>
          <w:highlight w:val="none"/>
        </w:rPr>
        <w:t>统筹“三水”共治。持续推进水生态提升，实施官厅水库库滨带、官厅水库上游流域、白河堡水库水源地等水生态保护与修复工程；完成妫水河、白河、佛峪口河等12条河流及白河堡水库、佛峪口水库2座水库的水生态空间管控规划；开展饮用水水源地环境状况调查评估和流域水生态调查，实地排查全区247个入河排口、300余个村的农村污水处理设施；以妫河流域为重点，开展生态修复，建设水生态廊道。推进水资源保护和空间配置优化，2021年开始地下水位持续回升；2024年白河堡水库水位达到599.13米创建库以来最高记录；实施水系连通工程，白河堡水库向白河、妫水河、宝林寺河等河流生态补水1659.51万立方米。保持水环境质量全市领先，推动平原区地表水供水、美丽乡村污水收集处理三期等工程完工；协同做好密云水库、官厅水库流域水源保护联防联控，密云水库流域总氮削减量全市第一；“清管行动”圆满完成；7个国考、市考断面水质均达到或优于考核标准，优良水体比例达到100%。</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净土保卫战保持“土壤净”。</w:t>
      </w:r>
      <w:r>
        <w:rPr>
          <w:rFonts w:hint="eastAsia" w:ascii="仿宋_GB2312" w:hAnsi="仿宋_GB2312" w:eastAsia="仿宋_GB2312" w:cs="仿宋_GB2312"/>
          <w:color w:val="auto"/>
          <w:sz w:val="32"/>
          <w:szCs w:val="32"/>
          <w:highlight w:val="none"/>
        </w:rPr>
        <w:t>持续推进土壤环境监测评价。制定《延庆区受污染耕地安全利用工作实施方案》，完成农用地、饮用水源地周边1500余个土壤点位调查监测评估工作。持续强化农业面源污染防治。制定种养循环措施方案，规模以上畜禽养殖场粪污处理设施实现全覆盖，规模养殖企业粪污综合利用率达到96.57%，规模以下畜禽粪污资源化利用率达到85%。制定化肥农药减量实施方案，农药利用率达到48.69%，化肥利用率达到43.3%。持续加强土壤污染源头管控。强化建设用地受污染地块“出入口”管理，严格管控风险房建项目相关风险，持续开展未利用地动态巡查，污染地块安全利用率、重点建设用地安全利用率达到100%。</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（三）生态建设实践迈上新台阶</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生态文明体制日趋完善。</w:t>
      </w:r>
      <w:r>
        <w:rPr>
          <w:rFonts w:hint="eastAsia" w:ascii="仿宋_GB2312" w:hAnsi="楷体_GB2312" w:eastAsia="仿宋_GB2312" w:cs="楷体_GB2312"/>
          <w:color w:val="auto"/>
          <w:sz w:val="32"/>
          <w:szCs w:val="32"/>
          <w:highlight w:val="none"/>
        </w:rPr>
        <w:t>印发实施</w:t>
      </w:r>
      <w:r>
        <w:rPr>
          <w:rFonts w:hint="eastAsia" w:ascii="仿宋_GB2312" w:hAnsi="仿宋_GB2312" w:eastAsia="仿宋_GB2312"/>
          <w:color w:val="auto"/>
          <w:sz w:val="32"/>
          <w:szCs w:val="32"/>
          <w:highlight w:val="none"/>
        </w:rPr>
        <w:t>《延庆区生态文明建设规划（2021-2035年）》，每年制定</w:t>
      </w:r>
      <w:r>
        <w:rPr>
          <w:rFonts w:hint="eastAsia" w:ascii="仿宋_GB2312" w:eastAsia="仿宋_GB2312" w:cs="仿宋_GB2312"/>
          <w:color w:val="auto"/>
          <w:sz w:val="32"/>
          <w:szCs w:val="32"/>
          <w:highlight w:val="none"/>
        </w:rPr>
        <w:t>年度工作要点，</w:t>
      </w:r>
      <w:r>
        <w:rPr>
          <w:rFonts w:hint="eastAsia" w:ascii="仿宋_GB2312" w:hAnsi="仿宋_GB2312" w:eastAsia="仿宋_GB2312"/>
          <w:color w:val="auto"/>
          <w:sz w:val="32"/>
          <w:szCs w:val="32"/>
          <w:highlight w:val="none"/>
        </w:rPr>
        <w:t>明确生态文明建设目标和重点任务。</w:t>
      </w:r>
      <w:r>
        <w:rPr>
          <w:rFonts w:hint="eastAsia" w:ascii="仿宋_GB2312" w:hAnsi="仿宋_GB2312" w:eastAsia="仿宋_GB2312" w:cs="仿宋_GB2312"/>
          <w:color w:val="auto"/>
          <w:sz w:val="32"/>
          <w:szCs w:val="32"/>
          <w:highlight w:val="none"/>
        </w:rPr>
        <w:t>生态文明委办公室以五个专项工作小组为抓手，</w:t>
      </w:r>
      <w:r>
        <w:rPr>
          <w:rFonts w:hint="eastAsia" w:ascii="仿宋_GB2312" w:hAnsi="仿宋_GB2312" w:eastAsia="仿宋_GB2312"/>
          <w:color w:val="auto"/>
          <w:sz w:val="32"/>
          <w:szCs w:val="32"/>
          <w:highlight w:val="none"/>
        </w:rPr>
        <w:t>落实“年初建账、月度报账、年底收账”的台账式管理机制，</w:t>
      </w:r>
      <w:r>
        <w:rPr>
          <w:rFonts w:hint="eastAsia" w:ascii="仿宋_GB2312" w:hAnsi="仿宋_GB2312" w:eastAsia="仿宋_GB2312" w:cs="仿宋_GB2312"/>
          <w:color w:val="auto"/>
          <w:sz w:val="32"/>
          <w:szCs w:val="32"/>
          <w:highlight w:val="none"/>
          <w:lang w:val="zh-CN"/>
        </w:rPr>
        <w:t>统筹协调，推动落实各项任务。</w:t>
      </w:r>
      <w:r>
        <w:rPr>
          <w:rFonts w:hint="eastAsia" w:ascii="仿宋_GB2312" w:hAnsi="仿宋_GB2312" w:eastAsia="仿宋_GB2312"/>
          <w:color w:val="auto"/>
          <w:sz w:val="32"/>
          <w:szCs w:val="32"/>
          <w:highlight w:val="none"/>
        </w:rPr>
        <w:t>2021-2024年圆满完成要点任务297项，2025年印发实施要点任务67项，预计可按期完成。</w:t>
      </w:r>
      <w:r>
        <w:rPr>
          <w:rFonts w:hint="eastAsia" w:ascii="仿宋_GB2312" w:hAnsi="仿宋" w:eastAsia="仿宋_GB2312"/>
          <w:color w:val="auto"/>
          <w:sz w:val="32"/>
          <w:szCs w:val="32"/>
          <w:highlight w:val="none"/>
        </w:rPr>
        <w:t>2021年以来，以</w:t>
      </w:r>
      <w:r>
        <w:rPr>
          <w:rFonts w:hint="eastAsia" w:ascii="仿宋_GB2312" w:hAnsi="仿宋" w:eastAsia="仿宋_GB2312" w:cs="仿宋"/>
          <w:bCs/>
          <w:color w:val="auto"/>
          <w:sz w:val="32"/>
          <w:szCs w:val="32"/>
          <w:highlight w:val="none"/>
        </w:rPr>
        <w:t>生态文明委和生态文明办名义印发文件46个，促进</w:t>
      </w:r>
      <w:r>
        <w:rPr>
          <w:rFonts w:hint="eastAsia" w:ascii="仿宋_GB2312" w:hAnsi="仿宋" w:eastAsia="仿宋_GB2312"/>
          <w:color w:val="auto"/>
          <w:sz w:val="32"/>
          <w:szCs w:val="32"/>
          <w:highlight w:val="none"/>
        </w:rPr>
        <w:t>生态文明建设制度体系不断完善。</w:t>
      </w:r>
      <w:r>
        <w:rPr>
          <w:rFonts w:hint="eastAsia" w:ascii="仿宋_GB2312" w:hAnsi="仿宋_GB2312" w:eastAsia="仿宋_GB2312" w:cs="仿宋_GB2312"/>
          <w:color w:val="auto"/>
          <w:sz w:val="32"/>
          <w:szCs w:val="32"/>
          <w:highlight w:val="none"/>
        </w:rPr>
        <w:t xml:space="preserve">2022年我区因在生态文明体制改革、制度创新、模式探索等方面成效显著，被国务院办公厅通报激励。 </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生态产品价值实现推陈出新。</w:t>
      </w:r>
      <w:r>
        <w:rPr>
          <w:rFonts w:hint="eastAsia" w:ascii="仿宋_GB2312" w:hAnsi="仿宋_GB2312" w:eastAsia="仿宋_GB2312" w:cs="仿宋_GB2312"/>
          <w:color w:val="auto"/>
          <w:sz w:val="32"/>
          <w:szCs w:val="32"/>
          <w:highlight w:val="none"/>
        </w:rPr>
        <w:t>在全国最早开展生态产品总值(GEP)核算，摸清全区的生态家底和生态产品总值的变化规律；在全国率先出台GEP提升工作方案，打造“智能化GEP-R提升空间管理一张图平台”，构建GEP精准提升管理体系；探索GEP核算结果应用，实现核算进考核、进补偿、进规划等“六进”，实现了让保护环境的“不吃亏、得实惠”；建立GEP长效管理机制，出台《生态产品总值推进工作小组工作方案》，初步建立像抓GDP一样抓GEP的工作机制；成功举办第一届、第三届生态产品价值实现国际研讨会，打造生态产品价值实现研究高地。“北京市延庆区探索GEP核算与结果应用”作为典型案例纳入国家</w:t>
      </w:r>
      <w:r>
        <w:rPr>
          <w:rFonts w:hint="eastAsia" w:ascii="仿宋_GB2312" w:hAnsi="仿宋_GB2312" w:eastAsia="仿宋_GB2312" w:cstheme="minorBidi"/>
          <w:color w:val="auto"/>
          <w:sz w:val="32"/>
          <w:szCs w:val="32"/>
          <w:highlight w:val="none"/>
        </w:rPr>
        <w:t>发改委编写的辅导读本。入选首批国家生态产品价值实现机制试点，全市唯一。</w:t>
      </w:r>
    </w:p>
    <w:p>
      <w:pPr>
        <w:pStyle w:val="63"/>
        <w:adjustRightInd w:val="0"/>
        <w:snapToGrid w:val="0"/>
        <w:spacing w:line="560" w:lineRule="exact"/>
        <w:ind w:firstLine="643"/>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生态保护修复系统推进。</w:t>
      </w:r>
      <w:r>
        <w:rPr>
          <w:rFonts w:hint="eastAsia" w:ascii="仿宋_GB2312" w:hAnsi="仿宋_GB2312" w:eastAsia="仿宋_GB2312" w:cs="仿宋_GB2312"/>
          <w:bCs/>
          <w:color w:val="auto"/>
          <w:sz w:val="32"/>
          <w:szCs w:val="32"/>
          <w:highlight w:val="none"/>
        </w:rPr>
        <w:t>完成矿山生态修复、康西森林湿地生态修复、河道治理与生态修复等重大生态保护修复工程。高标准完成冬奥延庆赛区生态建设及生态修复，通过山体护坡、植被复绿、水体净化等系统性举措，让冬奥赛区重现绿水青山的生态之美，擦亮生态底色，编制《北京野鸭湖国际重要湿地修复方案》,完成2023年北京野鸭湖国际重要湿地保护修复项目，恢复湿地54.08公顷。完成燕山山地生态综合治理工程。完成山区林木抚育44.09万亩，2025年继续实施12.22万亩山区林木抚育。</w:t>
      </w:r>
    </w:p>
    <w:p>
      <w:pPr>
        <w:pStyle w:val="63"/>
        <w:adjustRightInd w:val="0"/>
        <w:snapToGrid w:val="0"/>
        <w:spacing w:line="560" w:lineRule="exact"/>
        <w:ind w:firstLine="64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生态产业矩阵多元融合。</w:t>
      </w:r>
      <w:r>
        <w:rPr>
          <w:rFonts w:hint="eastAsia" w:ascii="仿宋_GB2312" w:hAnsi="仿宋_GB2312" w:eastAsia="仿宋_GB2312" w:cs="仿宋_GB2312"/>
          <w:color w:val="auto"/>
          <w:sz w:val="32"/>
          <w:szCs w:val="32"/>
          <w:highlight w:val="none"/>
          <w:shd w:val="clear" w:color="auto" w:fill="FFFFFF"/>
        </w:rPr>
        <w:t>构建具有区域特色的“1+4+1”绿色产业体系，推动经济发展与生态保护相互促进、彼此提升。</w:t>
      </w:r>
      <w:r>
        <w:rPr>
          <w:rFonts w:hint="eastAsia" w:ascii="仿宋_GB2312" w:hAnsi="仿宋_GB2312" w:eastAsia="仿宋_GB2312" w:cs="仿宋_GB2312"/>
          <w:bCs/>
          <w:color w:val="auto"/>
          <w:sz w:val="32"/>
          <w:szCs w:val="32"/>
          <w:highlight w:val="none"/>
        </w:rPr>
        <w:t>作为首批国家全域旅游示范区，构建了以京张体育文化旅游带为牵引，以长城、世园、冬奥三张“金名片”联动为重点，</w:t>
      </w:r>
      <w:r>
        <w:rPr>
          <w:rFonts w:hint="eastAsia" w:ascii="仿宋_GB2312" w:hAnsi="仿宋_GB2312" w:eastAsia="仿宋_GB2312" w:cs="仿宋_GB2312"/>
          <w:color w:val="auto"/>
          <w:sz w:val="32"/>
          <w:szCs w:val="32"/>
          <w:highlight w:val="none"/>
        </w:rPr>
        <w:t>以户外运动城市建设为突破，以“九沟十八湾”系统谋划为补充，</w:t>
      </w:r>
      <w:r>
        <w:rPr>
          <w:rFonts w:hint="eastAsia" w:ascii="仿宋_GB2312" w:hAnsi="仿宋_GB2312" w:eastAsia="仿宋_GB2312" w:cs="仿宋_GB2312"/>
          <w:bCs/>
          <w:color w:val="auto"/>
          <w:sz w:val="32"/>
          <w:szCs w:val="32"/>
          <w:highlight w:val="none"/>
        </w:rPr>
        <w:t>“四大板块”统筹建设的全域旅游大格局，</w:t>
      </w:r>
      <w:r>
        <w:rPr>
          <w:rFonts w:hint="eastAsia" w:ascii="仿宋_GB2312" w:hAnsi="仿宋_GB2312" w:eastAsia="仿宋_GB2312" w:cs="仿宋_GB2312"/>
          <w:color w:val="auto"/>
          <w:sz w:val="32"/>
          <w:szCs w:val="32"/>
          <w:highlight w:val="none"/>
        </w:rPr>
        <w:t>2024年全区旅游综合收入135亿元，生态涵养区第一,同比增长21%，创历史新高。以中关村延庆园为核心，大力推进无人机、体育科技、新能源与节能环保、园艺科技四大重点培育产业的创新功能集聚。深化国家农业绿色发展先行区、全国休闲农业重点区建设，建设国家农业科技园区、北京市林果花草蜂药种业创新孵化基地，首创特色产业首席专家机制，打造“妫水农耕”品牌。</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生态法治建设坚决有力。</w:t>
      </w:r>
      <w:r>
        <w:rPr>
          <w:rFonts w:hint="eastAsia" w:ascii="仿宋_GB2312" w:hAnsi="仿宋_GB2312" w:eastAsia="仿宋_GB2312" w:cs="仿宋_GB2312"/>
          <w:color w:val="auto"/>
          <w:sz w:val="32"/>
          <w:szCs w:val="32"/>
          <w:highlight w:val="none"/>
        </w:rPr>
        <w:t>延庆公安分局在全市首创生态警务模式，全区成立生态警务站6个，设立生态警长70余个，并在中小学生群体发展生态小警长81名，传播生态文明思想，凝聚生态保护合力；区检察院设立生态检察联络室，利用大数据法律监督模型，筛查推送污染环境、生态破坏等案件线索，延伸监督触角；区法院在全国最早成立环境资源法庭，设立生态普法驿站，构建“延怀赤”环境司法跨域协作机制，联合建立增殖放流司法保护基地、生态环境司法保护（修复）基地，“延怀赤”司法协作经验被最高法院《环资审判工作动态》编发推介；区司法局梳理自然保护区、冰面垂钓等领域执法职权，规范基层行政执法边界，加强执法监督；生态环境、园林绿化、农业农村等部门，依据职责开展生态环境领域执法检查，初步形成了公检法司和行政执法机关各负其责、协同联动的“生态环境大保护”机制。</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（四）绿色发展水平持续提升</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bookmarkStart w:id="17" w:name="_Hlk206335751"/>
      <w:r>
        <w:rPr>
          <w:rFonts w:hint="eastAsia" w:ascii="仿宋_GB2312" w:hAnsi="仿宋_GB2312" w:eastAsia="仿宋_GB2312" w:cs="仿宋_GB2312"/>
          <w:b/>
          <w:bCs/>
          <w:color w:val="auto"/>
          <w:sz w:val="32"/>
          <w:szCs w:val="32"/>
          <w:highlight w:val="none"/>
        </w:rPr>
        <w:t>低碳产业蓬勃发展</w:t>
      </w:r>
      <w:bookmarkEnd w:id="17"/>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编制《中关村科技园区延庆园绿电示范园区建设实施方案》，从绿电供应、绿电交易、绿色建筑、绿色交通、数字化园区、绿色产业、绿色文化七方面，打造成全市首个绿电示范园区。氢能源产业稳步发展，建成加氢站5座，与河北、天津等12个城市组成京津冀氢燃料电池汽车示范城市群。大力推动太阳能光热、光伏、热泵等技术应用，在全市率先编制《延庆区绿色低碳美丽城市建设方案（2024年-2035年）》，系统性构建、项目化推进绿色低碳美丽城市建设，延庆奥林匹克园区、延庆休闲度假商务区分别获评绿色生态示范区、北京市绿色生态试点区。创建“零碳小屋”等特色生态品牌。入选首批全国深化气候适应型城市建设试点。高质量完成冬奥延庆赛区场馆建设及46项重点工程。新建场馆100%达到绿色建筑三星级标准，通过光伏一体化、地源热泵等前沿技术应用，实现建筑全生命周期低碳运行。建设张北柔性直流电网工程，实现奥运史上首次场馆100%绿电供应，树立了国际大型赛事绿色场馆标杆。</w:t>
      </w:r>
    </w:p>
    <w:p>
      <w:pPr>
        <w:pStyle w:val="63"/>
        <w:adjustRightInd w:val="0"/>
        <w:snapToGrid w:val="0"/>
        <w:spacing w:line="560" w:lineRule="exact"/>
        <w:ind w:firstLine="643"/>
        <w:rPr>
          <w:rFonts w:hint="eastAsia" w:ascii="仿宋_GB2312" w:hAnsi="仿宋_GB2312" w:eastAsia="仿宋_GB2312" w:cs="仿宋_GB2312"/>
          <w:b/>
          <w:bCs/>
          <w:color w:val="auto"/>
          <w:sz w:val="32"/>
          <w:szCs w:val="32"/>
          <w:highlight w:val="none"/>
        </w:rPr>
      </w:pPr>
      <w:bookmarkStart w:id="18" w:name="_Hlk206335806"/>
      <w:r>
        <w:rPr>
          <w:rFonts w:hint="eastAsia" w:ascii="仿宋_GB2312" w:hAnsi="仿宋_GB2312" w:eastAsia="仿宋_GB2312" w:cs="仿宋_GB2312"/>
          <w:b/>
          <w:bCs/>
          <w:color w:val="auto"/>
          <w:sz w:val="32"/>
          <w:szCs w:val="32"/>
          <w:highlight w:val="none"/>
        </w:rPr>
        <w:t>生态空间优化扩容</w:t>
      </w:r>
      <w:bookmarkEnd w:id="18"/>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严格执行新版北京城市总体规划，在全市率先印发实施《延庆区“三线一单”生态环境分区管控实施方案》，制定区级生态环境准入清单，深入构建以推动绿色发展为目标的国土空间开发保护布局。生态保护红线面积达714.10平方公里，约占国土面积的35.8%。人均公园绿地面积</w:t>
      </w:r>
      <w:r>
        <w:rPr>
          <w:rFonts w:hint="eastAsia" w:ascii="仿宋_GB2312" w:hAnsi="仿宋_GB2312" w:eastAsia="仿宋_GB2312" w:cs="仿宋_GB2312"/>
          <w:color w:val="auto"/>
          <w:sz w:val="32"/>
          <w:szCs w:val="32"/>
          <w:highlight w:val="none"/>
          <w:lang w:val="en"/>
        </w:rPr>
        <w:t>46.37</w:t>
      </w:r>
      <w:r>
        <w:rPr>
          <w:rFonts w:hint="eastAsia" w:ascii="仿宋_GB2312" w:hAnsi="仿宋_GB2312" w:eastAsia="仿宋_GB2312" w:cs="仿宋_GB2312"/>
          <w:color w:val="auto"/>
          <w:sz w:val="32"/>
          <w:szCs w:val="32"/>
          <w:highlight w:val="none"/>
        </w:rPr>
        <w:t>平方米，城区公园绿地500米服务半径覆盖率增加到99.93%（全市第二），森林覆盖率65.22%，城市绿化覆盖率56.25%。陆生野生脊椎动物占北京市物种总数的76%，成为首都生物多样性最丰富的区。野鸭湖湿地成功入选国际重要湿地名录。生态环境质量指数（EI）76，连续四年“优”等级。国家重点生态功能区县域生态环境质量监测评价与考核连续三年保持“变好”等级。</w:t>
      </w:r>
      <w:r>
        <w:rPr>
          <w:rFonts w:hint="eastAsia" w:ascii="仿宋_GB2312" w:hAnsi="仿宋_GB2312" w:eastAsia="仿宋_GB2312" w:cs="仿宋_GB2312"/>
          <w:bCs/>
          <w:color w:val="auto"/>
          <w:sz w:val="32"/>
          <w:szCs w:val="32"/>
          <w:highlight w:val="none"/>
        </w:rPr>
        <w:t>将区级生态安全格局专项规划及国土空间生态修复规划纳入《延庆区非建设空间规划（2023年-2035年）》统筹落实</w:t>
      </w:r>
      <w:r>
        <w:rPr>
          <w:rFonts w:hint="eastAsia" w:ascii="仿宋_GB2312" w:hAnsi="仿宋_GB2312" w:eastAsia="仿宋_GB2312" w:cs="仿宋_GB2312"/>
          <w:color w:val="auto"/>
          <w:sz w:val="32"/>
          <w:szCs w:val="32"/>
          <w:highlight w:val="none"/>
        </w:rPr>
        <w:t>。编制区级耕地保护专项规划，</w:t>
      </w:r>
      <w:r>
        <w:rPr>
          <w:rFonts w:hint="eastAsia" w:ascii="仿宋_GB2312" w:hAnsi="仿宋_GB2312" w:eastAsia="仿宋_GB2312" w:cs="仿宋_GB2312"/>
          <w:color w:val="auto"/>
          <w:kern w:val="0"/>
          <w:sz w:val="32"/>
          <w:szCs w:val="32"/>
          <w:highlight w:val="none"/>
          <w:lang w:bidi="ar"/>
        </w:rPr>
        <w:t>守住22.7万亩耕地保护红线。</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绿色生活迭代升级。</w:t>
      </w:r>
      <w:r>
        <w:rPr>
          <w:rFonts w:hint="eastAsia" w:ascii="仿宋_GB2312" w:hAnsi="仿宋_GB2312" w:eastAsia="仿宋_GB2312" w:cs="仿宋_GB2312"/>
          <w:bCs/>
          <w:color w:val="auto"/>
          <w:kern w:val="0"/>
          <w:sz w:val="32"/>
          <w:szCs w:val="32"/>
          <w:highlight w:val="none"/>
        </w:rPr>
        <w:t>深入开展节约型机关、绿色家庭、绿色学校、绿色社区、绿色出行、绿色商场、绿色建筑等创建行动，形成崇尚绿色生活的社会氛围。加快可回收物体系建设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kern w:val="0"/>
          <w:sz w:val="32"/>
          <w:szCs w:val="32"/>
          <w:highlight w:val="none"/>
        </w:rPr>
        <w:t>三街一镇共设立可回收物桶2002个、分类驿站39个，试点开展“物业服务+社区再生资源回收”“一袋式”上门回收、巡回上门回收工作，生活垃圾回收利用率达41%；</w:t>
      </w:r>
      <w:r>
        <w:rPr>
          <w:rFonts w:hint="eastAsia" w:ascii="仿宋_GB2312" w:hAnsi="仿宋_GB2312" w:eastAsia="仿宋_GB2312" w:cs="仿宋_GB2312"/>
          <w:color w:val="auto"/>
          <w:sz w:val="32"/>
          <w:szCs w:val="32"/>
          <w:highlight w:val="none"/>
        </w:rPr>
        <w:t>有序推进再生资源分拣中心、建筑垃圾资源化利用中心、延庆区生活垃圾转运站项目。全区“文明交通绿色出行”工作成效显著，绿色出行比例82.25%，群众绿色出行满意率超过90%，成功创建绿色出行示范区。公众生态环境满意度始终保持97%以上，三年排名全市第一。</w:t>
      </w:r>
    </w:p>
    <w:bookmarkEnd w:id="16"/>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19" w:name="_Toc203635579"/>
      <w:bookmarkStart w:id="20" w:name="_Toc204014684"/>
      <w:bookmarkStart w:id="21" w:name="_Toc211871726"/>
      <w:bookmarkStart w:id="22" w:name="_Toc206336499"/>
      <w:bookmarkStart w:id="23" w:name="_Toc24278"/>
      <w:r>
        <w:rPr>
          <w:rFonts w:hint="eastAsia" w:ascii="黑体" w:hAnsi="黑体" w:cs="黑体"/>
          <w:b w:val="0"/>
          <w:bCs/>
          <w:color w:val="auto"/>
          <w:highlight w:val="none"/>
        </w:rPr>
        <w:t>二、“十五五”时期美丽延庆建设面临的新形势</w:t>
      </w:r>
      <w:bookmarkEnd w:id="19"/>
      <w:bookmarkEnd w:id="20"/>
      <w:bookmarkEnd w:id="21"/>
      <w:bookmarkEnd w:id="22"/>
      <w:bookmarkEnd w:id="23"/>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（一）面临的挑战</w:t>
      </w:r>
    </w:p>
    <w:p>
      <w:pPr>
        <w:pStyle w:val="74"/>
        <w:spacing w:line="560" w:lineRule="exact"/>
        <w:ind w:firstLine="643"/>
        <w:jc w:val="both"/>
        <w:rPr>
          <w:rFonts w:hint="eastAsia" w:ascii="仿宋_GB2312" w:hAnsi="仿宋_GB2312" w:eastAsia="仿宋_GB2312" w:cs="仿宋_GB2312"/>
          <w:color w:val="auto"/>
          <w:sz w:val="32"/>
          <w:szCs w:val="32"/>
          <w:highlight w:val="none"/>
        </w:rPr>
      </w:pPr>
      <w:bookmarkStart w:id="24" w:name="_Hlk206161763"/>
      <w:r>
        <w:rPr>
          <w:rFonts w:hint="eastAsia" w:ascii="仿宋_GB2312" w:hAnsi="仿宋_GB2312" w:eastAsia="仿宋_GB2312" w:cs="仿宋_GB2312"/>
          <w:b/>
          <w:bCs/>
          <w:color w:val="auto"/>
          <w:sz w:val="32"/>
          <w:szCs w:val="32"/>
          <w:highlight w:val="none"/>
        </w:rPr>
        <w:t>污染减排空间趋窄，环境治理压力持续增大。</w:t>
      </w:r>
      <w:bookmarkEnd w:id="24"/>
      <w:bookmarkStart w:id="25" w:name="_Hlk206161809"/>
      <w:r>
        <w:rPr>
          <w:rFonts w:hint="eastAsia" w:ascii="仿宋_GB2312" w:hAnsi="仿宋_GB2312" w:eastAsia="仿宋_GB2312" w:cs="仿宋_GB2312"/>
          <w:color w:val="auto"/>
          <w:sz w:val="32"/>
          <w:szCs w:val="32"/>
          <w:highlight w:val="none"/>
        </w:rPr>
        <w:t>延庆区细颗粒物浓度在全市领先优势不稳定，</w:t>
      </w:r>
      <w:bookmarkEnd w:id="25"/>
      <w:r>
        <w:rPr>
          <w:rFonts w:hint="eastAsia" w:ascii="仿宋_GB2312" w:hAnsi="仿宋_GB2312" w:eastAsia="仿宋_GB2312" w:cs="仿宋_GB2312"/>
          <w:color w:val="auto"/>
          <w:sz w:val="32"/>
          <w:szCs w:val="32"/>
          <w:highlight w:val="none"/>
        </w:rPr>
        <w:t>污染来源主体转向城市运行、生活源等刚性需求，</w:t>
      </w:r>
      <w:r>
        <w:rPr>
          <w:rFonts w:ascii="仿宋_GB2312" w:hAnsi="仿宋_GB2312" w:eastAsia="仿宋_GB2312" w:cs="仿宋_GB2312"/>
          <w:color w:val="auto"/>
          <w:sz w:val="32"/>
          <w:szCs w:val="32"/>
          <w:highlight w:val="none"/>
          <w:lang w:val="en-US"/>
        </w:rPr>
        <w:t>污染排放与居民日常生活、城市正常运转</w:t>
      </w:r>
      <w:r>
        <w:rPr>
          <w:rFonts w:hint="eastAsia" w:ascii="仿宋_GB2312" w:hAnsi="仿宋_GB2312" w:eastAsia="仿宋_GB2312" w:cs="仿宋_GB2312"/>
          <w:color w:val="auto"/>
          <w:sz w:val="32"/>
          <w:szCs w:val="32"/>
          <w:highlight w:val="none"/>
          <w:lang w:val="en-US"/>
        </w:rPr>
        <w:t>密切相关，</w:t>
      </w:r>
      <w:r>
        <w:rPr>
          <w:rFonts w:hint="eastAsia" w:ascii="仿宋_GB2312" w:hAnsi="仿宋_GB2312" w:eastAsia="仿宋_GB2312" w:cs="仿宋_GB2312"/>
          <w:color w:val="auto"/>
          <w:sz w:val="32"/>
          <w:szCs w:val="32"/>
          <w:highlight w:val="none"/>
        </w:rPr>
        <w:t>呈现点多面广的特点</w:t>
      </w:r>
      <w:r>
        <w:rPr>
          <w:rFonts w:hint="eastAsia" w:ascii="仿宋_GB2312" w:hAnsi="仿宋_GB2312" w:eastAsia="仿宋_GB2312" w:cs="仿宋_GB2312"/>
          <w:color w:val="auto"/>
          <w:sz w:val="32"/>
          <w:szCs w:val="32"/>
          <w:highlight w:val="none"/>
          <w:lang w:val="en-US"/>
        </w:rPr>
        <w:t>，</w:t>
      </w:r>
      <w:r>
        <w:rPr>
          <w:rFonts w:hint="eastAsia" w:ascii="仿宋_GB2312" w:hAnsi="仿宋_GB2312" w:eastAsia="仿宋_GB2312" w:cs="仿宋_GB2312"/>
          <w:color w:val="auto"/>
          <w:sz w:val="32"/>
          <w:szCs w:val="32"/>
          <w:highlight w:val="none"/>
        </w:rPr>
        <w:t>减排潜力</w:t>
      </w:r>
      <w:r>
        <w:rPr>
          <w:rFonts w:hint="eastAsia" w:ascii="仿宋_GB2312" w:hAnsi="仿宋_GB2312" w:eastAsia="仿宋_GB2312" w:cs="仿宋_GB2312"/>
          <w:color w:val="auto"/>
          <w:sz w:val="32"/>
          <w:szCs w:val="32"/>
          <w:highlight w:val="none"/>
          <w:lang w:val="en-US"/>
        </w:rPr>
        <w:t>变小，治污难度大</w:t>
      </w:r>
      <w:r>
        <w:rPr>
          <w:rFonts w:hint="eastAsia" w:ascii="仿宋_GB2312" w:hAnsi="仿宋_GB2312" w:eastAsia="仿宋_GB2312" w:cs="仿宋_GB2312"/>
          <w:color w:val="auto"/>
          <w:sz w:val="32"/>
          <w:szCs w:val="32"/>
          <w:highlight w:val="none"/>
        </w:rPr>
        <w:t>。</w:t>
      </w:r>
    </w:p>
    <w:p>
      <w:pPr>
        <w:pStyle w:val="74"/>
        <w:spacing w:line="560" w:lineRule="exact"/>
        <w:ind w:firstLine="643"/>
        <w:jc w:val="both"/>
        <w:rPr>
          <w:color w:val="auto"/>
          <w:highlight w:val="none"/>
        </w:rPr>
      </w:pPr>
      <w:bookmarkStart w:id="26" w:name="_Hlk206161959"/>
      <w:r>
        <w:rPr>
          <w:rFonts w:hint="eastAsia" w:ascii="仿宋_GB2312" w:hAnsi="仿宋_GB2312" w:eastAsia="仿宋_GB2312" w:cs="仿宋_GB2312"/>
          <w:b/>
          <w:bCs/>
          <w:color w:val="auto"/>
          <w:sz w:val="32"/>
          <w:szCs w:val="32"/>
          <w:highlight w:val="none"/>
        </w:rPr>
        <w:t>生态产品价值实现路径不畅，生态成果转化需要持续深化和探索。</w:t>
      </w:r>
      <w:r>
        <w:rPr>
          <w:rFonts w:hint="eastAsia" w:ascii="仿宋_GB2312" w:hAnsi="仿宋_GB2312" w:eastAsia="仿宋_GB2312" w:cs="仿宋_GB2312"/>
          <w:color w:val="auto"/>
          <w:sz w:val="32"/>
          <w:szCs w:val="32"/>
          <w:highlight w:val="none"/>
          <w:lang w:val="en-US"/>
        </w:rPr>
        <w:t>尽管“十四五”时期国家及北京市出台多项生态产品价值实现政策，延庆区作为全国首批试点开展探索实践取得一定成效，但当前生态产品价值实现路径仍然不畅，同时面临生态系统调节服务功能提升有限的问题，生态成果转化需要持续突破，让绿水青山有效“变现生金”</w:t>
      </w:r>
      <w:r>
        <w:rPr>
          <w:rFonts w:hint="eastAsia" w:ascii="仿宋_GB2312" w:hAnsi="仿宋_GB2312" w:eastAsia="仿宋_GB2312" w:cs="仿宋_GB2312"/>
          <w:color w:val="auto"/>
          <w:sz w:val="32"/>
          <w:szCs w:val="32"/>
          <w:highlight w:val="none"/>
        </w:rPr>
        <w:t>。</w:t>
      </w:r>
    </w:p>
    <w:bookmarkEnd w:id="26"/>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污染防治攻坚向美丽北京建设转型，对生态建设提出更高要求。</w:t>
      </w:r>
      <w:r>
        <w:rPr>
          <w:rFonts w:hint="eastAsia" w:ascii="仿宋_GB2312" w:hAnsi="仿宋_GB2312" w:eastAsia="仿宋_GB2312" w:cs="仿宋_GB2312"/>
          <w:color w:val="auto"/>
          <w:sz w:val="32"/>
          <w:szCs w:val="32"/>
          <w:highlight w:val="none"/>
        </w:rPr>
        <w:t>按照中央部署，北京市适时将</w:t>
      </w:r>
      <w:bookmarkStart w:id="27" w:name="_Hlk206331576"/>
      <w:r>
        <w:rPr>
          <w:rFonts w:hint="eastAsia" w:ascii="仿宋_GB2312" w:hAnsi="仿宋_GB2312" w:eastAsia="仿宋_GB2312" w:cs="仿宋_GB2312"/>
          <w:color w:val="auto"/>
          <w:sz w:val="32"/>
          <w:szCs w:val="32"/>
          <w:highlight w:val="none"/>
        </w:rPr>
        <w:t>污染防治攻坚战成效考核</w:t>
      </w:r>
      <w:bookmarkEnd w:id="27"/>
      <w:r>
        <w:rPr>
          <w:rFonts w:hint="eastAsia" w:ascii="仿宋_GB2312" w:hAnsi="仿宋_GB2312" w:eastAsia="仿宋_GB2312" w:cs="仿宋_GB2312"/>
          <w:color w:val="auto"/>
          <w:sz w:val="32"/>
          <w:szCs w:val="32"/>
          <w:highlight w:val="none"/>
        </w:rPr>
        <w:t>过渡到美丽北京建设成效考核，生态建设工作要求覆盖</w:t>
      </w:r>
      <w:r>
        <w:rPr>
          <w:rFonts w:ascii="仿宋_GB2312" w:hAnsi="仿宋_GB2312" w:eastAsia="仿宋_GB2312" w:cs="仿宋_GB2312"/>
          <w:color w:val="auto"/>
          <w:sz w:val="32"/>
          <w:szCs w:val="32"/>
          <w:highlight w:val="none"/>
        </w:rPr>
        <w:t>美丽中国建设“六项重大任务”和“一个重大要求”的战略部署</w:t>
      </w:r>
      <w:r>
        <w:rPr>
          <w:rFonts w:hint="eastAsia" w:ascii="仿宋_GB2312" w:hAnsi="仿宋_GB2312" w:eastAsia="仿宋_GB2312" w:cs="仿宋_GB2312"/>
          <w:color w:val="auto"/>
          <w:sz w:val="32"/>
          <w:szCs w:val="32"/>
          <w:highlight w:val="none"/>
        </w:rPr>
        <w:t>，突出全领域、全方位、全地域、全社会推进，对美丽延庆建设工作提出更高要求。</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（二）面临的机遇</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全面推进美丽北京建设，</w:t>
      </w:r>
      <w:r>
        <w:rPr>
          <w:rFonts w:hint="eastAsia" w:ascii="仿宋_GB2312" w:hAnsi="仿宋_GB2312" w:eastAsia="仿宋_GB2312" w:cs="仿宋_GB2312"/>
          <w:b/>
          <w:bCs/>
          <w:color w:val="auto"/>
          <w:kern w:val="0"/>
          <w:sz w:val="32"/>
          <w:szCs w:val="32"/>
          <w:highlight w:val="none"/>
          <w:lang w:val="zh-CN"/>
        </w:rPr>
        <w:t>京津冀</w:t>
      </w:r>
      <w:r>
        <w:rPr>
          <w:rFonts w:hint="eastAsia" w:ascii="仿宋_GB2312" w:hAnsi="仿宋_GB2312" w:eastAsia="仿宋_GB2312" w:cs="仿宋_GB2312"/>
          <w:b/>
          <w:bCs/>
          <w:color w:val="auto"/>
          <w:sz w:val="32"/>
          <w:szCs w:val="32"/>
          <w:highlight w:val="none"/>
        </w:rPr>
        <w:t>打造美丽中国先行区，为</w:t>
      </w:r>
      <w:r>
        <w:rPr>
          <w:rFonts w:hint="eastAsia" w:ascii="仿宋_GB2312" w:hAnsi="仿宋_GB2312" w:eastAsia="仿宋_GB2312" w:cs="仿宋_GB2312"/>
          <w:b/>
          <w:bCs/>
          <w:color w:val="auto"/>
          <w:kern w:val="0"/>
          <w:sz w:val="32"/>
          <w:szCs w:val="32"/>
          <w:highlight w:val="none"/>
          <w:lang w:val="zh-CN"/>
        </w:rPr>
        <w:t>美丽延庆建设</w:t>
      </w:r>
      <w:r>
        <w:rPr>
          <w:rFonts w:hint="eastAsia" w:ascii="仿宋_GB2312" w:hAnsi="仿宋_GB2312" w:eastAsia="仿宋_GB2312" w:cs="仿宋_GB2312"/>
          <w:b/>
          <w:bCs/>
          <w:color w:val="auto"/>
          <w:sz w:val="32"/>
          <w:szCs w:val="32"/>
          <w:highlight w:val="none"/>
        </w:rPr>
        <w:t>工作指明了奋斗方向。</w:t>
      </w:r>
      <w:r>
        <w:rPr>
          <w:rFonts w:hint="eastAsia" w:ascii="仿宋_GB2312" w:hAnsi="仿宋_GB2312" w:eastAsia="仿宋_GB2312" w:cs="仿宋_GB2312"/>
          <w:color w:val="auto"/>
          <w:sz w:val="32"/>
          <w:szCs w:val="32"/>
          <w:highlight w:val="none"/>
        </w:rPr>
        <w:t>2023年12月，中共中央、国务院印发《关于全面推进美丽中国建设的意见》。2025年1月，生态环境部印发《关于建设美丽中国先行区的实施意见》，对京津冀建设美丽中国先行区、打造绿色发展高地做出部署。2024年北京市出台《关于全面建设美丽北京加快推进人与自然和谐共生的现代化的实施意见》，为全面推进美丽北京建设、加快实现人与自然和谐共生的现代化提供了“路线图”“施工图”。延庆区</w:t>
      </w:r>
      <w:r>
        <w:rPr>
          <w:rFonts w:ascii="仿宋_GB2312" w:hAnsi="仿宋_GB2312" w:eastAsia="仿宋_GB2312" w:cs="仿宋_GB2312"/>
          <w:color w:val="auto"/>
          <w:sz w:val="32"/>
          <w:szCs w:val="32"/>
          <w:highlight w:val="none"/>
        </w:rPr>
        <w:t>作为生态涵养区，迎来了生态建设的重大机遇。</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国家生态产品价值实现机制试点深入推进，促进生态红利加速释放，可使延庆生态优势转化为发展胜势。</w:t>
      </w:r>
      <w:r>
        <w:rPr>
          <w:rFonts w:hint="eastAsia" w:ascii="仿宋_GB2312" w:hAnsi="仿宋_GB2312" w:eastAsia="仿宋_GB2312" w:cs="仿宋_GB2312"/>
          <w:color w:val="auto"/>
          <w:sz w:val="32"/>
          <w:szCs w:val="32"/>
          <w:highlight w:val="none"/>
        </w:rPr>
        <w:t>延庆区生态环境优越，优良水体比例、自然保护区数量、空气质量优良天数等指标均位列全市前列，生态优势十分突出。</w:t>
      </w:r>
      <w:r>
        <w:rPr>
          <w:rFonts w:ascii="仿宋_GB2312" w:hAnsi="仿宋_GB2312" w:eastAsia="仿宋_GB2312" w:cs="仿宋_GB2312"/>
          <w:color w:val="auto"/>
          <w:sz w:val="32"/>
          <w:szCs w:val="32"/>
          <w:highlight w:val="none"/>
        </w:rPr>
        <w:t>作为全市唯一的国家生态产品价值实现机制试点地区,</w:t>
      </w:r>
      <w:r>
        <w:rPr>
          <w:rFonts w:hint="eastAsia" w:ascii="仿宋_GB2312" w:hAnsi="仿宋_GB2312" w:eastAsia="仿宋_GB2312" w:cs="仿宋_GB2312"/>
          <w:color w:val="auto"/>
          <w:sz w:val="32"/>
          <w:szCs w:val="32"/>
          <w:highlight w:val="none"/>
        </w:rPr>
        <w:t>“十五五”时期随着国家生态产品价值实现机制试点深入推进，北京庞大生态消费市场潜力加快释放，“需”的要求逐渐迫切，延庆生态“供”的能力不断增强，能</w:t>
      </w:r>
      <w:r>
        <w:rPr>
          <w:rFonts w:ascii="仿宋_GB2312" w:hAnsi="仿宋_GB2312" w:eastAsia="仿宋_GB2312" w:cs="仿宋_GB2312"/>
          <w:color w:val="auto"/>
          <w:sz w:val="32"/>
          <w:szCs w:val="32"/>
          <w:highlight w:val="none"/>
        </w:rPr>
        <w:t>在“两山”转化实践创新中走在前列,</w:t>
      </w:r>
      <w:r>
        <w:rPr>
          <w:rFonts w:hint="eastAsia" w:ascii="仿宋_GB2312" w:hAnsi="仿宋_GB2312" w:eastAsia="仿宋_GB2312" w:cs="仿宋_GB2312"/>
          <w:color w:val="auto"/>
          <w:sz w:val="32"/>
          <w:szCs w:val="32"/>
          <w:highlight w:val="none"/>
        </w:rPr>
        <w:t>将生态优势逐步转化为发展胜势。</w:t>
      </w:r>
    </w:p>
    <w:p>
      <w:pPr>
        <w:pStyle w:val="63"/>
        <w:adjustRightInd w:val="0"/>
        <w:snapToGrid w:val="0"/>
        <w:spacing w:line="560" w:lineRule="exact"/>
        <w:ind w:firstLine="643"/>
        <w:rPr>
          <w:color w:val="auto"/>
          <w:highlight w:val="none"/>
        </w:rPr>
      </w:pPr>
      <w:r>
        <w:rPr>
          <w:rFonts w:ascii="仿宋_GB2312" w:hAnsi="仿宋_GB2312" w:eastAsia="仿宋_GB2312" w:cs="仿宋_GB2312"/>
          <w:b/>
          <w:bCs/>
          <w:color w:val="auto"/>
          <w:sz w:val="32"/>
          <w:szCs w:val="32"/>
          <w:highlight w:val="none"/>
        </w:rPr>
        <w:t>京津冀协同发展战略深度实施，强化区域生态协同与资源联动，为美丽延庆建设拓广空间。</w:t>
      </w:r>
      <w:r>
        <w:rPr>
          <w:rFonts w:hint="eastAsia" w:ascii="仿宋_GB2312" w:hAnsi="仿宋_GB2312" w:eastAsia="仿宋_GB2312" w:cs="仿宋_GB2312"/>
          <w:color w:val="auto"/>
          <w:sz w:val="32"/>
          <w:szCs w:val="32"/>
          <w:highlight w:val="none"/>
        </w:rPr>
        <w:t>面向新的十年,京津冀协同发展进入全方位、高质量深入推进的阶段,生态保护领域，延庆与张家口、承德等周边生态涵养区共建跨区域联防联治体系，通过监测数据共享、联合执法巡查，共同守护首都西北生态屏障，在水源涵养、风沙防治等方面形成合力，借助区域生态补偿政策获更多资金支持生态修复。产业层面，依托京张体育文化旅游带，串联冬奥遗产与张家口冰雪产业，打造跨区域旅游线路实现客源互送。同时利用北京科技资源推动绿色农业、生态康养产业升级，借区域交通网络引入绿色投资与人才，通过利益共享机制开展生态价值转化试点，为美丽延庆建设注入动力。</w:t>
      </w:r>
    </w:p>
    <w:p>
      <w:pPr>
        <w:pStyle w:val="63"/>
        <w:adjustRightInd w:val="0"/>
        <w:snapToGrid w:val="0"/>
        <w:spacing w:line="560" w:lineRule="exact"/>
        <w:ind w:firstLine="643"/>
        <w:rPr>
          <w:rFonts w:hint="eastAsia" w:ascii="仿宋_GB2312" w:hAnsi="仿宋_GB2312" w:eastAsia="仿宋_GB2312" w:cs="仿宋_GB2312"/>
          <w:b/>
          <w:bCs/>
          <w:color w:val="auto"/>
          <w:sz w:val="32"/>
          <w:szCs w:val="32"/>
          <w:highlight w:val="none"/>
        </w:rPr>
      </w:pPr>
      <w:bookmarkStart w:id="28" w:name="_Toc204014685"/>
      <w:bookmarkStart w:id="29" w:name="_Toc203635580"/>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sectPr>
          <w:footerReference r:id="rId5" w:type="default"/>
          <w:pgSz w:w="11906" w:h="16838"/>
          <w:pgMar w:top="1440" w:right="1800" w:bottom="1440" w:left="1800" w:header="851" w:footer="992" w:gutter="0"/>
          <w:pgNumType w:fmt="numberInDash"/>
          <w:cols w:space="425" w:num="1"/>
          <w:docGrid w:type="lines" w:linePitch="312" w:charSpace="0"/>
        </w:sectPr>
      </w:pPr>
    </w:p>
    <w:p>
      <w:pPr>
        <w:pStyle w:val="3"/>
        <w:keepNext w:val="0"/>
        <w:keepLines w:val="0"/>
        <w:adjustRightInd w:val="0"/>
        <w:snapToGrid w:val="0"/>
        <w:spacing w:before="0" w:after="0" w:line="560" w:lineRule="exact"/>
        <w:jc w:val="center"/>
        <w:rPr>
          <w:rFonts w:hint="eastAsia" w:ascii="方正小标宋简体" w:hAnsi="方正小标宋简体" w:eastAsia="方正小标宋简体" w:cs="方正小标宋简体"/>
          <w:bCs/>
          <w:color w:val="auto"/>
          <w:kern w:val="44"/>
          <w:sz w:val="44"/>
          <w:szCs w:val="44"/>
          <w:highlight w:val="none"/>
        </w:rPr>
      </w:pPr>
      <w:bookmarkStart w:id="30" w:name="_Toc21871"/>
      <w:bookmarkStart w:id="31" w:name="_Toc211871727"/>
      <w:bookmarkStart w:id="32" w:name="_Toc206336500"/>
      <w:bookmarkStart w:id="33" w:name="_Hlk206169892"/>
      <w:r>
        <w:rPr>
          <w:rFonts w:hint="eastAsia" w:ascii="方正小标宋简体" w:hAnsi="方正小标宋简体" w:eastAsia="方正小标宋简体" w:cs="方正小标宋简体"/>
          <w:bCs/>
          <w:color w:val="auto"/>
          <w:kern w:val="44"/>
          <w:sz w:val="44"/>
          <w:szCs w:val="44"/>
          <w:highlight w:val="none"/>
        </w:rPr>
        <w:t xml:space="preserve">第二章 </w:t>
      </w:r>
      <w:bookmarkEnd w:id="28"/>
      <w:bookmarkEnd w:id="29"/>
      <w:r>
        <w:rPr>
          <w:rFonts w:hint="eastAsia" w:ascii="方正小标宋简体" w:hAnsi="方正小标宋简体" w:eastAsia="方正小标宋简体" w:cs="方正小标宋简体"/>
          <w:bCs/>
          <w:color w:val="auto"/>
          <w:kern w:val="44"/>
          <w:sz w:val="44"/>
          <w:szCs w:val="44"/>
          <w:highlight w:val="none"/>
        </w:rPr>
        <w:t>规划指导思想、原则及目标</w:t>
      </w:r>
      <w:bookmarkEnd w:id="30"/>
      <w:bookmarkEnd w:id="31"/>
      <w:bookmarkEnd w:id="32"/>
    </w:p>
    <w:bookmarkEnd w:id="33"/>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bookmarkStart w:id="34" w:name="_Toc203635581"/>
      <w:bookmarkStart w:id="35" w:name="_Toc206336501"/>
      <w:bookmarkStart w:id="36" w:name="_Toc204014686"/>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37" w:name="_Toc843"/>
      <w:bookmarkStart w:id="38" w:name="_Toc211871728"/>
      <w:r>
        <w:rPr>
          <w:rFonts w:hint="eastAsia" w:ascii="黑体" w:hAnsi="黑体" w:cs="黑体"/>
          <w:b w:val="0"/>
          <w:bCs/>
          <w:color w:val="auto"/>
          <w:highlight w:val="none"/>
        </w:rPr>
        <w:t>一、指导思想</w:t>
      </w:r>
      <w:bookmarkEnd w:id="34"/>
      <w:bookmarkEnd w:id="35"/>
      <w:bookmarkEnd w:id="36"/>
      <w:bookmarkEnd w:id="37"/>
      <w:bookmarkEnd w:id="38"/>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bookmarkStart w:id="39" w:name="_Hlk204011152"/>
      <w:r>
        <w:rPr>
          <w:rFonts w:hint="eastAsia" w:ascii="仿宋_GB2312" w:hAnsi="仿宋_GB2312" w:eastAsia="仿宋_GB2312" w:cs="仿宋_GB2312"/>
          <w:color w:val="auto"/>
          <w:sz w:val="32"/>
          <w:szCs w:val="32"/>
          <w:highlight w:val="none"/>
        </w:rPr>
        <w:t>以习近平生态文明思想为指导，深入贯彻党的二十大和二十届历次全会精神，牢记习近平总书记“延庆是属于未来的”重要嘱托，牢固树立“绿水青山就是金山银山”的理念，立足生态涵养区功能定位，系统统筹绿色低碳发展、污染防治攻坚、生态系统保护、生态环境安全、生态价值转化、美丽标杆建设和治理能力提升工作，协同推进降碳、减污、扩绿、增长，着力打造绿色发展活力美、山水相拥生态美、城乡融合宜居美、长城古韵人文美、多元协同共治美的美丽延庆，</w:t>
      </w:r>
      <w:bookmarkStart w:id="40" w:name="_Hlk204011191"/>
      <w:r>
        <w:rPr>
          <w:rFonts w:hint="eastAsia" w:ascii="仿宋_GB2312" w:hAnsi="仿宋_GB2312" w:eastAsia="仿宋_GB2312" w:cs="仿宋_GB2312"/>
          <w:color w:val="auto"/>
          <w:sz w:val="32"/>
          <w:szCs w:val="32"/>
          <w:highlight w:val="none"/>
        </w:rPr>
        <w:t>为全面建设生态文明幸福最美冬奥城和初步建成国际一流的生态文明示范区</w:t>
      </w:r>
      <w:bookmarkEnd w:id="40"/>
      <w:r>
        <w:rPr>
          <w:rFonts w:hint="eastAsia" w:ascii="仿宋_GB2312" w:hAnsi="仿宋_GB2312" w:eastAsia="仿宋_GB2312" w:cs="仿宋_GB2312"/>
          <w:color w:val="auto"/>
          <w:sz w:val="32"/>
          <w:szCs w:val="32"/>
          <w:highlight w:val="none"/>
        </w:rPr>
        <w:t>打下坚实基础。</w:t>
      </w:r>
    </w:p>
    <w:p>
      <w:pPr>
        <w:pStyle w:val="61"/>
        <w:adjustRightInd w:val="0"/>
        <w:snapToGrid w:val="0"/>
        <w:spacing w:beforeLines="0" w:afterLines="0" w:line="560" w:lineRule="exact"/>
        <w:ind w:firstLine="640" w:firstLineChars="200"/>
        <w:rPr>
          <w:rFonts w:hint="eastAsia" w:ascii="黑体" w:hAnsi="黑体" w:eastAsia="仿宋_GB2312" w:cs="黑体"/>
          <w:bCs/>
          <w:color w:val="auto"/>
          <w:highlight w:val="none"/>
        </w:rPr>
      </w:pPr>
      <w:bookmarkStart w:id="41" w:name="_Toc17775"/>
      <w:bookmarkStart w:id="42" w:name="_Toc211871729"/>
      <w:bookmarkStart w:id="43" w:name="_Toc206336502"/>
      <w:r>
        <w:rPr>
          <w:rFonts w:hint="eastAsia" w:ascii="黑体" w:hAnsi="黑体" w:cs="黑体"/>
          <w:b w:val="0"/>
          <w:bCs/>
          <w:color w:val="auto"/>
          <w:highlight w:val="none"/>
        </w:rPr>
        <w:t>二、规划原则</w:t>
      </w:r>
      <w:bookmarkEnd w:id="41"/>
      <w:bookmarkEnd w:id="42"/>
      <w:bookmarkEnd w:id="43"/>
    </w:p>
    <w:p>
      <w:pPr>
        <w:pStyle w:val="63"/>
        <w:adjustRightInd w:val="0"/>
        <w:snapToGrid w:val="0"/>
        <w:spacing w:line="560" w:lineRule="exact"/>
        <w:ind w:firstLine="643"/>
        <w:rPr>
          <w:rFonts w:hint="eastAsia" w:ascii="仿宋_GB2312" w:hAnsi="仿宋_GB2312" w:eastAsia="仿宋_GB2312" w:cs="仿宋_GB2312"/>
          <w:b/>
          <w:color w:val="auto"/>
          <w:sz w:val="32"/>
          <w:szCs w:val="32"/>
          <w:highlight w:val="none"/>
        </w:rPr>
      </w:pPr>
      <w:bookmarkStart w:id="44" w:name="_Hlk206268799"/>
      <w:r>
        <w:rPr>
          <w:rFonts w:hint="eastAsia" w:ascii="仿宋_GB2312" w:hAnsi="仿宋_GB2312" w:eastAsia="仿宋_GB2312" w:cs="仿宋_GB2312"/>
          <w:b/>
          <w:bCs/>
          <w:color w:val="auto"/>
          <w:sz w:val="32"/>
          <w:szCs w:val="32"/>
          <w:highlight w:val="none"/>
        </w:rPr>
        <w:t>战略引领，问题导向。</w:t>
      </w:r>
      <w:r>
        <w:rPr>
          <w:rFonts w:hint="eastAsia" w:ascii="仿宋_GB2312" w:hAnsi="仿宋_GB2312" w:eastAsia="仿宋_GB2312" w:cs="仿宋_GB2312"/>
          <w:color w:val="auto"/>
          <w:sz w:val="32"/>
          <w:szCs w:val="32"/>
          <w:highlight w:val="none"/>
        </w:rPr>
        <w:t>以美丽北京建设为引领，推动全面建设最美冬奥城和地区高质量绿色发展。坚持以改善生态环境质量为核心，以解决突出生态环境问题为重点，增强规划的科学性、针对性、可行性和有效性。</w:t>
      </w:r>
    </w:p>
    <w:p>
      <w:pPr>
        <w:pStyle w:val="63"/>
        <w:adjustRightInd w:val="0"/>
        <w:snapToGrid w:val="0"/>
        <w:spacing w:line="560" w:lineRule="exact"/>
        <w:ind w:firstLine="643"/>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rPr>
        <w:t>生态筑基，绿色强区。</w:t>
      </w:r>
      <w:r>
        <w:rPr>
          <w:rFonts w:hint="eastAsia" w:ascii="仿宋_GB2312" w:hAnsi="仿宋_GB2312" w:eastAsia="仿宋_GB2312" w:cs="仿宋_GB2312"/>
          <w:bCs/>
          <w:color w:val="auto"/>
          <w:sz w:val="32"/>
          <w:szCs w:val="32"/>
          <w:highlight w:val="none"/>
        </w:rPr>
        <w:t>牢固树立“人与自然和谐共生”“绿水青山就是金山银山”的理念，尊重自然、顺应自然、保护自然，优化国土空间开发格局，严守生态保护红线，促进生态产品价值转化，</w:t>
      </w:r>
      <w:r>
        <w:rPr>
          <w:rFonts w:ascii="仿宋_GB2312" w:hAnsi="仿宋_GB2312" w:eastAsia="仿宋_GB2312" w:cs="仿宋_GB2312"/>
          <w:bCs/>
          <w:color w:val="auto"/>
          <w:sz w:val="32"/>
          <w:szCs w:val="32"/>
          <w:highlight w:val="none"/>
        </w:rPr>
        <w:t>推动绿色、低碳、循环发展。</w:t>
      </w:r>
    </w:p>
    <w:p>
      <w:pPr>
        <w:pStyle w:val="63"/>
        <w:adjustRightInd w:val="0"/>
        <w:snapToGrid w:val="0"/>
        <w:spacing w:line="560" w:lineRule="exact"/>
        <w:ind w:firstLine="643"/>
        <w:rPr>
          <w:color w:val="auto"/>
          <w:highlight w:val="none"/>
        </w:rPr>
      </w:pPr>
      <w:r>
        <w:rPr>
          <w:rFonts w:hint="eastAsia" w:ascii="仿宋_GB2312" w:hAnsi="仿宋_GB2312" w:eastAsia="仿宋_GB2312" w:cs="仿宋_GB2312"/>
          <w:b/>
          <w:bCs/>
          <w:color w:val="auto"/>
          <w:sz w:val="32"/>
          <w:szCs w:val="32"/>
          <w:highlight w:val="none"/>
        </w:rPr>
        <w:t>示范创新，彰显特色。</w:t>
      </w:r>
      <w:r>
        <w:rPr>
          <w:rFonts w:hint="eastAsia" w:ascii="仿宋_GB2312" w:hAnsi="仿宋_GB2312" w:eastAsia="仿宋_GB2312" w:cs="仿宋_GB2312"/>
          <w:bCs/>
          <w:color w:val="auto"/>
          <w:sz w:val="32"/>
          <w:szCs w:val="32"/>
          <w:highlight w:val="none"/>
        </w:rPr>
        <w:t>强化示范引领，以科技创新、理念创新、体制机制创新破解发展难题，立足经济社会发展和生态环境保护实际，发挥生态优势，加大生态产品全面提升综合竞争力，打造美丽北京建设的特色样板。</w:t>
      </w:r>
    </w:p>
    <w:p>
      <w:pPr>
        <w:pStyle w:val="63"/>
        <w:adjustRightInd w:val="0"/>
        <w:snapToGrid w:val="0"/>
        <w:spacing w:line="560" w:lineRule="exact"/>
        <w:ind w:firstLine="643"/>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rPr>
        <w:t>统筹协调，</w:t>
      </w:r>
      <w:r>
        <w:rPr>
          <w:rFonts w:ascii="仿宋_GB2312" w:hAnsi="仿宋_GB2312" w:eastAsia="仿宋_GB2312" w:cs="仿宋_GB2312"/>
          <w:b/>
          <w:bCs/>
          <w:color w:val="auto"/>
          <w:sz w:val="32"/>
          <w:szCs w:val="32"/>
          <w:highlight w:val="none"/>
        </w:rPr>
        <w:t>系统推进</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Cs/>
          <w:color w:val="auto"/>
          <w:sz w:val="32"/>
          <w:szCs w:val="32"/>
          <w:highlight w:val="none"/>
        </w:rPr>
        <w:t>统筹推进城乡协调发展和山水林田湖草沙系统治理，坚持近期工作与实现长远发展目标紧密结合，科学系统制定规划发展目标和具体举措，实现可持续发展。加强与相邻地区联动，实现协同发展、合作共赢。</w:t>
      </w:r>
    </w:p>
    <w:p>
      <w:pPr>
        <w:pStyle w:val="63"/>
        <w:adjustRightInd w:val="0"/>
        <w:snapToGrid w:val="0"/>
        <w:spacing w:line="560" w:lineRule="exact"/>
        <w:ind w:firstLine="643"/>
        <w:rPr>
          <w:rFonts w:hint="eastAsia" w:ascii="仿宋_GB2312" w:hAnsi="仿宋_GB2312" w:eastAsia="仿宋_GB2312" w:cs="仿宋_GB2312"/>
          <w:bCs/>
          <w:color w:val="auto"/>
          <w:sz w:val="32"/>
          <w:szCs w:val="32"/>
          <w:highlight w:val="none"/>
        </w:rPr>
      </w:pPr>
      <w:bookmarkStart w:id="45" w:name="_Hlk206333823"/>
      <w:r>
        <w:rPr>
          <w:rFonts w:ascii="仿宋_GB2312" w:hAnsi="仿宋_GB2312" w:eastAsia="仿宋_GB2312" w:cs="仿宋_GB2312"/>
          <w:b/>
          <w:color w:val="auto"/>
          <w:sz w:val="32"/>
          <w:szCs w:val="32"/>
          <w:highlight w:val="none"/>
        </w:rPr>
        <w:t>全局</w:t>
      </w:r>
      <w:r>
        <w:rPr>
          <w:rFonts w:hint="eastAsia" w:ascii="仿宋_GB2312" w:hAnsi="仿宋_GB2312" w:eastAsia="仿宋_GB2312" w:cs="仿宋_GB2312"/>
          <w:b/>
          <w:color w:val="auto"/>
          <w:sz w:val="32"/>
          <w:szCs w:val="32"/>
          <w:highlight w:val="none"/>
        </w:rPr>
        <w:t>统领，共治共享</w:t>
      </w:r>
      <w:bookmarkEnd w:id="45"/>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Cs/>
          <w:color w:val="auto"/>
          <w:sz w:val="32"/>
          <w:szCs w:val="32"/>
          <w:highlight w:val="none"/>
        </w:rPr>
        <w:t>在党的统一领导下，充分调动政府、企业、社会公众等主体的积极性，加强环境信息公开，强化监管执法，构筑公众参与机制，整合多元力量，凝聚协同合力，打造“共治共享”治理模式。</w:t>
      </w:r>
    </w:p>
    <w:bookmarkEnd w:id="39"/>
    <w:bookmarkEnd w:id="44"/>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46" w:name="_Toc206336503"/>
      <w:bookmarkStart w:id="47" w:name="_Toc211871730"/>
      <w:bookmarkStart w:id="48" w:name="_Toc204014687"/>
      <w:bookmarkStart w:id="49" w:name="_Toc203635582"/>
      <w:bookmarkStart w:id="50" w:name="_Toc22991"/>
      <w:r>
        <w:rPr>
          <w:rFonts w:hint="eastAsia" w:ascii="黑体" w:hAnsi="黑体" w:cs="黑体"/>
          <w:b w:val="0"/>
          <w:bCs/>
          <w:color w:val="auto"/>
          <w:highlight w:val="none"/>
        </w:rPr>
        <w:t>三、规划目标</w:t>
      </w:r>
      <w:bookmarkEnd w:id="46"/>
      <w:bookmarkEnd w:id="47"/>
      <w:bookmarkEnd w:id="48"/>
      <w:bookmarkEnd w:id="49"/>
      <w:bookmarkEnd w:id="50"/>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（一）总体目标</w:t>
      </w:r>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到</w:t>
      </w:r>
      <w:r>
        <w:rPr>
          <w:rFonts w:hint="eastAsia" w:ascii="仿宋_GB2312" w:hAnsi="仿宋_GB2312" w:eastAsia="仿宋_GB2312" w:cs="仿宋_GB2312"/>
          <w:bCs/>
          <w:color w:val="auto"/>
          <w:sz w:val="32"/>
          <w:szCs w:val="32"/>
          <w:highlight w:val="none"/>
        </w:rPr>
        <w:t>二</w:t>
      </w:r>
      <w:r>
        <w:rPr>
          <w:rFonts w:hint="eastAsia" w:ascii="微软雅黑" w:hAnsi="微软雅黑" w:eastAsia="微软雅黑" w:cs="微软雅黑"/>
          <w:bCs/>
          <w:color w:val="auto"/>
          <w:sz w:val="32"/>
          <w:szCs w:val="32"/>
          <w:highlight w:val="none"/>
        </w:rPr>
        <w:t>〇</w:t>
      </w:r>
      <w:r>
        <w:rPr>
          <w:rFonts w:hint="eastAsia" w:ascii="仿宋_GB2312" w:hAnsi="仿宋_GB2312" w:eastAsia="仿宋_GB2312" w:cs="仿宋_GB2312"/>
          <w:bCs/>
          <w:color w:val="auto"/>
          <w:sz w:val="32"/>
          <w:szCs w:val="32"/>
          <w:highlight w:val="none"/>
        </w:rPr>
        <w:t>三</w:t>
      </w:r>
      <w:r>
        <w:rPr>
          <w:rFonts w:hint="eastAsia" w:ascii="微软雅黑" w:hAnsi="微软雅黑" w:eastAsia="微软雅黑" w:cs="微软雅黑"/>
          <w:bCs/>
          <w:color w:val="auto"/>
          <w:sz w:val="32"/>
          <w:szCs w:val="32"/>
          <w:highlight w:val="none"/>
        </w:rPr>
        <w:t>〇</w:t>
      </w:r>
      <w:r>
        <w:rPr>
          <w:rFonts w:hint="eastAsia" w:ascii="仿宋_GB2312" w:hAnsi="仿宋_GB2312" w:eastAsia="仿宋_GB2312" w:cs="仿宋_GB2312"/>
          <w:color w:val="auto"/>
          <w:sz w:val="32"/>
          <w:szCs w:val="32"/>
          <w:highlight w:val="none"/>
        </w:rPr>
        <w:t>年，生态环境质量持续改善，花园城市初步建成，碳达峰目标如期实现，主要污染物排放总量持续减少，碳排放强度持续下降，国土空间开发保护格局持续优化，生态系统服务功能稳步提升，区域生态安全更加稳固，生态环境治理体系持续健全，绿色生产生活方式基本形成，生态文明建设成效显著提升，</w:t>
      </w:r>
      <w:bookmarkStart w:id="51" w:name="_Hlk215562693"/>
      <w:r>
        <w:rPr>
          <w:rFonts w:hint="eastAsia" w:ascii="仿宋_GB2312" w:hAnsi="仿宋_GB2312" w:eastAsia="仿宋_GB2312" w:cs="仿宋_GB2312"/>
          <w:color w:val="auto"/>
          <w:sz w:val="32"/>
          <w:szCs w:val="32"/>
          <w:highlight w:val="none"/>
        </w:rPr>
        <w:t>美丽延庆建设取得更大成效，</w:t>
      </w:r>
      <w:bookmarkEnd w:id="51"/>
      <w:r>
        <w:rPr>
          <w:rFonts w:hint="eastAsia" w:ascii="仿宋_GB2312" w:hAnsi="仿宋_GB2312" w:eastAsia="仿宋_GB2312" w:cs="仿宋_GB2312"/>
          <w:color w:val="auto"/>
          <w:sz w:val="32"/>
          <w:szCs w:val="32"/>
          <w:highlight w:val="none"/>
        </w:rPr>
        <w:t>为全面建成美丽延庆打下坚实基础。</w:t>
      </w:r>
    </w:p>
    <w:p>
      <w:pPr>
        <w:pStyle w:val="63"/>
        <w:adjustRightInd w:val="0"/>
        <w:snapToGrid w:val="0"/>
        <w:spacing w:line="560" w:lineRule="exact"/>
        <w:ind w:firstLine="640"/>
        <w:rPr>
          <w:color w:val="auto"/>
          <w:highlight w:val="none"/>
        </w:rPr>
      </w:pPr>
      <w:r>
        <w:rPr>
          <w:rFonts w:hint="eastAsia" w:ascii="仿宋_GB2312" w:hAnsi="仿宋_GB2312" w:eastAsia="仿宋_GB2312" w:cs="仿宋_GB2312"/>
          <w:color w:val="auto"/>
          <w:sz w:val="32"/>
          <w:szCs w:val="32"/>
          <w:highlight w:val="none"/>
          <w:lang w:val="zh-CN"/>
        </w:rPr>
        <w:t>到二</w:t>
      </w:r>
      <w:r>
        <w:rPr>
          <w:rFonts w:hint="eastAsia" w:ascii="微软雅黑" w:hAnsi="微软雅黑" w:eastAsia="微软雅黑" w:cs="微软雅黑"/>
          <w:color w:val="auto"/>
          <w:sz w:val="32"/>
          <w:szCs w:val="32"/>
          <w:highlight w:val="none"/>
          <w:lang w:val="zh-CN"/>
        </w:rPr>
        <w:t>〇</w:t>
      </w:r>
      <w:r>
        <w:rPr>
          <w:rFonts w:hint="eastAsia" w:ascii="仿宋_GB2312" w:hAnsi="仿宋_GB2312" w:eastAsia="仿宋_GB2312" w:cs="仿宋_GB2312"/>
          <w:color w:val="auto"/>
          <w:sz w:val="32"/>
          <w:szCs w:val="32"/>
          <w:highlight w:val="none"/>
          <w:lang w:val="zh-CN"/>
        </w:rPr>
        <w:t>三五年，生态环境质量全面提升，生态安全屏障建设取得重大成果，绿色低碳循环体系转型取得重大突破，生态化、专业化、国际化的高精尖产业体系全面构建，绿色生产生活方式成为社会广泛自觉，城乡人居环境明显改善，生态文明建设达到更高水平，人与自然和谐共生的现代化建设取得重大进展，全面建设山更绿、水更净、天更蓝、空气更清新、人民更幸福的美丽延庆，初步建成国际一流的生态文明示范区。</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（二）具体指标</w:t>
      </w:r>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指标体系分减污降碳、环境优良、生态保护、风险防控和美丽建设五个维度设22项指标。</w:t>
      </w:r>
    </w:p>
    <w:p>
      <w:pPr>
        <w:pStyle w:val="66"/>
        <w:rPr>
          <w:rFonts w:hint="eastAsia" w:ascii="楷体_GB2312" w:hAnsi="楷体_GB2312" w:eastAsia="楷体_GB2312" w:cs="楷体_GB2312"/>
          <w:b w:val="0"/>
          <w:bCs/>
          <w:color w:val="auto"/>
          <w:sz w:val="28"/>
          <w:szCs w:val="28"/>
          <w:highlight w:val="none"/>
          <w14:ligatures w14:val="none"/>
        </w:rPr>
      </w:pPr>
      <w:r>
        <w:rPr>
          <w:rFonts w:hint="eastAsia" w:ascii="楷体_GB2312" w:hAnsi="楷体_GB2312" w:eastAsia="楷体_GB2312" w:cs="楷体_GB2312"/>
          <w:b w:val="0"/>
          <w:bCs/>
          <w:color w:val="auto"/>
          <w:sz w:val="28"/>
          <w:szCs w:val="28"/>
          <w:highlight w:val="none"/>
          <w14:ligatures w14:val="none"/>
        </w:rPr>
        <w:t>表2-1  延庆区“十五五”时期美丽延庆建设规划目标表</w:t>
      </w:r>
    </w:p>
    <w:tbl>
      <w:tblPr>
        <w:tblStyle w:val="33"/>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6"/>
        <w:gridCol w:w="851"/>
        <w:gridCol w:w="3118"/>
        <w:gridCol w:w="1276"/>
        <w:gridCol w:w="1276"/>
        <w:gridCol w:w="107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blHeader/>
        </w:trPr>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Cs w:val="21"/>
                <w:highlight w:val="none"/>
              </w:rPr>
              <w:t>序号</w:t>
            </w:r>
          </w:p>
        </w:tc>
        <w:tc>
          <w:tcPr>
            <w:tcW w:w="851"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Cs w:val="21"/>
                <w:highlight w:val="none"/>
              </w:rPr>
              <w:t>维度</w:t>
            </w: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Cs w:val="21"/>
                <w:highlight w:val="none"/>
              </w:rPr>
              <w:t>指标层</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Cs w:val="21"/>
                <w:highlight w:val="none"/>
              </w:rPr>
              <w:t>现状值2024年</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Cs w:val="21"/>
                <w:highlight w:val="none"/>
              </w:rPr>
              <w:t>目标值2030年</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Cs w:val="21"/>
                <w:highlight w:val="none"/>
              </w:rPr>
              <w:t>属性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851" w:type="dxa"/>
            <w:vMerge w:val="restart"/>
            <w:tcBorders>
              <w:top w:val="single" w:color="auto" w:sz="2" w:space="0"/>
              <w:left w:val="single" w:color="auto" w:sz="2" w:space="0"/>
              <w:right w:val="single" w:color="auto" w:sz="2" w:space="0"/>
            </w:tcBorders>
            <w:vAlign w:val="center"/>
          </w:tcPr>
          <w:p>
            <w:pPr>
              <w:jc w:val="center"/>
              <w:rPr>
                <w:rFonts w:hint="eastAsia" w:ascii="仿宋_GB2312" w:hAnsi="仿宋_GB2312" w:eastAsia="仿宋_GB2312" w:cs="仿宋_GB2312"/>
                <w:color w:val="auto"/>
                <w:kern w:val="0"/>
                <w:szCs w:val="21"/>
                <w:highlight w:val="none"/>
              </w:rPr>
            </w:pPr>
            <w:bookmarkStart w:id="52" w:name="_Hlk211074443"/>
            <w:r>
              <w:rPr>
                <w:rFonts w:hint="eastAsia" w:ascii="仿宋_GB2312" w:hAnsi="仿宋_GB2312" w:eastAsia="仿宋_GB2312" w:cs="仿宋_GB2312"/>
                <w:color w:val="auto"/>
                <w:kern w:val="0"/>
                <w:szCs w:val="21"/>
                <w:highlight w:val="none"/>
              </w:rPr>
              <w:t>减污降碳</w:t>
            </w:r>
            <w:bookmarkEnd w:id="52"/>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全经济范围温室气体净排放较峰值下降率(%)</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15左右</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851" w:type="dxa"/>
            <w:vMerge w:val="continue"/>
            <w:tcBorders>
              <w:left w:val="single" w:color="auto" w:sz="2" w:space="0"/>
              <w:right w:val="single" w:color="auto" w:sz="2" w:space="0"/>
            </w:tcBorders>
            <w:vAlign w:val="center"/>
          </w:tcPr>
          <w:p>
            <w:pPr>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单位地区生产总值二氧化碳排放降幅(%)</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20以上（较2025年）</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851" w:type="dxa"/>
            <w:vMerge w:val="continue"/>
            <w:tcBorders>
              <w:left w:val="single" w:color="auto" w:sz="2" w:space="0"/>
              <w:right w:val="single" w:color="auto" w:sz="2" w:space="0"/>
            </w:tcBorders>
            <w:vAlign w:val="center"/>
          </w:tcPr>
          <w:p>
            <w:pPr>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氮氧化物排放总量减少（吨）</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达到北京市要求</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851" w:type="dxa"/>
            <w:vMerge w:val="continue"/>
            <w:tcBorders>
              <w:left w:val="single" w:color="auto" w:sz="2" w:space="0"/>
              <w:right w:val="single" w:color="auto" w:sz="2" w:space="0"/>
            </w:tcBorders>
            <w:vAlign w:val="center"/>
          </w:tcPr>
          <w:p>
            <w:pPr>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挥发性有机物排放总量减少（吨）</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达到北京市要求</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851" w:type="dxa"/>
            <w:vMerge w:val="continue"/>
            <w:tcBorders>
              <w:left w:val="single" w:color="auto" w:sz="2" w:space="0"/>
              <w:right w:val="single" w:color="auto" w:sz="2" w:space="0"/>
            </w:tcBorders>
            <w:vAlign w:val="center"/>
          </w:tcPr>
          <w:p>
            <w:pPr>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化学需氧量排放总量减少（吨）</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达到北京市要求</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w:t>
            </w:r>
          </w:p>
        </w:tc>
        <w:tc>
          <w:tcPr>
            <w:tcW w:w="851" w:type="dxa"/>
            <w:vMerge w:val="continue"/>
            <w:tcBorders>
              <w:left w:val="single" w:color="auto" w:sz="2" w:space="0"/>
              <w:right w:val="single" w:color="auto" w:sz="2" w:space="0"/>
            </w:tcBorders>
            <w:vAlign w:val="center"/>
          </w:tcPr>
          <w:p>
            <w:pPr>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总磷排放总量减少（吨）</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达到北京市要求</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bookmarkStart w:id="53" w:name="_Hlk215580208"/>
            <w:r>
              <w:rPr>
                <w:rFonts w:hint="eastAsia" w:ascii="仿宋_GB2312" w:hAnsi="仿宋_GB2312" w:eastAsia="仿宋_GB2312" w:cs="仿宋_GB2312"/>
                <w:color w:val="auto"/>
                <w:szCs w:val="21"/>
                <w:highlight w:val="none"/>
              </w:rPr>
              <w:t>7</w:t>
            </w:r>
          </w:p>
        </w:tc>
        <w:tc>
          <w:tcPr>
            <w:tcW w:w="851" w:type="dxa"/>
            <w:vMerge w:val="restart"/>
            <w:tcBorders>
              <w:top w:val="single" w:color="auto" w:sz="2" w:space="0"/>
              <w:left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环境优良</w:t>
            </w: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PM</w:t>
            </w:r>
            <w:r>
              <w:rPr>
                <w:rFonts w:hint="eastAsia" w:ascii="仿宋_GB2312" w:hAnsi="仿宋_GB2312" w:eastAsia="仿宋_GB2312" w:cs="仿宋_GB2312"/>
                <w:color w:val="auto"/>
                <w:kern w:val="0"/>
                <w:szCs w:val="21"/>
                <w:highlight w:val="none"/>
                <w:vertAlign w:val="subscript"/>
              </w:rPr>
              <w:t>2.5</w:t>
            </w:r>
            <w:r>
              <w:rPr>
                <w:rFonts w:hint="eastAsia" w:ascii="仿宋_GB2312" w:hAnsi="仿宋_GB2312" w:eastAsia="仿宋_GB2312" w:cs="仿宋_GB2312"/>
                <w:color w:val="auto"/>
                <w:kern w:val="0"/>
                <w:szCs w:val="21"/>
                <w:highlight w:val="none"/>
              </w:rPr>
              <w:t>年平均浓度（微克/立方米）</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达到北京市要求（27）</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8</w:t>
            </w:r>
          </w:p>
        </w:tc>
        <w:tc>
          <w:tcPr>
            <w:tcW w:w="851" w:type="dxa"/>
            <w:vMerge w:val="continue"/>
            <w:tcBorders>
              <w:left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优良天数比例（%）</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84.2</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≥85</w:t>
            </w:r>
            <w:r>
              <w:rPr>
                <w:rFonts w:hint="eastAsia" w:ascii="仿宋_GB2312" w:hAnsi="仿宋_GB2312" w:eastAsia="仿宋_GB2312" w:cs="仿宋_GB2312"/>
                <w:color w:val="auto"/>
                <w:kern w:val="0"/>
                <w:szCs w:val="21"/>
                <w:highlight w:val="none"/>
              </w:rPr>
              <w:br w:type="textWrapping"/>
            </w:r>
            <w:r>
              <w:rPr>
                <w:rFonts w:hint="eastAsia" w:ascii="仿宋_GB2312" w:hAnsi="仿宋_GB2312" w:eastAsia="仿宋_GB2312" w:cs="仿宋_GB2312"/>
                <w:color w:val="auto"/>
                <w:kern w:val="0"/>
                <w:szCs w:val="21"/>
                <w:highlight w:val="none"/>
              </w:rPr>
              <w:t>（稳步提升）</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bookmarkStart w:id="54" w:name="_Hlk216429124"/>
            <w:r>
              <w:rPr>
                <w:rFonts w:hint="eastAsia" w:ascii="仿宋_GB2312" w:hAnsi="仿宋_GB2312" w:eastAsia="仿宋_GB2312" w:cs="仿宋_GB2312"/>
                <w:color w:val="auto"/>
                <w:szCs w:val="21"/>
                <w:highlight w:val="none"/>
              </w:rPr>
              <w:t>9</w:t>
            </w:r>
          </w:p>
        </w:tc>
        <w:tc>
          <w:tcPr>
            <w:tcW w:w="851" w:type="dxa"/>
            <w:vMerge w:val="continue"/>
            <w:tcBorders>
              <w:left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重污染天数(中重度污染天数)</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1天</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基本消除</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约束性</w:t>
            </w:r>
          </w:p>
        </w:tc>
      </w:tr>
      <w:bookmarkEnd w:id="53"/>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w:t>
            </w:r>
          </w:p>
        </w:tc>
        <w:tc>
          <w:tcPr>
            <w:tcW w:w="851" w:type="dxa"/>
            <w:vMerge w:val="continue"/>
            <w:tcBorders>
              <w:left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优良水体比例（%）</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达到北京市要求</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预期性</w:t>
            </w:r>
          </w:p>
        </w:tc>
      </w:tr>
      <w:bookmarkEnd w:id="54"/>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11</w:t>
            </w:r>
          </w:p>
        </w:tc>
        <w:tc>
          <w:tcPr>
            <w:tcW w:w="851" w:type="dxa"/>
            <w:vMerge w:val="continue"/>
            <w:tcBorders>
              <w:left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农村生活污水处理率（%）</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93.37</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99</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w:t>
            </w:r>
          </w:p>
        </w:tc>
        <w:tc>
          <w:tcPr>
            <w:tcW w:w="851" w:type="dxa"/>
            <w:vMerge w:val="continue"/>
            <w:tcBorders>
              <w:left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功能区声环境夜间达标率（%）</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85</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达到北京市要求</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13</w:t>
            </w:r>
          </w:p>
        </w:tc>
        <w:tc>
          <w:tcPr>
            <w:tcW w:w="851" w:type="dxa"/>
            <w:vMerge w:val="continue"/>
            <w:tcBorders>
              <w:left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集中建设区绿视率（%）</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28.22</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14</w:t>
            </w:r>
          </w:p>
        </w:tc>
        <w:tc>
          <w:tcPr>
            <w:tcW w:w="851" w:type="dxa"/>
            <w:vMerge w:val="continue"/>
            <w:tcBorders>
              <w:left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“无废城市”指数</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&gt;90</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15</w:t>
            </w:r>
          </w:p>
        </w:tc>
        <w:tc>
          <w:tcPr>
            <w:tcW w:w="851" w:type="dxa"/>
            <w:vMerge w:val="restart"/>
            <w:tcBorders>
              <w:top w:val="single" w:color="auto" w:sz="2" w:space="0"/>
              <w:left w:val="single" w:color="auto" w:sz="2" w:space="0"/>
              <w:right w:val="single" w:color="auto" w:sz="2" w:space="0"/>
            </w:tcBorders>
            <w:vAlign w:val="center"/>
          </w:tcPr>
          <w:p>
            <w:pP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生态保护</w:t>
            </w: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生态环境状况指数(EI)</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76</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76.2</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bookmarkStart w:id="55" w:name="_Hlk216429202"/>
            <w:r>
              <w:rPr>
                <w:rFonts w:hint="eastAsia" w:ascii="仿宋_GB2312" w:hAnsi="仿宋_GB2312" w:eastAsia="仿宋_GB2312" w:cs="仿宋_GB2312"/>
                <w:color w:val="auto"/>
                <w:szCs w:val="21"/>
                <w:highlight w:val="none"/>
              </w:rPr>
              <w:t>16</w:t>
            </w:r>
          </w:p>
        </w:tc>
        <w:tc>
          <w:tcPr>
            <w:tcW w:w="851" w:type="dxa"/>
            <w:vMerge w:val="continue"/>
            <w:tcBorders>
              <w:left w:val="single" w:color="auto" w:sz="2" w:space="0"/>
              <w:right w:val="single" w:color="auto" w:sz="2" w:space="0"/>
            </w:tcBorders>
            <w:vAlign w:val="center"/>
          </w:tcPr>
          <w:p>
            <w:pPr>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GEP年均变化率（%）</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2.3</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17</w:t>
            </w:r>
          </w:p>
        </w:tc>
        <w:tc>
          <w:tcPr>
            <w:tcW w:w="851" w:type="dxa"/>
            <w:vMerge w:val="continue"/>
            <w:tcBorders>
              <w:left w:val="single" w:color="auto" w:sz="2" w:space="0"/>
              <w:right w:val="single" w:color="auto" w:sz="2" w:space="0"/>
            </w:tcBorders>
            <w:vAlign w:val="center"/>
          </w:tcPr>
          <w:p>
            <w:pPr>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GEPR年均变化率（%）</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0.44</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≥0</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预期性</w:t>
            </w:r>
          </w:p>
        </w:tc>
      </w:tr>
      <w:bookmarkEnd w:id="55"/>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bookmarkStart w:id="56" w:name="_Hlk216429339"/>
            <w:r>
              <w:rPr>
                <w:rFonts w:hint="eastAsia" w:ascii="仿宋_GB2312" w:hAnsi="仿宋_GB2312" w:eastAsia="仿宋_GB2312" w:cs="仿宋_GB2312"/>
                <w:color w:val="auto"/>
                <w:szCs w:val="21"/>
                <w:highlight w:val="none"/>
              </w:rPr>
              <w:t>18</w:t>
            </w:r>
          </w:p>
        </w:tc>
        <w:tc>
          <w:tcPr>
            <w:tcW w:w="851" w:type="dxa"/>
            <w:vMerge w:val="restart"/>
            <w:tcBorders>
              <w:top w:val="single" w:color="auto" w:sz="2" w:space="0"/>
              <w:left w:val="single" w:color="auto" w:sz="2" w:space="0"/>
              <w:right w:val="single" w:color="auto" w:sz="2" w:space="0"/>
            </w:tcBorders>
            <w:vAlign w:val="center"/>
          </w:tcPr>
          <w:p>
            <w:pP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风险防控</w:t>
            </w:r>
          </w:p>
        </w:tc>
        <w:tc>
          <w:tcPr>
            <w:tcW w:w="31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受污染耕地安全利用率（%）</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无受污染耕地</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约束性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2" w:space="0"/>
              <w:left w:val="single" w:color="auto" w:sz="2" w:space="0"/>
              <w:bottom w:val="single" w:color="auto" w:sz="4"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19</w:t>
            </w:r>
          </w:p>
        </w:tc>
        <w:tc>
          <w:tcPr>
            <w:tcW w:w="851" w:type="dxa"/>
            <w:vMerge w:val="continue"/>
            <w:tcBorders>
              <w:left w:val="single" w:color="auto" w:sz="2" w:space="0"/>
              <w:bottom w:val="single" w:color="auto" w:sz="4"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p>
        </w:tc>
        <w:tc>
          <w:tcPr>
            <w:tcW w:w="3118" w:type="dxa"/>
            <w:tcBorders>
              <w:top w:val="single" w:color="auto" w:sz="2" w:space="0"/>
              <w:left w:val="single" w:color="auto" w:sz="2" w:space="0"/>
              <w:bottom w:val="single" w:color="auto" w:sz="4"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建设用地安全利用率（%）</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100</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cs="仿宋_GB2312" w:eastAsiaTheme="minorEastAsia"/>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约束性</w:t>
            </w:r>
          </w:p>
        </w:tc>
      </w:tr>
      <w:bookmarkEnd w:id="56"/>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4"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20</w:t>
            </w:r>
          </w:p>
        </w:tc>
        <w:tc>
          <w:tcPr>
            <w:tcW w:w="851" w:type="dxa"/>
            <w:vMerge w:val="restart"/>
            <w:tcBorders>
              <w:top w:val="single" w:color="auto" w:sz="4" w:space="0"/>
              <w:left w:val="single" w:color="auto" w:sz="2" w:space="0"/>
              <w:right w:val="single" w:color="auto" w:sz="2" w:space="0"/>
            </w:tcBorders>
            <w:vAlign w:val="center"/>
          </w:tcPr>
          <w:p>
            <w:pP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美丽建设</w:t>
            </w:r>
          </w:p>
        </w:tc>
        <w:tc>
          <w:tcPr>
            <w:tcW w:w="3118" w:type="dxa"/>
            <w:tcBorders>
              <w:top w:val="single" w:color="auto" w:sz="4"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美丽城市建设进展</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全面开展</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4"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21</w:t>
            </w:r>
          </w:p>
        </w:tc>
        <w:tc>
          <w:tcPr>
            <w:tcW w:w="851" w:type="dxa"/>
            <w:vMerge w:val="continue"/>
            <w:tcBorders>
              <w:left w:val="single" w:color="auto" w:sz="2" w:space="0"/>
              <w:right w:val="single" w:color="auto" w:sz="2" w:space="0"/>
            </w:tcBorders>
            <w:vAlign w:val="center"/>
          </w:tcPr>
          <w:p>
            <w:pPr>
              <w:jc w:val="center"/>
              <w:rPr>
                <w:rFonts w:hint="eastAsia" w:ascii="仿宋_GB2312" w:hAnsi="仿宋_GB2312" w:eastAsia="仿宋_GB2312" w:cs="仿宋_GB2312"/>
                <w:color w:val="auto"/>
                <w:kern w:val="0"/>
                <w:szCs w:val="21"/>
                <w:highlight w:val="none"/>
              </w:rPr>
            </w:pPr>
          </w:p>
        </w:tc>
        <w:tc>
          <w:tcPr>
            <w:tcW w:w="3118" w:type="dxa"/>
            <w:tcBorders>
              <w:top w:val="single" w:color="auto" w:sz="4"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美丽乡村整区推进情况</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全面推进</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预期性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6" w:type="dxa"/>
            <w:tcBorders>
              <w:top w:val="single" w:color="auto" w:sz="4" w:space="0"/>
              <w:left w:val="single" w:color="auto" w:sz="2" w:space="0"/>
              <w:bottom w:val="single" w:color="auto" w:sz="4" w:space="0"/>
              <w:right w:val="single" w:color="auto" w:sz="2" w:space="0"/>
            </w:tcBorders>
            <w:vAlign w:val="center"/>
          </w:tcPr>
          <w:p>
            <w:pPr>
              <w:widowControl/>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22</w:t>
            </w:r>
          </w:p>
        </w:tc>
        <w:tc>
          <w:tcPr>
            <w:tcW w:w="851" w:type="dxa"/>
            <w:vMerge w:val="continue"/>
            <w:tcBorders>
              <w:left w:val="single" w:color="auto" w:sz="2" w:space="0"/>
              <w:bottom w:val="single" w:color="auto" w:sz="4" w:space="0"/>
              <w:right w:val="single" w:color="auto" w:sz="2" w:space="0"/>
            </w:tcBorders>
            <w:vAlign w:val="center"/>
          </w:tcPr>
          <w:p>
            <w:pPr>
              <w:jc w:val="center"/>
              <w:rPr>
                <w:rFonts w:hint="eastAsia" w:ascii="仿宋_GB2312" w:hAnsi="仿宋_GB2312" w:eastAsia="仿宋_GB2312" w:cs="仿宋_GB2312"/>
                <w:color w:val="auto"/>
                <w:kern w:val="0"/>
                <w:szCs w:val="21"/>
                <w:highlight w:val="none"/>
              </w:rPr>
            </w:pPr>
          </w:p>
        </w:tc>
        <w:tc>
          <w:tcPr>
            <w:tcW w:w="3118" w:type="dxa"/>
            <w:tcBorders>
              <w:top w:val="single" w:color="auto" w:sz="4" w:space="0"/>
              <w:left w:val="single" w:color="auto" w:sz="2" w:space="0"/>
              <w:bottom w:val="single" w:color="auto" w:sz="4"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美丽河湖建成率(%)</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p>
        </w:tc>
        <w:tc>
          <w:tcPr>
            <w:tcW w:w="127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70</w:t>
            </w:r>
          </w:p>
        </w:tc>
        <w:tc>
          <w:tcPr>
            <w:tcW w:w="1073"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预期性</w:t>
            </w:r>
          </w:p>
        </w:tc>
      </w:tr>
    </w:tbl>
    <w:p>
      <w:pPr>
        <w:pStyle w:val="63"/>
        <w:adjustRightInd w:val="0"/>
        <w:snapToGrid w:val="0"/>
        <w:spacing w:line="560" w:lineRule="exact"/>
        <w:ind w:firstLine="0" w:firstLineChars="0"/>
        <w:rPr>
          <w:rFonts w:hint="eastAsia" w:ascii="仿宋_GB2312" w:hAnsi="仿宋_GB2312" w:eastAsia="仿宋_GB2312" w:cs="仿宋_GB2312"/>
          <w:color w:val="auto"/>
          <w:sz w:val="40"/>
          <w:szCs w:val="40"/>
          <w:highlight w:val="none"/>
        </w:rPr>
        <w:sectPr>
          <w:pgSz w:w="11906" w:h="16838"/>
          <w:pgMar w:top="1440" w:right="1800" w:bottom="1440" w:left="1800" w:header="851" w:footer="992" w:gutter="0"/>
          <w:pgNumType w:fmt="numberInDash"/>
          <w:cols w:space="425" w:num="1"/>
          <w:docGrid w:type="lines" w:linePitch="312" w:charSpace="0"/>
        </w:sectPr>
      </w:pPr>
    </w:p>
    <w:p>
      <w:pPr>
        <w:pStyle w:val="3"/>
        <w:keepNext w:val="0"/>
        <w:keepLines w:val="0"/>
        <w:adjustRightInd w:val="0"/>
        <w:snapToGrid w:val="0"/>
        <w:spacing w:before="0" w:after="0" w:line="560" w:lineRule="exact"/>
        <w:jc w:val="center"/>
        <w:rPr>
          <w:rFonts w:hint="eastAsia" w:ascii="方正小标宋简体" w:hAnsi="方正小标宋简体" w:eastAsia="方正小标宋简体" w:cs="方正小标宋简体"/>
          <w:bCs/>
          <w:color w:val="auto"/>
          <w:kern w:val="44"/>
          <w:sz w:val="44"/>
          <w:szCs w:val="44"/>
          <w:highlight w:val="none"/>
        </w:rPr>
      </w:pPr>
      <w:bookmarkStart w:id="57" w:name="_Toc4730"/>
      <w:bookmarkStart w:id="58" w:name="_Toc206336504"/>
      <w:bookmarkStart w:id="59" w:name="_Toc204014688"/>
      <w:bookmarkStart w:id="60" w:name="_Toc203635583"/>
      <w:bookmarkStart w:id="61" w:name="_Toc211871731"/>
      <w:bookmarkStart w:id="62" w:name="_Hlk213954204"/>
      <w:r>
        <w:rPr>
          <w:rFonts w:hint="eastAsia" w:ascii="方正小标宋简体" w:hAnsi="方正小标宋简体" w:eastAsia="方正小标宋简体" w:cs="方正小标宋简体"/>
          <w:bCs/>
          <w:color w:val="auto"/>
          <w:kern w:val="44"/>
          <w:sz w:val="44"/>
          <w:szCs w:val="44"/>
          <w:highlight w:val="none"/>
        </w:rPr>
        <w:t xml:space="preserve">第三章 </w:t>
      </w:r>
      <w:bookmarkStart w:id="63" w:name="_Hlk216437214"/>
      <w:r>
        <w:rPr>
          <w:rFonts w:hint="eastAsia" w:ascii="方正小标宋简体" w:hAnsi="方正小标宋简体" w:eastAsia="方正小标宋简体" w:cs="方正小标宋简体"/>
          <w:bCs/>
          <w:color w:val="auto"/>
          <w:kern w:val="44"/>
          <w:sz w:val="44"/>
          <w:szCs w:val="44"/>
          <w:highlight w:val="none"/>
        </w:rPr>
        <w:t>锚定双碳 加快推动发展方式绿色低碳转型</w:t>
      </w:r>
      <w:bookmarkEnd w:id="57"/>
      <w:bookmarkEnd w:id="58"/>
      <w:bookmarkEnd w:id="59"/>
      <w:bookmarkEnd w:id="60"/>
      <w:bookmarkEnd w:id="61"/>
      <w:bookmarkEnd w:id="63"/>
    </w:p>
    <w:bookmarkEnd w:id="62"/>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bookmarkStart w:id="64" w:name="_Toc204014689"/>
      <w:bookmarkStart w:id="65" w:name="_Toc206336505"/>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66" w:name="_Toc13443"/>
      <w:bookmarkStart w:id="67" w:name="_Toc211871732"/>
      <w:r>
        <w:rPr>
          <w:rFonts w:hint="eastAsia" w:ascii="黑体" w:hAnsi="黑体" w:cs="黑体"/>
          <w:b w:val="0"/>
          <w:bCs/>
          <w:color w:val="auto"/>
          <w:highlight w:val="none"/>
        </w:rPr>
        <w:t>一、积极稳妥推进碳达峰碳中和</w:t>
      </w:r>
      <w:bookmarkEnd w:id="64"/>
      <w:bookmarkEnd w:id="65"/>
      <w:bookmarkEnd w:id="66"/>
      <w:bookmarkEnd w:id="67"/>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（一）开展碳达峰碳中和先行示范</w:t>
      </w:r>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zh-CN"/>
        </w:rPr>
        <w:t>发挥“冬奥”十大绿色低碳技术示范引领作用，将延庆冬奥村采用的超低能耗建筑技术以及冬奥场馆中的绿电供应系统作为示范工程在大型建筑领域进行经验推广。鼓励重点区域、工业园区、农业园区、街乡社区从规划设计和项目示范入手建设近零碳排放示范区。持续开展低碳试点示范及减污降碳协同创新试点示范建设，加快推进中关村延庆园绿色低碳园区创建，推进重点行业能效提升和节能减排升级改造；着力发展绿色建筑、超低能耗建筑等节能低碳建筑，提供多层次绿化空间，开展近零碳排放社区建设。</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（二）积极参与北京市碳市场建设</w:t>
      </w:r>
    </w:p>
    <w:p>
      <w:pPr>
        <w:pStyle w:val="63"/>
        <w:adjustRightInd w:val="0"/>
        <w:snapToGrid w:val="0"/>
        <w:spacing w:line="560" w:lineRule="exact"/>
        <w:ind w:firstLine="640"/>
        <w:rPr>
          <w:rFonts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落实《碳排放权交易管理暂行条例》及相关配套制度文件和管理规则。加强对碳排放单位监督管理和技术指导，组织全区纳入</w:t>
      </w:r>
      <w:r>
        <w:rPr>
          <w:rFonts w:hint="eastAsia" w:ascii="仿宋_GB2312" w:hAnsi="仿宋_GB2312" w:eastAsia="仿宋_GB2312" w:cs="仿宋_GB2312"/>
          <w:color w:val="auto"/>
          <w:kern w:val="2"/>
          <w:sz w:val="32"/>
          <w:szCs w:val="32"/>
          <w:highlight w:val="none"/>
          <w:lang w:val="zh-CN" w:bidi="ar"/>
        </w:rPr>
        <w:t>碳排放权交易市场的重点排放单位完成温室气体排放数据报告、核查、配额清缴等工作</w:t>
      </w:r>
      <w:r>
        <w:rPr>
          <w:rFonts w:hint="eastAsia" w:ascii="仿宋_GB2312" w:hAnsi="仿宋_GB2312" w:eastAsia="仿宋_GB2312" w:cs="仿宋_GB2312"/>
          <w:color w:val="auto"/>
          <w:sz w:val="32"/>
          <w:szCs w:val="32"/>
          <w:highlight w:val="none"/>
          <w:lang w:val="zh-CN"/>
        </w:rPr>
        <w:t>。用好碳排放总量和强度“双控”制度，协助市级推进全国温室气体自愿减排（CCER）交易市场运行，配合市级部门完善配额核算方法及管理机制。</w:t>
      </w:r>
      <w:r>
        <w:rPr>
          <w:rFonts w:hint="eastAsia" w:ascii="仿宋_GB2312" w:hAnsi="仿宋_GB2312" w:eastAsia="仿宋_GB2312" w:cs="仿宋_GB2312"/>
          <w:color w:val="auto"/>
          <w:kern w:val="2"/>
          <w:sz w:val="32"/>
          <w:szCs w:val="32"/>
          <w:highlight w:val="none"/>
          <w:lang w:val="zh-CN" w:bidi="ar"/>
        </w:rPr>
        <w:t>落实碳普惠管理办法，</w:t>
      </w:r>
      <w:r>
        <w:rPr>
          <w:rFonts w:hint="eastAsia" w:ascii="仿宋_GB2312" w:hAnsi="仿宋_GB2312" w:eastAsia="仿宋_GB2312" w:cs="仿宋_GB2312"/>
          <w:color w:val="auto"/>
          <w:sz w:val="32"/>
          <w:szCs w:val="32"/>
          <w:highlight w:val="none"/>
        </w:rPr>
        <w:t>拓展碳普惠场景，扩大覆盖范围。</w:t>
      </w:r>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lang w:val="zh-CN"/>
        </w:rPr>
      </w:pP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68" w:name="_Toc206336506"/>
      <w:bookmarkStart w:id="69" w:name="_Toc204014690"/>
      <w:bookmarkStart w:id="70" w:name="_Toc211871733"/>
      <w:bookmarkStart w:id="71" w:name="_Toc8699"/>
      <w:r>
        <w:rPr>
          <w:rFonts w:hint="eastAsia" w:ascii="黑体" w:hAnsi="黑体" w:cs="黑体"/>
          <w:b w:val="0"/>
          <w:bCs/>
          <w:color w:val="auto"/>
          <w:highlight w:val="none"/>
        </w:rPr>
        <w:t>二、推动重点领域绿色低碳发展</w:t>
      </w:r>
      <w:bookmarkEnd w:id="68"/>
      <w:bookmarkEnd w:id="69"/>
      <w:bookmarkEnd w:id="70"/>
      <w:bookmarkEnd w:id="71"/>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（一）加快构建绿色低碳产业体系</w:t>
      </w:r>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全面谋划绿色低碳技术应用场景，推动技术成果转化，促进产业转型升级，持续推进绿色制造体系和绿色供应链体系建设。围绕无人机、智慧医疗、智能制造等领域，加快推动科技含量高、能效水平高、污染物和碳排放低的高精尖产业发展。推进中关村延庆园、农业园区循环化发展。</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（二）积极推进能源绿色低碳转型</w:t>
      </w:r>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大力发展新能源和可再生能源，推进光伏、地热、热泵、等分布式新能源利用，积极增加外调绿电，持续提升可再生能源占比。推动化石能源深度替代，严格控制化石能源消费增长。大力推进可再生能源供热，禁止新（扩）建燃气独立供暖系统，有效降低天然气消费量增速，大力推进机动车油换电等项目，全面提高电气化应用规模，实现化石能源消费总量逐步下降。发展多方式、多能源相结合的安全供热体系，加大供热锅炉余热回收利用力度，推进新建建筑采用电力、太阳能等可再生能源综合供热系统。推进燃气壁挂炉升级。</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（三）大力推动建筑领域低碳发展</w:t>
      </w:r>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进一步推进高星级绿色建筑、装配式建筑、超低能耗建筑、近零能耗建筑、低碳、零碳建筑等高品质绿色建筑建设，实现延庆区绿色低碳高品质建筑规模化发展，至2030年，新建民用建筑全面执行绿色建筑二星级及以上标准。提高居住建筑节能水平，强化公共建筑能耗运行监管，推进公共建筑节能改造，推动机关、学校等公共机构开展节能减碳示范，至2030年，全面完成公共机构、国有企事业单位自有物业等公共建筑的节能绿色化改造。按照上位政策要求，全部完成既有居住建筑的节能绿色化改造。推动供热系统全面提效，强化公共建筑电耗限额管理，探索在农房建设中应用建筑节能技术，全面提升建筑运行能效。</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（四）着力打造绿色低碳交通体系</w:t>
      </w:r>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lang w:val="zh-CN"/>
        </w:rPr>
      </w:pPr>
      <w:r>
        <w:rPr>
          <w:rFonts w:hint="eastAsia" w:ascii="仿宋_GB2312" w:eastAsia="仿宋_GB2312"/>
          <w:color w:val="auto"/>
          <w:kern w:val="0"/>
          <w:sz w:val="32"/>
          <w:szCs w:val="32"/>
          <w:highlight w:val="none"/>
          <w:lang w:eastAsia="zh-CN" w:bidi="ar"/>
        </w:rPr>
        <w:t>持续优化车辆结构，</w:t>
      </w:r>
      <w:r>
        <w:rPr>
          <w:rFonts w:hint="eastAsia" w:ascii="仿宋_GB2312" w:eastAsia="仿宋_GB2312"/>
          <w:color w:val="auto"/>
          <w:kern w:val="0"/>
          <w:sz w:val="32"/>
          <w:szCs w:val="32"/>
          <w:highlight w:val="none"/>
          <w:lang w:bidi="ar"/>
        </w:rPr>
        <w:t>加快推进新能源车辆替代燃油车，</w:t>
      </w:r>
      <w:r>
        <w:rPr>
          <w:rFonts w:hint="eastAsia" w:ascii="仿宋_GB2312" w:hAnsi="仿宋_GB2312" w:eastAsia="仿宋_GB2312" w:cs="仿宋_GB2312"/>
          <w:color w:val="auto"/>
          <w:sz w:val="32"/>
          <w:szCs w:val="32"/>
          <w:highlight w:val="none"/>
          <w:lang w:val="zh-CN"/>
        </w:rPr>
        <w:t>推动运输工具装备低碳转型。</w:t>
      </w:r>
      <w:r>
        <w:rPr>
          <w:rFonts w:hint="eastAsia" w:ascii="仿宋_GB2312" w:eastAsia="仿宋_GB2312"/>
          <w:color w:val="auto"/>
          <w:kern w:val="0"/>
          <w:sz w:val="32"/>
          <w:szCs w:val="32"/>
          <w:highlight w:val="none"/>
          <w:lang w:bidi="ar"/>
        </w:rPr>
        <w:t>加快发展集约型、低能耗绿色物流。推进氢能等新能源物流车的试点示范及推广使用</w:t>
      </w:r>
      <w:r>
        <w:rPr>
          <w:rFonts w:hint="eastAsia" w:ascii="仿宋_GB2312" w:eastAsia="仿宋_GB2312"/>
          <w:color w:val="auto"/>
          <w:kern w:val="0"/>
          <w:sz w:val="32"/>
          <w:szCs w:val="32"/>
          <w:highlight w:val="none"/>
          <w:lang w:eastAsia="zh-CN" w:bidi="ar"/>
        </w:rPr>
        <w:t>。</w:t>
      </w:r>
      <w:r>
        <w:rPr>
          <w:rFonts w:hint="eastAsia" w:ascii="仿宋_GB2312" w:hAnsi="仿宋_GB2312" w:eastAsia="仿宋_GB2312" w:cs="仿宋_GB2312"/>
          <w:color w:val="auto"/>
          <w:sz w:val="32"/>
          <w:szCs w:val="32"/>
          <w:highlight w:val="none"/>
          <w:lang w:val="zh-CN"/>
        </w:rPr>
        <w:t>推进公共交通系统建设，加快完善充电站、加氢站等基础配套设施布局。到2030年，全区重点行业车辆新能源化达到100%。改善城区内步行和自行车交通条件，扎实推进慢行优先、公交优先、绿色优先，吸引公众更多使用绿色低碳交通方式出行。到2030年，全区绿色出行比例进一步提升。</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（五）巩固提升生态系统碳汇能力</w:t>
      </w:r>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坚持全域多层次增绿固碳，提高森林碳汇，推进林地绿地增汇。加强林业生态系统管护，继续开展森林健康经营、国家重点公益林山区林木抚育工程，提高森林质量。推进花园城市建设，充分利用城区腾退地、闲置地、边角地开展绿地建设，开展“消盲工程”，深挖潜绿、见缝插绿、适地建绿，持续拓展市民身边的绿色休闲空间，推动八达岭镇花园村庄及花园城市示范街区建设。持续推进野鸭湖湿地的保护与修复，提升湿地碳汇功能。</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（六）积极推进农业绿色低碳发展</w:t>
      </w:r>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发展低碳循环农业，加大老旧农业设施改造力度，提升设施性能，持续提升低耗高效农业设施比例。大力发展种养结合、生态循环农业，扩大绿色、有机和地理标志农产品种养规模，增加绿色优质农产品供给。积极发展林下经济，适地开发林菌、林药、林蜂、林游特色开发模式，着重利用集体林场发展林菌和林蜂产业。推广生物防治、物理防治等绿色防控手段，减少化学农药使用。深入实施秸秆综合利用行动，以肥料化、饲料化、燃料化利用为主攻方向，建立一批秸秆综合利用基地，打造产业化利用典型模式。</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（七）控制非二氧化碳温室气体排放</w:t>
      </w:r>
    </w:p>
    <w:p>
      <w:pPr>
        <w:pStyle w:val="63"/>
        <w:adjustRightInd w:val="0"/>
        <w:snapToGrid w:val="0"/>
        <w:spacing w:line="560" w:lineRule="exact"/>
        <w:ind w:firstLine="640"/>
        <w:rPr>
          <w:color w:val="auto"/>
          <w:highlight w:val="none"/>
          <w:lang w:val="zh-CN"/>
        </w:rPr>
      </w:pPr>
      <w:r>
        <w:rPr>
          <w:rFonts w:hint="eastAsia" w:ascii="仿宋_GB2312" w:hAnsi="仿宋_GB2312" w:eastAsia="仿宋_GB2312" w:cs="仿宋_GB2312"/>
          <w:color w:val="auto"/>
          <w:sz w:val="32"/>
          <w:szCs w:val="32"/>
          <w:highlight w:val="none"/>
        </w:rPr>
        <w:t>落实国家及北京市甲烷排放控制行动方案，</w:t>
      </w:r>
      <w:r>
        <w:rPr>
          <w:rFonts w:hint="eastAsia" w:ascii="仿宋_GB2312" w:eastAsia="仿宋_GB2312"/>
          <w:color w:val="auto"/>
          <w:kern w:val="0"/>
          <w:sz w:val="32"/>
          <w:szCs w:val="32"/>
          <w:highlight w:val="none"/>
          <w:lang w:bidi="ar"/>
        </w:rPr>
        <w:t>减少燃气行业甲烷泄漏，促进垃圾处理厂和大型畜禽养殖场甲烷回收和利用，支持具备条件的甲烷减排项目开发碳普惠项目，运用市场机制支持企业开展甲烷减排行动</w:t>
      </w:r>
      <w:r>
        <w:rPr>
          <w:rFonts w:hint="eastAsia" w:ascii="仿宋_GB2312" w:eastAsia="仿宋_GB2312"/>
          <w:color w:val="auto"/>
          <w:kern w:val="0"/>
          <w:sz w:val="32"/>
          <w:szCs w:val="32"/>
          <w:highlight w:val="none"/>
          <w:lang w:eastAsia="zh-CN" w:bidi="ar"/>
        </w:rPr>
        <w:t>。</w:t>
      </w:r>
      <w:r>
        <w:rPr>
          <w:rFonts w:hint="eastAsia" w:ascii="仿宋_GB2312" w:hAnsi="仿宋_GB2312" w:eastAsia="仿宋_GB2312" w:cs="仿宋_GB2312"/>
          <w:color w:val="auto"/>
          <w:sz w:val="32"/>
          <w:szCs w:val="32"/>
          <w:highlight w:val="none"/>
          <w:lang w:eastAsia="zh-CN"/>
        </w:rPr>
        <w:t>有序控制其</w:t>
      </w:r>
      <w:r>
        <w:rPr>
          <w:rFonts w:hint="eastAsia" w:ascii="仿宋_GB2312" w:hAnsi="仿宋_GB2312" w:eastAsia="仿宋_GB2312" w:cs="仿宋_GB2312"/>
          <w:color w:val="auto"/>
          <w:sz w:val="32"/>
          <w:szCs w:val="32"/>
          <w:highlight w:val="none"/>
        </w:rPr>
        <w:t>他非二氧化碳温室气体排放控制。</w:t>
      </w:r>
      <w:r>
        <w:rPr>
          <w:rFonts w:hint="eastAsia" w:ascii="仿宋_GB2312" w:hAnsi="仿宋_GB2312" w:eastAsia="仿宋_GB2312" w:cs="仿宋_GB2312"/>
          <w:color w:val="auto"/>
          <w:sz w:val="32"/>
          <w:szCs w:val="32"/>
          <w:highlight w:val="none"/>
          <w:lang w:val="zh-CN"/>
        </w:rPr>
        <w:t>控制农业温室气体排放，科学调整种养殖模式，</w:t>
      </w:r>
      <w:r>
        <w:rPr>
          <w:rFonts w:hint="eastAsia" w:ascii="仿宋_GB2312" w:eastAsia="仿宋_GB2312"/>
          <w:color w:val="auto"/>
          <w:kern w:val="0"/>
          <w:sz w:val="32"/>
          <w:szCs w:val="32"/>
          <w:highlight w:val="none"/>
          <w:lang w:bidi="ar"/>
        </w:rPr>
        <w:t>实施有机肥，</w:t>
      </w:r>
      <w:r>
        <w:rPr>
          <w:rFonts w:hint="eastAsia" w:ascii="仿宋_GB2312" w:hAnsi="仿宋_GB2312" w:eastAsia="仿宋_GB2312" w:cs="仿宋_GB2312"/>
          <w:color w:val="auto"/>
          <w:sz w:val="32"/>
          <w:szCs w:val="32"/>
          <w:highlight w:val="none"/>
          <w:lang w:val="zh-CN"/>
        </w:rPr>
        <w:t>持续推进化肥减量增效，</w:t>
      </w:r>
      <w:r>
        <w:rPr>
          <w:rFonts w:hint="eastAsia" w:ascii="仿宋_GB2312" w:eastAsia="仿宋_GB2312"/>
          <w:color w:val="auto"/>
          <w:kern w:val="0"/>
          <w:sz w:val="32"/>
          <w:szCs w:val="32"/>
          <w:highlight w:val="none"/>
          <w:lang w:bidi="ar"/>
        </w:rPr>
        <w:t>减少农业领域氧化亚氮排放</w:t>
      </w:r>
      <w:r>
        <w:rPr>
          <w:rFonts w:hint="eastAsia" w:ascii="仿宋_GB2312" w:hAnsi="仿宋_GB2312" w:eastAsia="仿宋_GB2312" w:cs="仿宋_GB2312"/>
          <w:color w:val="auto"/>
          <w:sz w:val="32"/>
          <w:szCs w:val="32"/>
          <w:highlight w:val="none"/>
          <w:lang w:val="zh-CN"/>
        </w:rPr>
        <w:t>。加强污水、污泥处置设施二氧化碳及甲烷温室气体排放控制，提升污水处理厂甲烷资源化利用水平。</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72" w:name="_Toc30669"/>
      <w:bookmarkStart w:id="73" w:name="_Toc206336507"/>
      <w:bookmarkStart w:id="74" w:name="_Toc204014691"/>
      <w:bookmarkStart w:id="75" w:name="_Toc211871734"/>
      <w:r>
        <w:rPr>
          <w:rFonts w:hint="eastAsia" w:ascii="黑体" w:hAnsi="黑体" w:cs="黑体"/>
          <w:b w:val="0"/>
          <w:bCs/>
          <w:color w:val="auto"/>
          <w:highlight w:val="none"/>
        </w:rPr>
        <w:t>三、</w:t>
      </w:r>
      <w:r>
        <w:rPr>
          <w:rFonts w:hint="eastAsia" w:ascii="黑体" w:hAnsi="黑体" w:eastAsia="黑体" w:cs="黑体"/>
          <w:b w:val="0"/>
          <w:bCs/>
          <w:color w:val="auto"/>
          <w:kern w:val="2"/>
          <w:sz w:val="32"/>
          <w:szCs w:val="32"/>
          <w:highlight w:val="none"/>
          <w:lang w:bidi="ar-SA"/>
        </w:rPr>
        <w:t>加强城市气候适应性建设</w:t>
      </w:r>
      <w:bookmarkEnd w:id="72"/>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（一）强化气候适应能力建设</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完善监测预警体系。</w:t>
      </w:r>
      <w:r>
        <w:rPr>
          <w:rFonts w:hint="eastAsia" w:ascii="仿宋_GB2312" w:hAnsi="仿宋_GB2312" w:eastAsia="仿宋_GB2312" w:cs="仿宋_GB2312"/>
          <w:color w:val="auto"/>
          <w:sz w:val="32"/>
          <w:szCs w:val="32"/>
          <w:highlight w:val="none"/>
          <w:lang w:val="zh-CN"/>
        </w:rPr>
        <w:t>结合延庆区高海拔、多山地及复杂气候特点，加密气象、水文、地质等监测站点。构建覆盖全域的立体化气象监测网络，重点提升山区、河流、城市内涝易发区的监测精度。在海陀山、松山等重点生态功能区，增设多要素气象观测站，实时监测气温、降水、风速、风向等气象数据；在妫水河、白河等主要流域，增加水质、水位监测点，提升对水资源动态变化的监测精度；在地质灾害易发区域，安装地质灾害监测设备，实现对滑坡、泥石流等灾害的实时预警。</w:t>
      </w:r>
      <w:r>
        <w:rPr>
          <w:rFonts w:ascii="仿宋_GB2312" w:hAnsi="仿宋_GB2312" w:eastAsia="仿宋_GB2312" w:cs="仿宋_GB2312"/>
          <w:color w:val="auto"/>
          <w:sz w:val="32"/>
          <w:szCs w:val="32"/>
          <w:highlight w:val="none"/>
          <w:shd w:val="clear" w:color="auto" w:fill="FFFFFF"/>
          <w:lang w:val="zh-CN"/>
        </w:rPr>
        <w:t>结合冬奥会气象保障经验，建立极端天气预警模型，实现暴雨、高温、大风等灾害性天气的提前48小时预警，并针对不同风险等级制定分级响应预案</w:t>
      </w:r>
      <w:r>
        <w:rPr>
          <w:rFonts w:hint="eastAsia" w:ascii="仿宋_GB2312" w:hAnsi="仿宋_GB2312" w:eastAsia="仿宋_GB2312" w:cs="仿宋_GB2312"/>
          <w:color w:val="auto"/>
          <w:sz w:val="32"/>
          <w:szCs w:val="32"/>
          <w:highlight w:val="none"/>
          <w:lang w:val="zh-CN"/>
        </w:rPr>
        <w:t>。</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强化气候风险评估与预警。</w:t>
      </w:r>
      <w:r>
        <w:rPr>
          <w:rFonts w:hint="eastAsia" w:ascii="仿宋_GB2312" w:hAnsi="仿宋_GB2312" w:eastAsia="仿宋_GB2312" w:cs="仿宋_GB2312"/>
          <w:color w:val="auto"/>
          <w:sz w:val="32"/>
          <w:szCs w:val="32"/>
          <w:highlight w:val="none"/>
          <w:lang w:val="zh-CN"/>
        </w:rPr>
        <w:t>利用大数据、人工智能等技术，建立延庆区气候变化风险评估模型。联合科研院校、专业机构，对农业、基础设施、生态系统等重点领域开展精细化风险评估，定期发布风险评估报告。完善极端天气气候事件预警机制，建立多部门联动的预警信息发布平台，实现预警信息快速、精准推送至相关部门、企业和公众，提高应急响应速度。配合上级部门</w:t>
      </w:r>
      <w:r>
        <w:rPr>
          <w:rFonts w:hint="eastAsia" w:ascii="仿宋_GB2312" w:hAnsi="仿宋_GB2312" w:eastAsia="仿宋_GB2312" w:cs="仿宋_GB2312"/>
          <w:color w:val="auto"/>
          <w:sz w:val="32"/>
          <w:szCs w:val="32"/>
          <w:highlight w:val="none"/>
        </w:rPr>
        <w:t>动态化开展面向生态涵养区，以及面向水资源、生态系统、能源、农业和公共健康等敏感领域的气候变化影响和风险评估，开展气候资源普查以及精细化评估。开展城市建筑、交通布局、功能区划分等气候可行性论证研究，细化城市气候风险地图。</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（二）提升公共领域气候韧性</w:t>
      </w:r>
    </w:p>
    <w:p>
      <w:pPr>
        <w:pStyle w:val="63"/>
        <w:widowControl/>
        <w:tabs>
          <w:tab w:val="left" w:pos="1440"/>
        </w:tabs>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保障城市生命线安全。</w:t>
      </w:r>
      <w:r>
        <w:rPr>
          <w:rFonts w:hint="eastAsia" w:ascii="仿宋_GB2312" w:hAnsi="仿宋_GB2312" w:eastAsia="仿宋_GB2312" w:cs="仿宋_GB2312"/>
          <w:color w:val="auto"/>
          <w:sz w:val="32"/>
          <w:szCs w:val="32"/>
          <w:highlight w:val="none"/>
          <w:lang w:val="zh-CN"/>
        </w:rPr>
        <w:t>提升水利设施韧性，</w:t>
      </w:r>
      <w:r>
        <w:rPr>
          <w:rFonts w:ascii="仿宋_GB2312" w:hAnsi="仿宋_GB2312" w:eastAsia="仿宋_GB2312" w:cs="仿宋_GB2312"/>
          <w:color w:val="auto"/>
          <w:sz w:val="32"/>
          <w:szCs w:val="32"/>
          <w:highlight w:val="none"/>
          <w:lang w:val="zh-CN"/>
        </w:rPr>
        <w:t>加强官厅水库、白河堡水库等核心水源地保护，完善堤防巡查和流量监测机制，确保极端天气下供水安全。</w:t>
      </w:r>
      <w:r>
        <w:rPr>
          <w:rFonts w:hint="eastAsia" w:ascii="仿宋_GB2312" w:hAnsi="仿宋_GB2312" w:eastAsia="仿宋_GB2312" w:cs="仿宋_GB2312"/>
          <w:color w:val="auto"/>
          <w:sz w:val="32"/>
          <w:szCs w:val="32"/>
          <w:highlight w:val="none"/>
          <w:lang w:val="zh-CN"/>
        </w:rPr>
        <w:t>提升交通基础设施韧性，对主要交通干线进行气候适应性改造，提高道路的防滑、抗冻、防风沙能力。在桥梁、隧道等关键部位，安装健康监测系统，实时监测结构安全状况，保障交通畅通；在山区道路增设防滑设施，在城市低洼路段建设雨水泵站，减少暴雨导致的交通中断。加强能源基础设施保障力度，优化能源结构，提高可再生能源在能源消费中的比重。加大对太阳能、风能、水能等清洁能源的开发利用，建设一批分布式能源项目。加强能源输送网络建设，提高能源供应的稳定性和可靠性。</w:t>
      </w:r>
    </w:p>
    <w:p>
      <w:pPr>
        <w:pStyle w:val="63"/>
        <w:widowControl/>
        <w:tabs>
          <w:tab w:val="left" w:pos="1440"/>
        </w:tabs>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加强公共建筑与基础设施适应能力。</w:t>
      </w:r>
      <w:r>
        <w:rPr>
          <w:rFonts w:hint="eastAsia" w:ascii="仿宋_GB2312" w:hAnsi="仿宋_GB2312" w:eastAsia="仿宋_GB2312" w:cs="仿宋_GB2312"/>
          <w:color w:val="auto"/>
          <w:sz w:val="32"/>
          <w:szCs w:val="32"/>
          <w:highlight w:val="none"/>
          <w:lang w:val="zh-CN"/>
        </w:rPr>
        <w:t>推广绿色建筑标准</w:t>
      </w:r>
      <w:r>
        <w:rPr>
          <w:rFonts w:hint="eastAsia" w:ascii="仿宋_GB2312" w:hAnsi="仿宋_GB2312" w:eastAsia="仿宋_GB2312" w:cs="仿宋_GB2312"/>
          <w:color w:val="auto"/>
          <w:sz w:val="32"/>
          <w:szCs w:val="32"/>
          <w:highlight w:val="none"/>
          <w:shd w:val="clear" w:color="auto" w:fill="FFFFFF"/>
          <w:lang w:val="zh-CN"/>
        </w:rPr>
        <w:t>，</w:t>
      </w:r>
      <w:r>
        <w:rPr>
          <w:rFonts w:ascii="仿宋_GB2312" w:hAnsi="仿宋_GB2312" w:eastAsia="仿宋_GB2312" w:cs="仿宋_GB2312"/>
          <w:color w:val="auto"/>
          <w:sz w:val="32"/>
          <w:szCs w:val="32"/>
          <w:highlight w:val="none"/>
          <w:shd w:val="clear" w:color="auto" w:fill="FFFFFF"/>
          <w:lang w:val="zh-CN"/>
        </w:rPr>
        <w:t>新建政府投资和大型公共建筑执行绿色建筑二星级及以上标准，既有建筑开展节能改造，提升抗高温、防内涝能力。</w:t>
      </w:r>
      <w:r>
        <w:rPr>
          <w:rFonts w:hint="eastAsia" w:ascii="仿宋_GB2312" w:hAnsi="仿宋_GB2312" w:eastAsia="仿宋_GB2312" w:cs="仿宋_GB2312"/>
          <w:color w:val="auto"/>
          <w:sz w:val="32"/>
          <w:szCs w:val="32"/>
          <w:highlight w:val="none"/>
          <w:lang w:val="zh-CN"/>
        </w:rPr>
        <w:t>持续推进海绵城市建设，在城区新建小区、公园、道路等项目中，广泛应用雨水花园、下沉式绿地、透水铺装等海绵设施，增强城市应对极端降水能力。提高城市排水系统标准，加大排水管网改造力度，消除易涝点，加快推进海绵城市建设试点项目落地。优化应急设施布局，</w:t>
      </w:r>
      <w:r>
        <w:rPr>
          <w:rFonts w:ascii="仿宋_GB2312" w:hAnsi="仿宋_GB2312" w:eastAsia="仿宋_GB2312" w:cs="仿宋_GB2312"/>
          <w:color w:val="auto"/>
          <w:sz w:val="32"/>
          <w:szCs w:val="32"/>
          <w:highlight w:val="none"/>
          <w:shd w:val="clear" w:color="auto" w:fill="FFFFFF"/>
          <w:lang w:val="zh-CN"/>
        </w:rPr>
        <w:t>在人口密集区增设应急避难场所，配备备用电源、净水设备等，提升极端天气下的应急保障能力。</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强化公共卫生与应急响应能力。</w:t>
      </w:r>
      <w:r>
        <w:rPr>
          <w:rFonts w:hint="eastAsia" w:ascii="仿宋_GB2312" w:hAnsi="仿宋_GB2312" w:eastAsia="仿宋_GB2312" w:cs="仿宋_GB2312"/>
          <w:color w:val="auto"/>
          <w:sz w:val="32"/>
          <w:szCs w:val="32"/>
          <w:highlight w:val="none"/>
          <w:lang w:val="zh-CN"/>
        </w:rPr>
        <w:t>完善应急管理体系，</w:t>
      </w:r>
      <w:r>
        <w:rPr>
          <w:rFonts w:ascii="仿宋_GB2312" w:hAnsi="仿宋_GB2312" w:eastAsia="仿宋_GB2312" w:cs="仿宋_GB2312"/>
          <w:color w:val="auto"/>
          <w:sz w:val="32"/>
          <w:szCs w:val="32"/>
          <w:highlight w:val="none"/>
          <w:shd w:val="clear" w:color="auto" w:fill="FFFFFF"/>
          <w:lang w:val="zh-CN"/>
        </w:rPr>
        <w:t>建立“区—街乡镇—社区”三级应急响应网络，定期开展防汛、防火等应急演练，确保人员转移“应转尽转、应转早转”。</w:t>
      </w:r>
      <w:r>
        <w:rPr>
          <w:rFonts w:hint="eastAsia" w:ascii="仿宋_GB2312" w:hAnsi="仿宋_GB2312" w:eastAsia="仿宋_GB2312" w:cs="仿宋_GB2312"/>
          <w:color w:val="auto"/>
          <w:sz w:val="32"/>
          <w:szCs w:val="32"/>
          <w:highlight w:val="none"/>
          <w:lang w:val="zh-CN"/>
        </w:rPr>
        <w:t>提升医疗救援能力，</w:t>
      </w:r>
      <w:r>
        <w:rPr>
          <w:rFonts w:ascii="仿宋_GB2312" w:hAnsi="仿宋_GB2312" w:eastAsia="仿宋_GB2312" w:cs="仿宋_GB2312"/>
          <w:color w:val="auto"/>
          <w:sz w:val="32"/>
          <w:szCs w:val="32"/>
          <w:highlight w:val="none"/>
          <w:shd w:val="clear" w:color="auto" w:fill="FFFFFF"/>
          <w:lang w:val="zh-CN"/>
        </w:rPr>
        <w:t>在山区和偏远地区增设医疗急救站，配备便携式医疗设备，缩短极端天气下的救援响应时间。</w:t>
      </w:r>
      <w:r>
        <w:rPr>
          <w:rFonts w:hint="eastAsia" w:ascii="仿宋_GB2312" w:hAnsi="仿宋_GB2312" w:eastAsia="仿宋_GB2312" w:cs="仿宋_GB2312"/>
          <w:color w:val="auto"/>
          <w:sz w:val="32"/>
          <w:szCs w:val="32"/>
          <w:highlight w:val="none"/>
          <w:lang w:val="zh-CN"/>
        </w:rPr>
        <w:t>强化公众教育，</w:t>
      </w:r>
      <w:r>
        <w:rPr>
          <w:rFonts w:ascii="仿宋_GB2312" w:hAnsi="仿宋_GB2312" w:eastAsia="仿宋_GB2312" w:cs="仿宋_GB2312"/>
          <w:color w:val="auto"/>
          <w:sz w:val="32"/>
          <w:szCs w:val="32"/>
          <w:highlight w:val="none"/>
          <w:shd w:val="clear" w:color="auto" w:fill="FFFFFF"/>
          <w:lang w:val="zh-CN"/>
        </w:rPr>
        <w:t>通过社区宣传、学校课程等方式，普及气候适应知识，提高居民自救能力。</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（三）推进重点领域适应行动</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强化生态系统适应能力。</w:t>
      </w:r>
      <w:r>
        <w:rPr>
          <w:rFonts w:hint="eastAsia" w:ascii="仿宋_GB2312" w:hAnsi="仿宋_GB2312" w:eastAsia="仿宋_GB2312" w:cs="仿宋_GB2312"/>
          <w:color w:val="auto"/>
          <w:sz w:val="32"/>
          <w:szCs w:val="32"/>
          <w:highlight w:val="none"/>
          <w:lang w:val="zh-CN"/>
        </w:rPr>
        <w:t>加强自然保护区保护，加大自然保护区的资金投入和管理力度，实施生物多样性保护工程。开展珍稀动植物栖息地修复，建立濒危物种监测与保护机制，提高生态系统的稳定性和抗干扰能力；推进森林质量提升，实施森林质量精准提升工程，通过补植乡土树种、抚育间伐、病虫害防治等措施，优化森林结构，提高森林碳汇能力；加强流域生态修复。以妫水河流域为重点，推进流域生态修复工程。建设河岸缓冲带，种植水生植物，净化水质，增强水体自净能力；开展河道清淤、整治，提高河道行洪能力，打造健康稳定的水生态系统。</w:t>
      </w:r>
    </w:p>
    <w:p>
      <w:pPr>
        <w:pStyle w:val="63"/>
        <w:adjustRightInd w:val="0"/>
        <w:snapToGrid w:val="0"/>
        <w:spacing w:line="560" w:lineRule="exact"/>
        <w:ind w:firstLine="643"/>
        <w:rPr>
          <w:rFonts w:hint="eastAsia" w:ascii="黑体" w:hAnsi="黑体" w:cs="黑体"/>
          <w:bCs/>
          <w:color w:val="auto"/>
          <w:highlight w:val="none"/>
        </w:rPr>
      </w:pPr>
      <w:r>
        <w:rPr>
          <w:rFonts w:hint="eastAsia" w:ascii="仿宋_GB2312" w:hAnsi="仿宋_GB2312" w:eastAsia="仿宋_GB2312" w:cs="仿宋_GB2312"/>
          <w:b/>
          <w:bCs/>
          <w:color w:val="auto"/>
          <w:sz w:val="32"/>
          <w:szCs w:val="32"/>
          <w:highlight w:val="none"/>
          <w:lang w:val="zh-CN"/>
        </w:rPr>
        <w:t>增强农业与水资源适应性。</w:t>
      </w:r>
      <w:r>
        <w:rPr>
          <w:rFonts w:hint="eastAsia" w:ascii="仿宋_GB2312" w:hAnsi="仿宋_GB2312" w:eastAsia="仿宋_GB2312" w:cs="仿宋_GB2312"/>
          <w:color w:val="auto"/>
          <w:sz w:val="32"/>
          <w:szCs w:val="32"/>
          <w:highlight w:val="none"/>
          <w:lang w:val="zh-CN"/>
        </w:rPr>
        <w:t>发展适应型农业，推广耐旱、耐寒、抗病虫害的农作物品种，建设农业种质资源保护库；发展节水灌溉技术，推广滴灌、喷灌等高效节水设施，提高农业用水效率；加强农业基础设施建设，建设高标准农田，提高农业抗灾能力。强化水资源管理，加强水资源统一调配与管理，建立水资源动态监测与调配系统。完善再生水利用设施，提高再生水利用率。</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76" w:name="_Toc4308"/>
      <w:r>
        <w:rPr>
          <w:rFonts w:hint="eastAsia" w:ascii="黑体" w:hAnsi="黑体" w:cs="黑体"/>
          <w:b w:val="0"/>
          <w:bCs/>
          <w:color w:val="auto"/>
          <w:highlight w:val="none"/>
        </w:rPr>
        <w:t>四、强化综合保障和能力建设</w:t>
      </w:r>
      <w:bookmarkEnd w:id="73"/>
      <w:bookmarkEnd w:id="74"/>
      <w:bookmarkEnd w:id="75"/>
      <w:bookmarkEnd w:id="76"/>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强化统计核算能力建设，持续开展区级温室气体排放清单编制工作，定期统计核算能源运行碳排放情况，夯实碳排放核算数据基础，推动能耗双控向碳排放双控转型。完善重点碳排放单位管理制度，建立健全区级重点碳排放单位评价机制。充分发挥碳排放权交易机制作用，落实自愿减排交易机制和碳普惠机制，引导多元主体参与。加大区级财政资金对低碳项目的支持力度，构建绿色金融创新体系，引导更多社会资金流向低碳领域，全面推行绿色信贷、绿色债券、绿色保险。</w:t>
      </w:r>
      <w:r>
        <w:rPr>
          <w:rFonts w:hint="eastAsia" w:ascii="仿宋_GB2312" w:hAnsi="仿宋_GB2312" w:eastAsia="仿宋_GB2312" w:cs="仿宋_GB2312"/>
          <w:color w:val="auto"/>
          <w:kern w:val="2"/>
          <w:sz w:val="32"/>
          <w:szCs w:val="32"/>
          <w:highlight w:val="none"/>
          <w:lang w:val="zh-CN" w:bidi="ar"/>
        </w:rPr>
        <w:t>加大对应对气候变化和“双碳”领域的科技支撑</w:t>
      </w:r>
      <w:r>
        <w:rPr>
          <w:rFonts w:hint="eastAsia" w:ascii="仿宋_GB2312" w:hAnsi="仿宋_GB2312" w:eastAsia="仿宋_GB2312" w:cs="仿宋_GB2312"/>
          <w:color w:val="auto"/>
          <w:kern w:val="2"/>
          <w:sz w:val="32"/>
          <w:szCs w:val="32"/>
          <w:highlight w:val="none"/>
          <w:lang w:val="zh-CN" w:eastAsia="zh-CN" w:bidi="ar"/>
        </w:rPr>
        <w:t>。</w:t>
      </w:r>
    </w:p>
    <w:p>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rPr>
      </w:pPr>
    </w:p>
    <w:p>
      <w:pPr>
        <w:pStyle w:val="32"/>
        <w:rPr>
          <w:rFonts w:hint="eastAsia"/>
          <w:color w:val="auto"/>
          <w:highlight w:val="none"/>
          <w:lang w:val="zh-CN"/>
        </w:rPr>
      </w:pPr>
    </w:p>
    <w:p>
      <w:pPr>
        <w:pStyle w:val="32"/>
        <w:rPr>
          <w:rFonts w:hint="eastAsia"/>
          <w:color w:val="auto"/>
          <w:highlight w:val="none"/>
          <w:lang w:val="zh-CN"/>
        </w:rPr>
        <w:sectPr>
          <w:pgSz w:w="11906" w:h="16838"/>
          <w:pgMar w:top="1440" w:right="1800" w:bottom="1440" w:left="1800" w:header="851" w:footer="992" w:gutter="0"/>
          <w:pgNumType w:fmt="numberInDash"/>
          <w:cols w:space="425" w:num="1"/>
          <w:docGrid w:type="lines" w:linePitch="312" w:charSpace="0"/>
        </w:sectPr>
      </w:pPr>
    </w:p>
    <w:p>
      <w:pPr>
        <w:pStyle w:val="3"/>
        <w:keepNext w:val="0"/>
        <w:keepLines w:val="0"/>
        <w:adjustRightInd w:val="0"/>
        <w:snapToGrid w:val="0"/>
        <w:spacing w:before="0" w:after="0" w:line="560" w:lineRule="exact"/>
        <w:jc w:val="center"/>
        <w:rPr>
          <w:rFonts w:hint="eastAsia" w:ascii="方正小标宋简体" w:hAnsi="方正小标宋简体" w:eastAsia="方正小标宋简体" w:cs="方正小标宋简体"/>
          <w:bCs/>
          <w:color w:val="auto"/>
          <w:kern w:val="44"/>
          <w:sz w:val="44"/>
          <w:szCs w:val="44"/>
          <w:highlight w:val="none"/>
        </w:rPr>
      </w:pPr>
      <w:bookmarkStart w:id="77" w:name="_Toc206336508"/>
      <w:bookmarkStart w:id="78" w:name="_Toc204014692"/>
      <w:bookmarkStart w:id="79" w:name="_Toc211871736"/>
      <w:bookmarkStart w:id="80" w:name="_Toc22201"/>
      <w:r>
        <w:rPr>
          <w:rFonts w:hint="eastAsia" w:ascii="方正小标宋简体" w:hAnsi="方正小标宋简体" w:eastAsia="方正小标宋简体" w:cs="方正小标宋简体"/>
          <w:bCs/>
          <w:color w:val="auto"/>
          <w:kern w:val="44"/>
          <w:sz w:val="44"/>
          <w:szCs w:val="44"/>
          <w:highlight w:val="none"/>
        </w:rPr>
        <w:t>第四章 攻坚克难 持续深入打好污染防治攻坚战</w:t>
      </w:r>
      <w:bookmarkEnd w:id="77"/>
      <w:bookmarkEnd w:id="78"/>
      <w:bookmarkEnd w:id="79"/>
      <w:bookmarkEnd w:id="80"/>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bookmarkStart w:id="81" w:name="_Toc206336509"/>
      <w:bookmarkStart w:id="82" w:name="_Toc204014693"/>
    </w:p>
    <w:p>
      <w:pPr>
        <w:pStyle w:val="61"/>
        <w:adjustRightInd w:val="0"/>
        <w:snapToGrid w:val="0"/>
        <w:spacing w:before="62" w:after="62" w:line="560" w:lineRule="exact"/>
        <w:ind w:firstLine="640" w:firstLineChars="200"/>
        <w:rPr>
          <w:rFonts w:hint="eastAsia" w:ascii="黑体" w:hAnsi="黑体" w:cs="黑体"/>
          <w:b w:val="0"/>
          <w:bCs/>
          <w:color w:val="auto"/>
          <w:highlight w:val="none"/>
        </w:rPr>
      </w:pPr>
      <w:bookmarkStart w:id="83" w:name="_Toc211871737"/>
      <w:bookmarkStart w:id="84" w:name="_Toc28881"/>
      <w:r>
        <w:rPr>
          <w:rFonts w:hint="eastAsia" w:ascii="黑体" w:hAnsi="黑体" w:cs="黑体"/>
          <w:b w:val="0"/>
          <w:bCs/>
          <w:color w:val="auto"/>
          <w:highlight w:val="none"/>
        </w:rPr>
        <w:t>一、</w:t>
      </w:r>
      <w:bookmarkEnd w:id="81"/>
      <w:bookmarkEnd w:id="82"/>
      <w:bookmarkEnd w:id="83"/>
      <w:bookmarkEnd w:id="84"/>
      <w:r>
        <w:rPr>
          <w:rFonts w:hint="eastAsia" w:ascii="黑体" w:hAnsi="黑体" w:cs="黑体"/>
          <w:bCs/>
          <w:color w:val="auto"/>
          <w:highlight w:val="none"/>
        </w:rPr>
        <w:t>以更高标准打好蓝天保卫战</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85" w:name="_Hlk216437384"/>
      <w:r>
        <w:rPr>
          <w:rFonts w:hint="eastAsia" w:ascii="楷体_GB2312" w:hAnsi="楷体_GB2312" w:eastAsia="楷体_GB2312" w:cs="楷体_GB2312"/>
          <w:color w:val="auto"/>
          <w:sz w:val="32"/>
          <w:szCs w:val="32"/>
          <w:highlight w:val="none"/>
        </w:rPr>
        <w:t>（一）深化移动源污染治理</w:t>
      </w:r>
    </w:p>
    <w:bookmarkEnd w:id="85"/>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bookmarkStart w:id="86" w:name="_Hlk216437405"/>
      <w:r>
        <w:rPr>
          <w:rFonts w:hint="eastAsia" w:ascii="仿宋_GB2312" w:hAnsi="仿宋_GB2312" w:eastAsia="仿宋_GB2312" w:cs="仿宋_GB2312"/>
          <w:b/>
          <w:bCs/>
          <w:color w:val="auto"/>
          <w:sz w:val="32"/>
          <w:szCs w:val="32"/>
          <w:highlight w:val="none"/>
          <w:lang w:val="zh-CN"/>
        </w:rPr>
        <w:t>推动重点行业车辆新能源化</w:t>
      </w:r>
      <w:bookmarkEnd w:id="86"/>
      <w:r>
        <w:rPr>
          <w:rFonts w:hint="eastAsia" w:ascii="仿宋_GB2312" w:hAnsi="仿宋_GB2312" w:eastAsia="仿宋_GB2312" w:cs="仿宋_GB2312"/>
          <w:b/>
          <w:bCs/>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加快高排放车辆淘汰更新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zh-CN"/>
        </w:rPr>
        <w:t>大力推动新能源车推广应用，</w:t>
      </w:r>
      <w:r>
        <w:rPr>
          <w:rFonts w:hint="eastAsia" w:ascii="仿宋_GB2312" w:hAnsi="仿宋_GB2312" w:eastAsia="仿宋_GB2312" w:cs="仿宋_GB2312"/>
          <w:color w:val="auto"/>
          <w:sz w:val="32"/>
          <w:szCs w:val="32"/>
          <w:highlight w:val="none"/>
        </w:rPr>
        <w:t>持续</w:t>
      </w:r>
      <w:r>
        <w:rPr>
          <w:rFonts w:hint="eastAsia" w:ascii="仿宋_GB2312" w:hAnsi="仿宋_GB2312" w:eastAsia="仿宋_GB2312" w:cs="仿宋_GB2312"/>
          <w:color w:val="auto"/>
          <w:sz w:val="32"/>
          <w:szCs w:val="32"/>
          <w:highlight w:val="none"/>
          <w:lang w:val="zh-CN" w:eastAsia="zh-Hans"/>
        </w:rPr>
        <w:t>提升</w:t>
      </w:r>
      <w:r>
        <w:rPr>
          <w:rFonts w:hint="eastAsia" w:ascii="仿宋_GB2312" w:hAnsi="仿宋_GB2312" w:eastAsia="仿宋_GB2312" w:cs="仿宋_GB2312"/>
          <w:color w:val="auto"/>
          <w:sz w:val="32"/>
          <w:szCs w:val="32"/>
          <w:highlight w:val="none"/>
        </w:rPr>
        <w:t>新能源</w:t>
      </w:r>
      <w:r>
        <w:rPr>
          <w:rFonts w:hint="eastAsia" w:ascii="仿宋_GB2312" w:hAnsi="仿宋_GB2312" w:eastAsia="仿宋_GB2312" w:cs="仿宋_GB2312"/>
          <w:color w:val="auto"/>
          <w:sz w:val="32"/>
          <w:szCs w:val="32"/>
          <w:highlight w:val="none"/>
          <w:lang w:val="zh-CN" w:eastAsia="zh-Hans"/>
        </w:rPr>
        <w:t>车</w:t>
      </w:r>
      <w:r>
        <w:rPr>
          <w:rFonts w:hint="eastAsia" w:ascii="仿宋_GB2312" w:hAnsi="仿宋_GB2312" w:eastAsia="仿宋_GB2312" w:cs="仿宋_GB2312"/>
          <w:color w:val="auto"/>
          <w:sz w:val="32"/>
          <w:szCs w:val="32"/>
          <w:highlight w:val="none"/>
        </w:rPr>
        <w:t>比例。</w:t>
      </w:r>
      <w:r>
        <w:rPr>
          <w:rFonts w:hint="eastAsia" w:ascii="仿宋_GB2312" w:hAnsi="仿宋_GB2312" w:eastAsia="仿宋_GB2312" w:cs="仿宋_GB2312"/>
          <w:color w:val="auto"/>
          <w:sz w:val="32"/>
          <w:szCs w:val="32"/>
          <w:highlight w:val="none"/>
          <w:lang w:val="zh-CN"/>
        </w:rPr>
        <w:t>推动环卫车、轻型邮政车、商超快递轻型物流配送车新能源化置换。推动党政机关事业单位和国有企业公务用车（特种专业技术用车和部分不宜配备电动车的执法执勤用车除外）新能源化，力争“十五五”末实现100%新能源化；驾校5年以上C2培训车和考试用车逐步淘汰燃油车，新增车全部为新能源车。到2030年，全区重点行业车辆新能源化达到100%。</w:t>
      </w:r>
    </w:p>
    <w:p>
      <w:pPr>
        <w:pStyle w:val="63"/>
        <w:adjustRightInd w:val="0"/>
        <w:snapToGrid w:val="0"/>
        <w:spacing w:line="560" w:lineRule="exact"/>
        <w:ind w:firstLine="643"/>
        <w:rPr>
          <w:rFonts w:hint="eastAsia" w:ascii="仿宋_GB2312" w:hAnsi="仿宋_GB2312" w:eastAsia="仿宋_GB2312" w:cs="仿宋_GB2312"/>
          <w:color w:val="auto"/>
          <w:kern w:val="2"/>
          <w:sz w:val="32"/>
          <w:szCs w:val="32"/>
          <w:highlight w:val="none"/>
          <w:lang w:val="zh-CN" w:bidi="ar"/>
        </w:rPr>
      </w:pPr>
      <w:r>
        <w:rPr>
          <w:rFonts w:hint="eastAsia" w:ascii="仿宋_GB2312" w:hAnsi="仿宋_GB2312" w:eastAsia="仿宋_GB2312" w:cs="仿宋_GB2312"/>
          <w:b/>
          <w:bCs/>
          <w:color w:val="auto"/>
          <w:sz w:val="32"/>
          <w:szCs w:val="32"/>
          <w:highlight w:val="none"/>
          <w:lang w:val="zh-CN"/>
        </w:rPr>
        <w:t>推进非道路移动机械清洁化。</w:t>
      </w:r>
      <w:r>
        <w:rPr>
          <w:rFonts w:hint="eastAsia" w:ascii="仿宋_GB2312" w:hAnsi="仿宋_GB2312" w:eastAsia="仿宋_GB2312" w:cs="仿宋_GB2312"/>
          <w:color w:val="auto"/>
          <w:sz w:val="32"/>
          <w:szCs w:val="32"/>
          <w:highlight w:val="none"/>
          <w:lang w:val="zh-CN"/>
        </w:rPr>
        <w:t>全面淘汰国二及以下七类非道路移动机械，新增机械全部采用新能源机械。落实北京市施工现场“绿牌”工地管理办法，强化密闭空间施工机械新能源化的要求，地下封闭区域工程、基坑气膜施工工地优先使用新能源机械。实施建设工程绿色技术规范或指导意见，工地内升降平台、叉车全面实现新能源化，逐步提高2吨及以下装载机、6吨及以下挖掘机新能源化比率。</w:t>
      </w:r>
      <w:r>
        <w:rPr>
          <w:rFonts w:hint="eastAsia" w:ascii="仿宋_GB2312" w:hAnsi="仿宋_GB2312" w:eastAsia="仿宋_GB2312" w:cs="仿宋_GB2312"/>
          <w:color w:val="auto"/>
          <w:kern w:val="2"/>
          <w:sz w:val="32"/>
          <w:szCs w:val="32"/>
          <w:highlight w:val="none"/>
          <w:lang w:val="zh-CN" w:eastAsia="zh-CN" w:bidi="ar"/>
        </w:rPr>
        <w:t>建设</w:t>
      </w:r>
      <w:r>
        <w:rPr>
          <w:rFonts w:hint="eastAsia" w:ascii="仿宋_GB2312" w:hAnsi="仿宋_GB2312" w:eastAsia="仿宋_GB2312" w:cs="仿宋_GB2312"/>
          <w:color w:val="auto"/>
          <w:kern w:val="2"/>
          <w:sz w:val="32"/>
          <w:szCs w:val="32"/>
          <w:highlight w:val="none"/>
          <w:lang w:val="zh-CN" w:bidi="ar"/>
        </w:rPr>
        <w:t>“全电工地”</w:t>
      </w:r>
      <w:r>
        <w:rPr>
          <w:rFonts w:hint="eastAsia" w:ascii="仿宋_GB2312" w:hAnsi="仿宋_GB2312" w:eastAsia="仿宋_GB2312" w:cs="仿宋_GB2312"/>
          <w:color w:val="auto"/>
          <w:kern w:val="2"/>
          <w:sz w:val="32"/>
          <w:szCs w:val="32"/>
          <w:highlight w:val="none"/>
          <w:lang w:val="zh-CN" w:eastAsia="zh-CN" w:bidi="ar"/>
        </w:rPr>
        <w:t>，</w:t>
      </w:r>
      <w:r>
        <w:rPr>
          <w:rFonts w:hint="eastAsia" w:ascii="仿宋_GB2312" w:hAnsi="仿宋_GB2312" w:eastAsia="仿宋_GB2312" w:cs="仿宋_GB2312"/>
          <w:color w:val="auto"/>
          <w:kern w:val="2"/>
          <w:sz w:val="32"/>
          <w:szCs w:val="32"/>
          <w:highlight w:val="none"/>
          <w:lang w:val="zh-CN" w:bidi="ar"/>
        </w:rPr>
        <w:t>开展“全电工地”示范。</w:t>
      </w:r>
    </w:p>
    <w:p>
      <w:pPr>
        <w:pStyle w:val="63"/>
        <w:adjustRightInd w:val="0"/>
        <w:snapToGrid w:val="0"/>
        <w:spacing w:line="560" w:lineRule="exact"/>
        <w:ind w:firstLine="643"/>
        <w:rPr>
          <w:color w:val="auto"/>
          <w:kern w:val="0"/>
          <w:sz w:val="32"/>
          <w:szCs w:val="32"/>
          <w:highlight w:val="none"/>
          <w:lang w:bidi="ar"/>
        </w:rPr>
      </w:pPr>
      <w:r>
        <w:rPr>
          <w:rFonts w:hint="eastAsia" w:ascii="仿宋_GB2312" w:hAnsi="仿宋_GB2312" w:eastAsia="仿宋_GB2312" w:cs="仿宋_GB2312"/>
          <w:b/>
          <w:bCs/>
          <w:color w:val="auto"/>
          <w:sz w:val="32"/>
          <w:szCs w:val="32"/>
          <w:highlight w:val="none"/>
          <w:lang w:val="zh-CN"/>
        </w:rPr>
        <w:t>持续优化调整运输结构。</w:t>
      </w:r>
      <w:r>
        <w:rPr>
          <w:rFonts w:hint="eastAsia" w:ascii="仿宋_GB2312" w:hAnsi="仿宋_GB2312" w:eastAsia="仿宋_GB2312" w:cs="仿宋_GB2312"/>
          <w:color w:val="auto"/>
          <w:sz w:val="32"/>
          <w:szCs w:val="32"/>
          <w:highlight w:val="none"/>
          <w:lang w:val="zh-CN"/>
        </w:rPr>
        <w:t>配合北京市推动铁路运输，提升矿建材料、钢材、商品车、能源等物资铁路运输比例，持续提升全区货物到发绿色运输（含铁路和新能源货车）比重。</w:t>
      </w:r>
      <w:r>
        <w:rPr>
          <w:rFonts w:hint="eastAsia" w:ascii="仿宋_GB2312" w:hAnsi="仿宋_GB2312" w:eastAsia="仿宋_GB2312" w:cs="仿宋_GB2312"/>
          <w:color w:val="auto"/>
          <w:kern w:val="2"/>
          <w:sz w:val="32"/>
          <w:szCs w:val="32"/>
          <w:highlight w:val="none"/>
          <w:lang w:val="zh-CN" w:eastAsia="zh-CN" w:bidi="ar"/>
        </w:rPr>
        <w:t>建设零排放运输</w:t>
      </w:r>
      <w:r>
        <w:rPr>
          <w:rFonts w:hint="eastAsia" w:ascii="仿宋_GB2312" w:hAnsi="仿宋_GB2312" w:eastAsia="仿宋_GB2312" w:cs="仿宋_GB2312"/>
          <w:color w:val="auto"/>
          <w:kern w:val="2"/>
          <w:sz w:val="32"/>
          <w:szCs w:val="32"/>
          <w:highlight w:val="none"/>
          <w:lang w:val="zh-CN" w:bidi="ar"/>
        </w:rPr>
        <w:t>车队，提升快递电商、生活必需品的绿色运输规模。</w:t>
      </w:r>
      <w:r>
        <w:rPr>
          <w:rFonts w:hint="eastAsia" w:ascii="仿宋_GB2312" w:hAnsi="仿宋_GB2312" w:eastAsia="仿宋_GB2312" w:cs="仿宋_GB2312"/>
          <w:color w:val="auto"/>
          <w:sz w:val="32"/>
          <w:szCs w:val="32"/>
          <w:highlight w:val="none"/>
          <w:lang w:val="zh-CN"/>
        </w:rPr>
        <w:t>推动混凝土搅拌站逐步提高矿建材料的绿色运输比例，鼓励搅拌站经营者使用纯电动或氢燃料搅拌罐车运输混凝土。推进沥青混合料绿色运输。</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严格在用车械管理。</w:t>
      </w:r>
      <w:r>
        <w:rPr>
          <w:rFonts w:hint="eastAsia" w:ascii="仿宋_GB2312" w:hAnsi="仿宋_GB2312" w:eastAsia="仿宋_GB2312" w:cs="仿宋_GB2312"/>
          <w:color w:val="auto"/>
          <w:sz w:val="32"/>
          <w:szCs w:val="32"/>
          <w:highlight w:val="none"/>
          <w:lang w:val="zh-CN"/>
        </w:rPr>
        <w:t>强化机动车排放检验和维修监管，建立机动车排放检验、排放达标维修、维修复检等信息共享机制。持续加大进京综合检查站、京银路、西官路、妫川路等重点路段重型柴油车和重型燃气车“人工+科技执法”检查，推进重点企业门禁系统建设。加强非道路移动机械排放管控，动态更新管理台账，聚焦国二及以下标准机械进行执法检查，推进国二及以下标准七类非道路移动机械淘汰，同时加大国三及以上排放标准机械的检测、检查力度。</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强化油气排放和油品质量监管。</w:t>
      </w:r>
      <w:r>
        <w:rPr>
          <w:rFonts w:hint="eastAsia" w:ascii="仿宋_GB2312" w:hAnsi="仿宋_GB2312" w:eastAsia="仿宋_GB2312" w:cs="仿宋_GB2312"/>
          <w:color w:val="auto"/>
          <w:sz w:val="32"/>
          <w:szCs w:val="32"/>
          <w:highlight w:val="none"/>
          <w:lang w:val="zh-CN"/>
        </w:rPr>
        <w:t>加大对储油库、加油站和油罐车油气回收装置的检查和抽测力度。充分发挥油气回收在线监控系统功能，提高监管效率，确保油气回收装置正常运行。加大油品质量监督检查，严厉打击非法生产、添加、销售不合格油品行为，确保本区销售的油品符合相应标准。动态清零无证、无资质加油站点及流动加油罐车。督促加油站和储油库在夏季错峰装卸油，引导加油站出台鼓励夜间加油的措施。</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（二）加强固定源污染治理</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推动“绿色”企业创建。</w:t>
      </w:r>
      <w:r>
        <w:rPr>
          <w:rFonts w:hint="eastAsia" w:ascii="仿宋_GB2312" w:hAnsi="仿宋_GB2312" w:eastAsia="仿宋_GB2312" w:cs="仿宋_GB2312"/>
          <w:color w:val="auto"/>
          <w:sz w:val="32"/>
          <w:szCs w:val="32"/>
          <w:highlight w:val="none"/>
          <w:lang w:val="zh-CN"/>
        </w:rPr>
        <w:t>组织各行业企业持续开展清洁生产审核、绿色绩效评价、重污染绩效提级、创建绿色工厂、实施“一厂一策”治理提升、低端产业淘汰，</w:t>
      </w:r>
      <w:r>
        <w:rPr>
          <w:rFonts w:hint="eastAsia" w:ascii="仿宋_GB2312" w:hAnsi="仿宋_GB2312" w:eastAsia="仿宋_GB2312" w:cs="仿宋_GB2312"/>
          <w:color w:val="auto"/>
          <w:sz w:val="32"/>
          <w:szCs w:val="32"/>
          <w:highlight w:val="none"/>
          <w:lang w:val="zh-CN" w:eastAsia="zh-Hans"/>
        </w:rPr>
        <w:t>力求全区</w:t>
      </w:r>
      <w:r>
        <w:rPr>
          <w:rFonts w:hint="eastAsia" w:ascii="仿宋_GB2312" w:hAnsi="仿宋_GB2312" w:eastAsia="仿宋_GB2312" w:cs="仿宋_GB2312"/>
          <w:color w:val="auto"/>
          <w:sz w:val="32"/>
          <w:szCs w:val="32"/>
          <w:highlight w:val="none"/>
          <w:lang w:val="zh-CN"/>
        </w:rPr>
        <w:t>累计“绿色企业”比例持续提高，“十五五”末，全部完成创绿基础库“创绿”任务。</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深化重点行业VOCs治理。</w:t>
      </w:r>
      <w:r>
        <w:rPr>
          <w:rFonts w:hint="eastAsia" w:ascii="仿宋_GB2312" w:hAnsi="仿宋_GB2312" w:eastAsia="仿宋_GB2312" w:cs="仿宋_GB2312"/>
          <w:color w:val="auto"/>
          <w:sz w:val="32"/>
          <w:szCs w:val="32"/>
          <w:highlight w:val="none"/>
          <w:lang w:val="zh-CN"/>
        </w:rPr>
        <w:t>实施VOCs重点行业企业“一厂一策”精细化治理，围绕医药制造、工业涂装等重点行业，常态化组织开展排查整治，严格落实VOCs无组织排放标准。强化重点VOCs排放企业监管，加大对VOCs原辅料含量、储存、运输、收集、治理全过程检查力度。加强汽修企业全环节监管，加快推进汽修行业创绿升级。推广使用温拌沥青，推动新建公路和城市道路基本应用温拌沥青，道路养护项目逐步提升温拌沥青使用比例。</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加强重点产业园区管控。</w:t>
      </w:r>
      <w:r>
        <w:rPr>
          <w:rFonts w:hint="eastAsia" w:ascii="仿宋_GB2312" w:hAnsi="仿宋_GB2312" w:eastAsia="仿宋_GB2312" w:cs="仿宋_GB2312"/>
          <w:color w:val="auto"/>
          <w:sz w:val="32"/>
          <w:szCs w:val="32"/>
          <w:highlight w:val="none"/>
          <w:lang w:val="zh-CN"/>
        </w:rPr>
        <w:t>加强中关村延庆园VOCs精准溯源和精细化管控，动态监控中关村延庆园、企业集群及重点企业生产和排放情况，引导园区和企业集群整体升级，试点建设集中喷涂、有机溶剂集中回收处置、活性炭集中再生等管理模式。重点开展无组织排放排查治理，推动VOCs高值点位得到有效整治。</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推广使用低VOCs含量产品。</w:t>
      </w:r>
      <w:r>
        <w:rPr>
          <w:rFonts w:hint="eastAsia" w:ascii="仿宋_GB2312" w:hAnsi="仿宋_GB2312" w:eastAsia="仿宋_GB2312" w:cs="仿宋_GB2312"/>
          <w:color w:val="auto"/>
          <w:sz w:val="32"/>
          <w:szCs w:val="32"/>
          <w:highlight w:val="none"/>
          <w:lang w:val="zh-CN"/>
        </w:rPr>
        <w:t>严格落实国家及本市胶粘剂、涂料、油墨等产品VOCs含量限值标准。推进使用含VOCs产品源头替代，政府投资建设项目全面使用低（无）VOCs含量胶粘剂、涂料，引导企业使用VOCs含量最严限值产品，开展生产、销售等环节抽查检测。重点行业部门加强产品使用环节抽检抽测。严格控制生产和使用高VOCs含量涂料、油墨、胶粘剂、清洗剂等建设项目。</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（三）强化生活源及农业源污染治理</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深入推进生活源大气污染管控。</w:t>
      </w:r>
      <w:r>
        <w:rPr>
          <w:rFonts w:hint="eastAsia" w:ascii="仿宋_GB2312" w:hAnsi="仿宋_GB2312" w:eastAsia="仿宋_GB2312" w:cs="仿宋_GB2312"/>
          <w:color w:val="auto"/>
          <w:sz w:val="32"/>
          <w:szCs w:val="32"/>
          <w:highlight w:val="none"/>
          <w:lang w:val="zh-CN"/>
        </w:rPr>
        <w:t>深入推进建筑装饰、汽修、干洗、餐饮等生活源VOCs治理。倡导绿色装修，推广使用符合环保要求的建筑涂料、木器涂料、胶黏剂等产品。推进汽修行业、干洗行业设备升级改造，压实汽修、干洗等行业造成的面源污染治理责任。深化餐饮油烟专项治理，</w:t>
      </w:r>
      <w:r>
        <w:rPr>
          <w:rFonts w:hint="eastAsia" w:ascii="仿宋_GB2312" w:hAnsi="仿宋_GB2312" w:eastAsia="仿宋_GB2312" w:cs="仿宋_GB2312"/>
          <w:color w:val="auto"/>
          <w:kern w:val="2"/>
          <w:sz w:val="32"/>
          <w:szCs w:val="32"/>
          <w:highlight w:val="none"/>
          <w:lang w:val="zh-CN" w:bidi="ar-SA"/>
        </w:rPr>
        <w:t>继续推行餐饮油烟重点点位包案机制，组织开展治理提升</w:t>
      </w:r>
      <w:r>
        <w:rPr>
          <w:rFonts w:hint="eastAsia" w:ascii="仿宋_GB2312" w:hAnsi="仿宋_GB2312" w:eastAsia="仿宋_GB2312" w:cs="仿宋_GB2312"/>
          <w:color w:val="auto"/>
          <w:sz w:val="32"/>
          <w:szCs w:val="32"/>
          <w:highlight w:val="none"/>
          <w:lang w:val="zh-CN"/>
        </w:rPr>
        <w:t>，推动餐饮油烟废气高效净化装置更新。强化生活消费品VOCs管控，</w:t>
      </w:r>
      <w:r>
        <w:rPr>
          <w:rFonts w:hint="eastAsia" w:ascii="仿宋_GB2312" w:hAnsi="仿宋_GB2312" w:eastAsia="仿宋_GB2312" w:cs="仿宋_GB2312"/>
          <w:color w:val="auto"/>
          <w:sz w:val="32"/>
          <w:szCs w:val="32"/>
          <w:highlight w:val="none"/>
        </w:rPr>
        <w:t>推动开展含VOCs消费品调查，筛选优先管控种类。</w:t>
      </w:r>
      <w:r>
        <w:rPr>
          <w:rFonts w:hint="eastAsia" w:ascii="仿宋_GB2312" w:hAnsi="仿宋_GB2312" w:eastAsia="仿宋_GB2312" w:cs="仿宋_GB2312"/>
          <w:color w:val="auto"/>
          <w:sz w:val="32"/>
          <w:szCs w:val="32"/>
          <w:highlight w:val="none"/>
          <w:lang w:val="zh-CN"/>
        </w:rPr>
        <w:t>加强污水、垃圾处理设施恶臭异味排查整治，强化恶臭异味达标排放。</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持续推进清洁能源替代。</w:t>
      </w:r>
      <w:r>
        <w:rPr>
          <w:rFonts w:hint="eastAsia" w:ascii="仿宋_GB2312" w:hAnsi="仿宋_GB2312" w:eastAsia="仿宋_GB2312" w:cs="仿宋_GB2312"/>
          <w:color w:val="auto"/>
          <w:sz w:val="32"/>
          <w:szCs w:val="32"/>
          <w:highlight w:val="none"/>
          <w:lang w:val="zh-CN"/>
        </w:rPr>
        <w:t>持续推进机关事业单位食堂液化石油气改电，到2030年，全区机关企事业单位食堂全部完成液化石油气改电。推动各机关企事业单位（医疗机构、中小学、幼儿园除外）实施供暖气改电改造；推动私营企业锅炉实施低氮改造或气改电改造；积极推广空气源热泵、太阳能+电辅助供暖系统，推动全区42个村5000余户完成煤改清洁能源改造。推进农业大棚、养殖场等农业设施煤改清洁能源，减少散煤燃烧污染。</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实施畜禽养殖氨减排治理。</w:t>
      </w:r>
      <w:r>
        <w:rPr>
          <w:rFonts w:hint="eastAsia" w:ascii="仿宋_GB2312" w:hAnsi="仿宋_GB2312" w:eastAsia="仿宋_GB2312" w:cs="仿宋_GB2312"/>
          <w:color w:val="auto"/>
          <w:sz w:val="32"/>
          <w:szCs w:val="32"/>
          <w:highlight w:val="none"/>
          <w:lang w:val="zh-CN"/>
        </w:rPr>
        <w:t>积极推进相关畜禽养殖企业实施粪污治理改造项目，通过加大粪污清理频次，改造粪污处理设施，降低氨排放。新建规模化畜禽养殖场应积极采取先进的氨排放控制技术，引导企业采用绿色生态化养殖工艺，推动粪污氨排放源头削减。</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（四）提升扬尘源精细化管理</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推进施工扬尘精细化管理。</w:t>
      </w:r>
      <w:r>
        <w:rPr>
          <w:rFonts w:hint="eastAsia" w:ascii="仿宋_GB2312" w:hAnsi="仿宋_GB2312" w:eastAsia="仿宋_GB2312" w:cs="仿宋_GB2312"/>
          <w:color w:val="auto"/>
          <w:sz w:val="32"/>
          <w:szCs w:val="32"/>
          <w:highlight w:val="none"/>
          <w:lang w:val="zh-CN"/>
        </w:rPr>
        <w:t>全区符合条件的工地全部高标准创建绿牌工地，工地配备湿式清扫车每小时清扫工地出口道路，确保城区工地出口道路尘负荷全部为优，其他区域工地出口道路尘负荷全部为优良。城区非线性工地鼓励使用基坑气膜和密闭施工技术，必须安装喷淋或喷雾降尘系统，每天定时使用。充分发挥低空经济优势，积极鼓励工地使用无人机等科技手段洒水、喷雾降尘。</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推进道路扬尘精细化管理。</w:t>
      </w:r>
      <w:r>
        <w:rPr>
          <w:rFonts w:hint="eastAsia" w:ascii="仿宋_GB2312" w:hAnsi="仿宋_GB2312" w:eastAsia="仿宋_GB2312" w:cs="仿宋_GB2312"/>
          <w:color w:val="auto"/>
          <w:sz w:val="32"/>
          <w:szCs w:val="32"/>
          <w:highlight w:val="none"/>
          <w:lang w:val="zh-CN"/>
        </w:rPr>
        <w:t>精细化道路清扫保洁作业模式，持续提升道路清扫“冲、扫、洗、收”组合工艺作业覆盖率，有效减少道路积尘，降低二次扬尘风险。结合美丽城市建设，美丽乡村建设，针对背街小巷等薄弱区域，制定精细化保洁标准，消除卫生死角，推进街巷规范化清扫保洁工作。</w:t>
      </w:r>
      <w:r>
        <w:rPr>
          <w:rFonts w:hint="eastAsia" w:ascii="仿宋_GB2312" w:hAnsi="仿宋_GB2312" w:eastAsia="仿宋_GB2312" w:cs="仿宋_GB2312"/>
          <w:color w:val="auto"/>
          <w:kern w:val="2"/>
          <w:sz w:val="32"/>
          <w:szCs w:val="32"/>
          <w:highlight w:val="none"/>
          <w:lang w:val="zh-CN" w:bidi="ar"/>
        </w:rPr>
        <w:t>持续开展道路“升优”行动</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kern w:val="2"/>
          <w:sz w:val="32"/>
          <w:szCs w:val="32"/>
          <w:highlight w:val="none"/>
          <w:lang w:val="zh-CN" w:bidi="ar"/>
        </w:rPr>
        <w:t>及时组织</w:t>
      </w:r>
      <w:r>
        <w:rPr>
          <w:rFonts w:hint="eastAsia" w:ascii="仿宋_GB2312" w:hAnsi="仿宋_GB2312" w:eastAsia="仿宋_GB2312" w:cs="仿宋_GB2312"/>
          <w:color w:val="auto"/>
          <w:kern w:val="2"/>
          <w:sz w:val="32"/>
          <w:szCs w:val="32"/>
          <w:highlight w:val="none"/>
          <w:lang w:val="zh-CN" w:eastAsia="zh-CN" w:bidi="ar"/>
        </w:rPr>
        <w:t>差等级道路</w:t>
      </w:r>
      <w:r>
        <w:rPr>
          <w:rFonts w:hint="eastAsia" w:ascii="仿宋_GB2312" w:hAnsi="仿宋_GB2312" w:eastAsia="仿宋_GB2312" w:cs="仿宋_GB2312"/>
          <w:color w:val="auto"/>
          <w:kern w:val="2"/>
          <w:sz w:val="32"/>
          <w:szCs w:val="32"/>
          <w:highlight w:val="none"/>
          <w:lang w:val="zh-CN" w:bidi="ar"/>
        </w:rPr>
        <w:t>整改提升</w:t>
      </w:r>
      <w:r>
        <w:rPr>
          <w:rFonts w:hint="eastAsia" w:ascii="仿宋_GB2312" w:hAnsi="仿宋_GB2312" w:eastAsia="仿宋_GB2312" w:cs="仿宋_GB2312"/>
          <w:color w:val="auto"/>
          <w:sz w:val="32"/>
          <w:szCs w:val="32"/>
          <w:highlight w:val="none"/>
          <w:lang w:val="zh-CN"/>
        </w:rPr>
        <w:t>，实现差等级道路动态消除。</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推进裸地扬尘精细化管理。</w:t>
      </w:r>
      <w:r>
        <w:rPr>
          <w:rFonts w:hint="eastAsia" w:ascii="仿宋_GB2312" w:hAnsi="仿宋_GB2312" w:eastAsia="仿宋_GB2312" w:cs="仿宋_GB2312"/>
          <w:color w:val="auto"/>
          <w:sz w:val="32"/>
          <w:szCs w:val="32"/>
          <w:highlight w:val="none"/>
          <w:lang w:val="zh-CN"/>
        </w:rPr>
        <w:t>开展街乡镇裸地日常巡查，完善辖区裸地动态更新台账，根据台账落点落图并逐一核查，分类施策，动态整治。降低农耕期间扬尘污染，全区春季耕种期间，采取机械耕种、降尘喷淋等措施降低扬尘污染，农田在秋收后至12月完成秸秆回收，机械回收秸秆期间采取抑尘措施，冬季重点地区耕地采取留茬免耕降低扬尘污染。</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（五）推进重点区域精细化管理</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强化重点地区周边环境精细化管理。</w:t>
      </w:r>
      <w:r>
        <w:rPr>
          <w:rFonts w:hint="eastAsia" w:ascii="仿宋_GB2312" w:hAnsi="仿宋_GB2312" w:eastAsia="仿宋_GB2312" w:cs="仿宋_GB2312"/>
          <w:color w:val="auto"/>
          <w:sz w:val="32"/>
          <w:szCs w:val="32"/>
          <w:highlight w:val="none"/>
          <w:lang w:val="zh-CN"/>
        </w:rPr>
        <w:t>充分发挥网格化机制作用，加强重点地区周边餐饮、工地、企业管控，增加周边道路清扫保洁频次。合理设置垃圾收集点，加强垃圾清运管理，做到日产日清。加强公园绿化管理，确保绿化到位，及时修复周边受损生态环境，种植具有吸附污染物、降低噪声等功能的植物，提高区域的生态自净能力。开展污染传输通道研究，确定传输通道重点乡镇，强化传输通道重点乡镇大气精细化管理。</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打造重点乡镇“二十”示范区。</w:t>
      </w:r>
      <w:r>
        <w:rPr>
          <w:rFonts w:hint="eastAsia" w:ascii="仿宋_GB2312" w:hAnsi="仿宋_GB2312" w:eastAsia="仿宋_GB2312" w:cs="仿宋_GB2312"/>
          <w:color w:val="auto"/>
          <w:sz w:val="32"/>
          <w:szCs w:val="32"/>
          <w:highlight w:val="none"/>
          <w:lang w:val="zh-CN"/>
        </w:rPr>
        <w:t>结合区域污染源分布情况，划定重点管控区域，进一步加强辖区扬尘管控、移动源治理，落实污染减排，加强空气质量监测子站周边环境精细化治理。选定重点乡镇打造“PM</w:t>
      </w:r>
      <w:r>
        <w:rPr>
          <w:rFonts w:hint="eastAsia" w:ascii="仿宋_GB2312" w:hAnsi="仿宋_GB2312" w:eastAsia="仿宋_GB2312" w:cs="仿宋_GB2312"/>
          <w:color w:val="auto"/>
          <w:sz w:val="32"/>
          <w:szCs w:val="32"/>
          <w:highlight w:val="none"/>
          <w:vertAlign w:val="subscript"/>
          <w:lang w:val="zh-CN"/>
        </w:rPr>
        <w:t>2.5</w:t>
      </w:r>
      <w:r>
        <w:rPr>
          <w:rFonts w:hint="eastAsia" w:ascii="仿宋_GB2312" w:hAnsi="仿宋_GB2312" w:eastAsia="仿宋_GB2312" w:cs="仿宋_GB2312"/>
          <w:color w:val="auto"/>
          <w:sz w:val="32"/>
          <w:szCs w:val="32"/>
          <w:highlight w:val="none"/>
          <w:lang w:val="zh-CN"/>
        </w:rPr>
        <w:t>年均浓度率先破20微克/立方米”示范区，带动其他街乡镇空气质量持续改善。</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（六）实施区域空气重污染应对</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因地分季精准施策。</w:t>
      </w:r>
      <w:r>
        <w:rPr>
          <w:rFonts w:hint="eastAsia" w:ascii="仿宋_GB2312" w:hAnsi="仿宋_GB2312" w:eastAsia="仿宋_GB2312" w:cs="仿宋_GB2312"/>
          <w:color w:val="auto"/>
          <w:sz w:val="32"/>
          <w:szCs w:val="32"/>
          <w:highlight w:val="none"/>
          <w:lang w:val="zh-CN"/>
        </w:rPr>
        <w:t>春季聚焦扬尘污染突出问题，启动扬尘专项治理百日攻坚行动，围绕施工扬尘、道路扬尘、裸地扬尘、外来沙尘等，加强“四尘”共治。秋冬季紧盯PM</w:t>
      </w:r>
      <w:r>
        <w:rPr>
          <w:rFonts w:hint="eastAsia" w:ascii="仿宋_GB2312" w:hAnsi="仿宋_GB2312" w:eastAsia="仿宋_GB2312" w:cs="仿宋_GB2312"/>
          <w:color w:val="auto"/>
          <w:sz w:val="32"/>
          <w:szCs w:val="32"/>
          <w:highlight w:val="none"/>
          <w:vertAlign w:val="subscript"/>
          <w:lang w:val="zh-CN"/>
        </w:rPr>
        <w:t>2.5</w:t>
      </w:r>
      <w:r>
        <w:rPr>
          <w:rFonts w:hint="eastAsia" w:ascii="仿宋_GB2312" w:hAnsi="仿宋_GB2312" w:eastAsia="仿宋_GB2312" w:cs="仿宋_GB2312"/>
          <w:color w:val="auto"/>
          <w:sz w:val="32"/>
          <w:szCs w:val="32"/>
          <w:highlight w:val="none"/>
          <w:lang w:val="zh-CN"/>
        </w:rPr>
        <w:t>与NOx污染峰值，开展大气污染综合治理攻坚行动，实施污染物“削峰强化减排”策略，靶向发力降低污染负荷。夏季探索臭氧污染防控路径，减少高温天气下涉VOCs污染作业，制定高温天气应急管控清单，强化挥发性有机物排放企业调控力度。空气重污染期间，加强督察检查执法，督促落实各项减排措施。</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强化区域协同管控。</w:t>
      </w:r>
      <w:r>
        <w:rPr>
          <w:rFonts w:hint="eastAsia" w:ascii="仿宋_GB2312" w:hAnsi="仿宋_GB2312" w:eastAsia="仿宋_GB2312" w:cs="仿宋_GB2312"/>
          <w:color w:val="auto"/>
          <w:sz w:val="32"/>
          <w:szCs w:val="32"/>
          <w:highlight w:val="none"/>
          <w:lang w:val="zh-CN"/>
        </w:rPr>
        <w:t>严格落实京冀大气污染防治联防联控，全面强化京冀区域联合会商机制，对京冀交界地区两侧20公里以内的涉气重点行业新建项目开展环评一致性会商；在重大活动保障、重污染天气应对过程等重点时段，加密会商频次，联合研判形势，同步发布预警信息，依法依规启动联防联控，统一标准采取有效应急减排措施。完善交界地区联合应对机制。与张家口市（区、县）强化信息共享、环境违法问题线索移交、重污染联合响应等，完善交界地区大气环境污染违法案件联合快速处置机制。</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夯实空气重污染应急基础。</w:t>
      </w:r>
      <w:r>
        <w:rPr>
          <w:rFonts w:hint="eastAsia" w:ascii="仿宋_GB2312" w:hAnsi="仿宋_GB2312" w:eastAsia="仿宋_GB2312" w:cs="仿宋_GB2312"/>
          <w:color w:val="auto"/>
          <w:sz w:val="32"/>
          <w:szCs w:val="32"/>
          <w:highlight w:val="none"/>
          <w:lang w:val="zh-CN"/>
        </w:rPr>
        <w:t>持续动态更新涉气企业全清单和应急减排清单，做到底数清、情况明，为应急管控提供精准依据。严格落实市级绩效评级要求，以评促改、以评促优，引导企业加大环保投入、优化生产工艺、完善污染治理设施，推动企业绿色化水平持续提升。</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87" w:name="_Toc211871738"/>
      <w:bookmarkStart w:id="88" w:name="_Toc17185"/>
      <w:bookmarkStart w:id="89" w:name="_Toc206336510"/>
      <w:bookmarkStart w:id="90" w:name="_Toc203892631"/>
      <w:bookmarkStart w:id="91" w:name="_Toc204014694"/>
      <w:r>
        <w:rPr>
          <w:rFonts w:hint="eastAsia" w:ascii="黑体" w:hAnsi="黑体" w:cs="黑体"/>
          <w:b w:val="0"/>
          <w:bCs/>
          <w:color w:val="auto"/>
          <w:highlight w:val="none"/>
        </w:rPr>
        <w:t>二、持续深入打好碧水保卫战</w:t>
      </w:r>
      <w:bookmarkEnd w:id="87"/>
      <w:bookmarkEnd w:id="88"/>
    </w:p>
    <w:bookmarkEnd w:id="89"/>
    <w:bookmarkEnd w:id="90"/>
    <w:bookmarkEnd w:id="91"/>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92" w:name="_Toc203892632"/>
      <w:r>
        <w:rPr>
          <w:rFonts w:hint="eastAsia" w:ascii="楷体_GB2312" w:hAnsi="楷体_GB2312" w:eastAsia="楷体_GB2312" w:cs="楷体_GB2312"/>
          <w:color w:val="auto"/>
          <w:sz w:val="32"/>
          <w:szCs w:val="32"/>
          <w:highlight w:val="none"/>
        </w:rPr>
        <w:t>（一）持续深化水环境治理</w:t>
      </w:r>
      <w:bookmarkEnd w:id="92"/>
    </w:p>
    <w:p>
      <w:pPr>
        <w:pStyle w:val="63"/>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加快推进污水处理设施建设及运行管理水平。</w:t>
      </w:r>
      <w:r>
        <w:rPr>
          <w:rFonts w:hint="eastAsia" w:ascii="仿宋_GB2312" w:hAnsi="仿宋_GB2312" w:eastAsia="仿宋_GB2312" w:cs="仿宋_GB2312"/>
          <w:color w:val="auto"/>
          <w:sz w:val="32"/>
          <w:szCs w:val="32"/>
          <w:highlight w:val="none"/>
        </w:rPr>
        <w:t>完善城镇污水厂建设，推进小城镇</w:t>
      </w:r>
      <w:r>
        <w:rPr>
          <w:rFonts w:hint="eastAsia" w:ascii="仿宋_GB2312" w:hAnsi="仿宋_GB2312" w:eastAsia="仿宋_GB2312" w:cs="仿宋_GB2312"/>
          <w:color w:val="auto"/>
          <w:sz w:val="32"/>
          <w:szCs w:val="32"/>
          <w:highlight w:val="none"/>
          <w:lang w:eastAsia="zh-CN"/>
        </w:rPr>
        <w:t>及农村</w:t>
      </w:r>
      <w:r>
        <w:rPr>
          <w:rFonts w:hint="eastAsia" w:ascii="仿宋_GB2312" w:hAnsi="仿宋_GB2312" w:eastAsia="仿宋_GB2312" w:cs="仿宋_GB2312"/>
          <w:color w:val="auto"/>
          <w:sz w:val="32"/>
          <w:szCs w:val="32"/>
          <w:highlight w:val="none"/>
        </w:rPr>
        <w:t>污水处理及配套管网建设，实现城镇中心区集中污水厂全覆盖。结合美丽乡村建设，提高农村污水处理能力</w:t>
      </w:r>
      <w:r>
        <w:rPr>
          <w:rFonts w:hint="eastAsia" w:ascii="仿宋_GB2312" w:hAnsi="仿宋_GB2312" w:eastAsia="仿宋_GB2312" w:cs="仿宋_GB2312"/>
          <w:color w:val="auto"/>
          <w:sz w:val="32"/>
          <w:szCs w:val="32"/>
          <w:highlight w:val="none"/>
          <w:lang w:eastAsia="zh-CN"/>
        </w:rPr>
        <w:t>和治理成效</w:t>
      </w:r>
      <w:r>
        <w:rPr>
          <w:rFonts w:hint="eastAsia" w:ascii="仿宋_GB2312" w:hAnsi="仿宋_GB2312" w:eastAsia="仿宋_GB2312" w:cs="仿宋_GB2312"/>
          <w:color w:val="auto"/>
          <w:sz w:val="32"/>
          <w:szCs w:val="32"/>
          <w:highlight w:val="none"/>
        </w:rPr>
        <w:t>。推进畜禽养殖污染防治，持续提高规模化畜禽养殖场污染治理设施配套率、粪污综合利用率。对全区城乡污水处理厂进行升级改造，提高污水处理能力和标准。完善污水处理厂运行管理制度和污水处理厂运行信息公开制度。</w:t>
      </w:r>
    </w:p>
    <w:p>
      <w:pPr>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b/>
          <w:color w:val="auto"/>
          <w:sz w:val="32"/>
          <w:szCs w:val="32"/>
          <w:highlight w:val="none"/>
        </w:rPr>
        <w:t>强化工业污染防治。</w:t>
      </w:r>
      <w:r>
        <w:rPr>
          <w:rFonts w:ascii="仿宋_GB2312" w:hAnsi="仿宋_GB2312" w:eastAsia="仿宋_GB2312" w:cs="仿宋_GB2312"/>
          <w:color w:val="auto"/>
          <w:sz w:val="32"/>
          <w:szCs w:val="32"/>
          <w:highlight w:val="none"/>
        </w:rPr>
        <w:t>加大工业污染防治力度，严格</w:t>
      </w:r>
      <w:r>
        <w:rPr>
          <w:rFonts w:hint="eastAsia" w:ascii="仿宋_GB2312" w:hAnsi="仿宋_GB2312" w:eastAsia="仿宋_GB2312" w:cs="仿宋_GB2312"/>
          <w:color w:val="auto"/>
          <w:sz w:val="32"/>
          <w:szCs w:val="32"/>
          <w:highlight w:val="none"/>
        </w:rPr>
        <w:t>管控</w:t>
      </w:r>
      <w:r>
        <w:rPr>
          <w:rFonts w:ascii="仿宋_GB2312" w:hAnsi="仿宋_GB2312" w:eastAsia="仿宋_GB2312" w:cs="仿宋_GB2312"/>
          <w:color w:val="auto"/>
          <w:sz w:val="32"/>
          <w:szCs w:val="32"/>
          <w:highlight w:val="none"/>
        </w:rPr>
        <w:t>企业污废水预处理，完善工业园区内管网和污水集中处理设施，强化重点工业企业污水集中处理设施在线监控，确保工业污染源全面稳定达标排放。加强排污许可证管理，严厉处罚无证和不按证排放废水行为。</w:t>
      </w:r>
    </w:p>
    <w:p>
      <w:pPr>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b/>
          <w:color w:val="auto"/>
          <w:sz w:val="32"/>
          <w:szCs w:val="32"/>
          <w:highlight w:val="none"/>
        </w:rPr>
        <w:t>强化农业面源污染控制。</w:t>
      </w:r>
      <w:r>
        <w:rPr>
          <w:rFonts w:ascii="仿宋_GB2312" w:hAnsi="仿宋_GB2312" w:eastAsia="仿宋_GB2312" w:cs="仿宋_GB2312"/>
          <w:color w:val="auto"/>
          <w:sz w:val="32"/>
          <w:szCs w:val="32"/>
          <w:highlight w:val="none"/>
        </w:rPr>
        <w:t>在全区推进农药、化肥减量精细化施策，推广测土施肥、秸秆还田、应用有机肥等技术措施。在农田周边因地制宜建设农业面源污染生态净化工程。加强畜禽养殖污染控制及废物资源利用。</w:t>
      </w:r>
    </w:p>
    <w:p>
      <w:pPr>
        <w:pStyle w:val="63"/>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全面落实入河排口污染治理。</w:t>
      </w:r>
      <w:r>
        <w:rPr>
          <w:rFonts w:hint="eastAsia" w:ascii="仿宋_GB2312" w:hAnsi="仿宋_GB2312" w:eastAsia="仿宋_GB2312" w:cs="仿宋_GB2312"/>
          <w:color w:val="auto"/>
          <w:sz w:val="32"/>
          <w:szCs w:val="32"/>
          <w:highlight w:val="none"/>
        </w:rPr>
        <w:t>全力推进延庆区入河排口污染溯源及动态管理项目，系统开展入河排污（水）口“查、测、溯、治、管”工作。按照分类分级管控要求，将数据接入市级平台，实现入河排口“一个库”管理。对入河排污口进行规范化整治，安装在线监测设备。加强对入河排污口设置审批管理，严格控制新增入河排污口。建立入河排污口联合执法机制，生态环境、水务等部门定期开展联合执法检查，严厉打击违法排污行为</w:t>
      </w:r>
      <w:r>
        <w:rPr>
          <w:rFonts w:hint="eastAsia" w:ascii="仿宋_GB2312" w:eastAsia="仿宋_GB2312"/>
          <w:color w:val="auto"/>
          <w:sz w:val="32"/>
          <w:szCs w:val="32"/>
          <w:highlight w:val="none"/>
        </w:rPr>
        <w:t>健全入河排污口长效监管机制，巩固排查整治成效，持续开展常态化巡河及入河排口巡查工作。</w:t>
      </w:r>
    </w:p>
    <w:p>
      <w:pPr>
        <w:pStyle w:val="63"/>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全面排查与整治黑臭水体，建立长效监管机制。</w:t>
      </w:r>
      <w:r>
        <w:rPr>
          <w:rFonts w:hint="eastAsia" w:ascii="仿宋_GB2312" w:hAnsi="仿宋_GB2312" w:eastAsia="仿宋_GB2312" w:cs="仿宋_GB2312"/>
          <w:color w:val="auto"/>
          <w:sz w:val="32"/>
          <w:szCs w:val="32"/>
          <w:highlight w:val="none"/>
        </w:rPr>
        <w:t>定期对全区水体进行排查，制定“一河一策”“一湖一策”整治方案，明确整治目标、措施和期限。通过控源截污、清淤疏浚、生态修复等综合措施，消除黑臭水体。加强对整治后黑臭水</w:t>
      </w:r>
      <w:r>
        <w:rPr>
          <w:rFonts w:ascii="仿宋_GB2312" w:hAnsi="仿宋_GB2312" w:eastAsia="仿宋_GB2312" w:cs="仿宋_GB2312"/>
          <w:color w:val="auto"/>
          <w:sz w:val="32"/>
          <w:szCs w:val="32"/>
          <w:highlight w:val="none"/>
        </w:rPr>
        <w:t>体的跟踪监测，确保水质不反弹。完善河长制、湖长制，明确各级河长、湖长在黑臭水体治理和监管中的职责。建立黑臭水体治理考核机制。加强公众监督，</w:t>
      </w:r>
      <w:r>
        <w:rPr>
          <w:rFonts w:hint="eastAsia" w:ascii="仿宋_GB2312" w:hAnsi="仿宋_GB2312" w:eastAsia="仿宋_GB2312" w:cs="仿宋_GB2312"/>
          <w:color w:val="auto"/>
          <w:sz w:val="32"/>
          <w:szCs w:val="32"/>
          <w:highlight w:val="none"/>
        </w:rPr>
        <w:t>完善长效监管机制</w:t>
      </w:r>
      <w:r>
        <w:rPr>
          <w:rFonts w:ascii="仿宋_GB2312" w:hAnsi="仿宋_GB2312" w:eastAsia="仿宋_GB2312" w:cs="仿宋_GB2312"/>
          <w:color w:val="auto"/>
          <w:sz w:val="32"/>
          <w:szCs w:val="32"/>
          <w:highlight w:val="none"/>
        </w:rPr>
        <w:t>。</w:t>
      </w:r>
    </w:p>
    <w:p>
      <w:pPr>
        <w:pStyle w:val="63"/>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有效治理汛期合流制溢流污染。</w:t>
      </w:r>
      <w:r>
        <w:rPr>
          <w:rFonts w:ascii="仿宋_GB2312" w:hAnsi="仿宋_GB2312" w:eastAsia="仿宋_GB2312" w:cs="仿宋_GB2312"/>
          <w:color w:val="auto"/>
          <w:sz w:val="32"/>
          <w:szCs w:val="32"/>
          <w:highlight w:val="none"/>
        </w:rPr>
        <w:t>每年汛前，制定详细的</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清管行动</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方案，明确清管范围、标准和时间节点。组织专业队伍对城市排水管网、雨水口等进行全面清理，清除管道内淤积物、杂物，确保排水管网畅通。加强对“清管行动”的监督检查，确保行动取得实效。</w:t>
      </w:r>
      <w:r>
        <w:rPr>
          <w:rFonts w:hint="eastAsia" w:ascii="仿宋_GB2312" w:hAnsi="仿宋_GB2312" w:eastAsia="仿宋_GB2312" w:cs="仿宋_GB2312"/>
          <w:color w:val="auto"/>
          <w:sz w:val="32"/>
          <w:szCs w:val="32"/>
          <w:highlight w:val="none"/>
        </w:rPr>
        <w:t>对全区合流制排水系统进行评估，制定合流制溢流污染治理方案。加强对汛期合流制溢流污染的监测</w:t>
      </w:r>
      <w:r>
        <w:rPr>
          <w:rFonts w:hint="eastAsia" w:ascii="仿宋_GB2312" w:hAnsi="仿宋_GB2312" w:eastAsia="仿宋_GB2312" w:cs="仿宋_GB2312"/>
          <w:color w:val="auto"/>
          <w:sz w:val="32"/>
          <w:szCs w:val="32"/>
          <w:highlight w:val="none"/>
          <w:lang w:eastAsia="zh-CN"/>
        </w:rPr>
        <w:t>预警</w:t>
      </w:r>
      <w:r>
        <w:rPr>
          <w:rFonts w:hint="eastAsia" w:ascii="仿宋_GB2312" w:hAnsi="仿宋_GB2312" w:eastAsia="仿宋_GB2312" w:cs="仿宋_GB2312"/>
          <w:color w:val="auto"/>
          <w:sz w:val="32"/>
          <w:szCs w:val="32"/>
          <w:highlight w:val="none"/>
        </w:rPr>
        <w:t>，建立汛期合流制溢流污染应急处置机制。</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93" w:name="_Toc203892633"/>
      <w:r>
        <w:rPr>
          <w:rFonts w:hint="eastAsia" w:ascii="楷体_GB2312" w:hAnsi="楷体_GB2312" w:eastAsia="楷体_GB2312" w:cs="楷体_GB2312"/>
          <w:color w:val="auto"/>
          <w:sz w:val="32"/>
          <w:szCs w:val="32"/>
          <w:highlight w:val="none"/>
        </w:rPr>
        <w:t>（二）强化水生态保护与修复</w:t>
      </w:r>
      <w:bookmarkEnd w:id="93"/>
    </w:p>
    <w:p>
      <w:pPr>
        <w:pStyle w:val="63"/>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加强水生态空间管控。</w:t>
      </w:r>
      <w:r>
        <w:rPr>
          <w:rFonts w:hint="eastAsia" w:ascii="仿宋_GB2312" w:hAnsi="仿宋_GB2312" w:eastAsia="仿宋_GB2312" w:cs="仿宋_GB2312"/>
          <w:color w:val="auto"/>
          <w:sz w:val="32"/>
          <w:szCs w:val="32"/>
          <w:highlight w:val="none"/>
        </w:rPr>
        <w:t>严格保护重要河流、水库的水生态空间，按功能导向编制水生态空间管控规划并实施；有序清退拆除河道主流区内的现状违法违规建设，优化调整河道主流区内阻碍行洪的林木，拆除改造不符合规划的闸坝桥梁，优化河道滩地生态结构，提升生态功能。逐步实现水生态空间内规划搬迁村的搬迁腾退。推进妫水河流域、白河堡水库流域生态修复区域、水土流失风险较大区域、面源污染集中区域河段生态护岸和河滨人工湿地建设及河道缓冲带建设等工作。</w:t>
      </w:r>
    </w:p>
    <w:p>
      <w:pPr>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巩固提升河湖生态。</w:t>
      </w:r>
      <w:r>
        <w:rPr>
          <w:rFonts w:hint="eastAsia" w:ascii="仿宋_GB2312" w:hAnsi="仿宋_GB2312" w:eastAsia="仿宋_GB2312" w:cs="仿宋_GB2312"/>
          <w:color w:val="auto"/>
          <w:sz w:val="32"/>
          <w:szCs w:val="32"/>
          <w:highlight w:val="none"/>
        </w:rPr>
        <w:t>推进美丽河湖生态治理，通过河道生态系统构建、内源去除及水体原位修复等水生态治理措施，恢复和增强河湖水系自净能力，保障水生态环境安全。将“河长制”工作向“小微水体”延伸，对辖区内已完成整治工作的小微水体，建立长效机制，接受公众监督。</w:t>
      </w:r>
    </w:p>
    <w:p>
      <w:pPr>
        <w:pStyle w:val="63"/>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有效保障生态基流。</w:t>
      </w:r>
      <w:r>
        <w:rPr>
          <w:rFonts w:hint="eastAsia" w:ascii="仿宋_GB2312" w:hAnsi="仿宋_GB2312" w:eastAsia="仿宋_GB2312" w:cs="仿宋_GB2312"/>
          <w:color w:val="auto"/>
          <w:sz w:val="32"/>
          <w:szCs w:val="32"/>
          <w:highlight w:val="none"/>
        </w:rPr>
        <w:t>实施“一干九支”水系联通工程。以白河堡水库南干渠为纽带，积极开展妫水河南部水系连通。借助南干渠渠道维修加固、渠系建筑物维修加固及水生态构建等工程，推进南北干渠与妫水河、宝林寺河、西二道河、小张家口河、西拨子河、古城河、三里河、蔡家河、佛峪口河的水系连通，结合白河堡水库、佛峪口水库等水库放水、再生水生态补水优化调配水资源，保障河道生态基流。</w:t>
      </w:r>
    </w:p>
    <w:p>
      <w:pPr>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color w:val="auto"/>
          <w:sz w:val="32"/>
          <w:szCs w:val="32"/>
          <w:highlight w:val="none"/>
        </w:rPr>
        <w:t>强化水生态环境联保联治。</w:t>
      </w:r>
      <w:r>
        <w:rPr>
          <w:rFonts w:hint="eastAsia" w:ascii="仿宋_GB2312" w:hAnsi="仿宋_GB2312" w:eastAsia="仿宋_GB2312" w:cs="仿宋_GB2312"/>
          <w:bCs/>
          <w:color w:val="auto"/>
          <w:sz w:val="32"/>
          <w:szCs w:val="32"/>
          <w:highlight w:val="none"/>
        </w:rPr>
        <w:t>加强流域跨界水生态环境领域合作，推进联保共治向基层延伸。</w:t>
      </w:r>
      <w:r>
        <w:rPr>
          <w:rFonts w:hint="eastAsia" w:ascii="仿宋_GB2312" w:hAnsi="仿宋_GB2312" w:eastAsia="仿宋_GB2312" w:cs="仿宋_GB2312"/>
          <w:bCs/>
          <w:color w:val="auto"/>
          <w:sz w:val="32"/>
          <w:szCs w:val="32"/>
          <w:highlight w:val="none"/>
          <w:lang w:val="en-US" w:eastAsia="zh-CN"/>
        </w:rPr>
        <w:t>进一步深化突发水污染联防联控机制，</w:t>
      </w:r>
      <w:r>
        <w:rPr>
          <w:rFonts w:hint="eastAsia" w:ascii="仿宋_GB2312" w:hAnsi="仿宋_GB2312" w:eastAsia="仿宋_GB2312" w:cs="仿宋_GB2312"/>
          <w:bCs/>
          <w:color w:val="auto"/>
          <w:sz w:val="32"/>
          <w:szCs w:val="32"/>
          <w:highlight w:val="none"/>
        </w:rPr>
        <w:t>推进官厅水库流域治理，加大永定河流域综合治理，优化流域水资源配置；实施官厅水库水源保护工程，完善水库保护区隔离防护措施。落实官厅水库及上游流域横向生态补偿机制，完善密云水库上游生态涵养区横向生态保护补偿机制。</w:t>
      </w:r>
      <w:r>
        <w:rPr>
          <w:rFonts w:hint="eastAsia" w:ascii="仿宋_GB2312" w:hAnsi="仿宋_GB2312" w:eastAsia="仿宋_GB2312" w:cs="仿宋_GB2312"/>
          <w:color w:val="auto"/>
          <w:sz w:val="32"/>
          <w:szCs w:val="32"/>
          <w:highlight w:val="none"/>
          <w:lang w:val="zh-CN"/>
        </w:rPr>
        <w:t>加强密云水库、官厅水库流域水源保护联防联控工作。</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94" w:name="_Toc203892634"/>
      <w:bookmarkStart w:id="95" w:name="_Hlk216438203"/>
      <w:r>
        <w:rPr>
          <w:rFonts w:hint="eastAsia" w:ascii="楷体_GB2312" w:hAnsi="楷体_GB2312" w:eastAsia="楷体_GB2312" w:cs="楷体_GB2312"/>
          <w:color w:val="auto"/>
          <w:sz w:val="32"/>
          <w:szCs w:val="32"/>
          <w:highlight w:val="none"/>
        </w:rPr>
        <w:t>（三）统筹水资源保护与利用</w:t>
      </w:r>
      <w:bookmarkEnd w:id="94"/>
    </w:p>
    <w:bookmarkEnd w:id="95"/>
    <w:p>
      <w:pPr>
        <w:pStyle w:val="63"/>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不断完善水源地监控预警体系。</w:t>
      </w:r>
      <w:r>
        <w:rPr>
          <w:rFonts w:hint="eastAsia" w:ascii="仿宋_GB2312" w:hAnsi="仿宋_GB2312" w:eastAsia="仿宋_GB2312" w:cs="仿宋_GB2312"/>
          <w:color w:val="auto"/>
          <w:sz w:val="32"/>
          <w:szCs w:val="32"/>
          <w:highlight w:val="none"/>
        </w:rPr>
        <w:t>建立健全水源地长效保护管理机制，加强官厅水库、白河堡水库以及地下集中水源地的保护与管理，因地制宜完善水源保护区封闭隔离设施和标志标识牌，建设水源地安全防护工程，提升水源地档案化、精细化管理水平。建立水源地监控预警体系，制定饮用水水源地突发事件应急预案，完善突发事故应急响应机制，建立布局合理的应急物资库。</w:t>
      </w:r>
    </w:p>
    <w:p>
      <w:pPr>
        <w:pStyle w:val="63"/>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推进供水结构优化。</w:t>
      </w:r>
      <w:r>
        <w:rPr>
          <w:rFonts w:hint="eastAsia" w:ascii="仿宋_GB2312" w:hAnsi="仿宋_GB2312" w:eastAsia="仿宋_GB2312" w:cs="仿宋_GB2312"/>
          <w:color w:val="auto"/>
          <w:sz w:val="32"/>
          <w:szCs w:val="32"/>
          <w:highlight w:val="none"/>
        </w:rPr>
        <w:t>加强水资源统一管理，严格实行用水总量控制和定额管理。持续构建以地表水为主、地下水为辅的城乡供水一体化格局，减少地下水开采量，涵养和保护地下水资源。</w:t>
      </w:r>
      <w:r>
        <w:rPr>
          <w:rFonts w:hint="eastAsia" w:ascii="仿宋_GB2312" w:hAnsi="仿宋_GB2312" w:eastAsia="仿宋_GB2312" w:cs="仿宋_GB2312"/>
          <w:bCs/>
          <w:color w:val="auto"/>
          <w:sz w:val="32"/>
          <w:szCs w:val="32"/>
          <w:highlight w:val="none"/>
        </w:rPr>
        <w:t>严格控制用水量增长，优化分配水资源，控制延庆新城等地区地下水开采量。</w:t>
      </w:r>
      <w:r>
        <w:rPr>
          <w:rFonts w:hint="eastAsia" w:ascii="仿宋_GB2312" w:hAnsi="仿宋_GB2312" w:eastAsia="仿宋_GB2312" w:cs="仿宋_GB2312"/>
          <w:color w:val="auto"/>
          <w:sz w:val="32"/>
          <w:szCs w:val="32"/>
          <w:highlight w:val="none"/>
        </w:rPr>
        <w:t>通过调整种植结构，减少高耗水作物种植面积，推广节水灌溉技术，提高农业用水效率。加大再生水利用力度，在工业生产、城市景观、道路喷洒等领域，优先使用再生水，减少对地下水的依赖。</w:t>
      </w:r>
    </w:p>
    <w:p>
      <w:pPr>
        <w:pStyle w:val="63"/>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保障饮用水水源水质安全。</w:t>
      </w:r>
      <w:r>
        <w:rPr>
          <w:rFonts w:hint="eastAsia" w:ascii="仿宋_GB2312" w:hAnsi="仿宋_GB2312" w:eastAsia="仿宋_GB2312" w:cs="仿宋_GB2312"/>
          <w:color w:val="auto"/>
          <w:sz w:val="32"/>
          <w:szCs w:val="32"/>
          <w:highlight w:val="none"/>
        </w:rPr>
        <w:t>加强饮用水水源地规范化建设。持续</w:t>
      </w:r>
      <w:r>
        <w:rPr>
          <w:rFonts w:hint="eastAsia" w:ascii="仿宋_GB2312" w:eastAsia="仿宋_GB2312"/>
          <w:color w:val="auto"/>
          <w:sz w:val="32"/>
          <w:szCs w:val="32"/>
          <w:highlight w:val="none"/>
        </w:rPr>
        <w:t>开展全区饮用水水源地环境状况年度调查评估，实现水源地“一源一档”动态管理。</w:t>
      </w:r>
      <w:r>
        <w:rPr>
          <w:rFonts w:hint="eastAsia" w:ascii="仿宋_GB2312" w:hAnsi="仿宋_GB2312" w:eastAsia="仿宋_GB2312" w:cs="仿宋_GB2312"/>
          <w:color w:val="auto"/>
          <w:sz w:val="32"/>
          <w:szCs w:val="32"/>
          <w:highlight w:val="none"/>
        </w:rPr>
        <w:t>强化饮用水水源水质分级分类监测。加强地表水型饮用水水源地预警监控能力建设。统筹推进新污染物环境风险管理。</w:t>
      </w:r>
    </w:p>
    <w:p>
      <w:pPr>
        <w:pStyle w:val="63"/>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保障官厅水库水质安全。</w:t>
      </w:r>
      <w:r>
        <w:rPr>
          <w:rFonts w:hint="eastAsia" w:ascii="仿宋_GB2312" w:hAnsi="仿宋_GB2312" w:eastAsia="仿宋_GB2312" w:cs="仿宋_GB2312"/>
          <w:color w:val="auto"/>
          <w:sz w:val="32"/>
          <w:szCs w:val="32"/>
          <w:highlight w:val="none"/>
        </w:rPr>
        <w:t>积极实施永定河综合治理工程和官厅水库及周边生态修复。协助推进库滨带生态修复工程，在库滨带种植耐水湿、净化能力强的植物，构建生态缓冲带，拦截和净化入湖污染物。加强对官厅水库延庆辖区流域内污染源管控，对工业企业、农业面源等进行全面排查整治，确保入库水质达标。</w:t>
      </w:r>
    </w:p>
    <w:p>
      <w:pPr>
        <w:pStyle w:val="63"/>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提高白河堡水库水源涵养功能。</w:t>
      </w:r>
      <w:r>
        <w:rPr>
          <w:rFonts w:hint="eastAsia" w:ascii="仿宋_GB2312" w:hAnsi="仿宋_GB2312" w:eastAsia="仿宋_GB2312" w:cs="仿宋_GB2312"/>
          <w:color w:val="auto"/>
          <w:sz w:val="32"/>
          <w:szCs w:val="32"/>
          <w:highlight w:val="none"/>
        </w:rPr>
        <w:t>落实北京市密云水库上游地区空间保护规划中涉及延庆区的任务措施，稳定生态系统格局，提升水源涵养功能。加大对水库周边生态系统保护和修复力度，种植适合本地生长的水生植物，提升水体自净能力。同时，加强对周边居民环保宣传教育，提高居民水源保护意识。</w:t>
      </w:r>
    </w:p>
    <w:p>
      <w:pPr>
        <w:spacing w:line="560" w:lineRule="exact"/>
        <w:ind w:firstLine="643" w:firstLineChars="200"/>
        <w:rPr>
          <w:rFonts w:hint="eastAsia"/>
          <w:color w:val="auto"/>
          <w:sz w:val="32"/>
          <w:szCs w:val="32"/>
          <w:highlight w:val="none"/>
        </w:rPr>
      </w:pPr>
      <w:r>
        <w:rPr>
          <w:rFonts w:hint="eastAsia" w:ascii="仿宋_GB2312" w:hAnsi="仿宋_GB2312" w:eastAsia="仿宋_GB2312" w:cs="仿宋_GB2312"/>
          <w:b/>
          <w:bCs/>
          <w:color w:val="auto"/>
          <w:sz w:val="32"/>
          <w:szCs w:val="32"/>
          <w:highlight w:val="none"/>
        </w:rPr>
        <w:t>多领域节约用水。</w:t>
      </w:r>
      <w:r>
        <w:rPr>
          <w:rFonts w:hint="eastAsia" w:ascii="仿宋_GB2312" w:hAnsi="仿宋_GB2312" w:eastAsia="仿宋_GB2312" w:cs="仿宋_GB2312"/>
          <w:color w:val="auto"/>
          <w:sz w:val="32"/>
          <w:szCs w:val="32"/>
          <w:highlight w:val="none"/>
        </w:rPr>
        <w:t>严格落实用水全过程精细化管理，强化节水监督考核，进一步降低供水管网漏损。大力推进高效节水灌溉。严控高耗水服务业用水，推进园林绿化精细化用水管理，并加大非常规水利用规模。支持工业企业节水改造和园区水循环阶梯利用。加强生态用水计量、收费管理。扩大再生水利用规模，推进工业生产、园林绿化、市政、车辆冲洗及生态景观等领域优先使用再生水，到2030年，全区地区用水量及再生水资源利用量满足市级用水管控要求。</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96" w:name="_Toc206336511"/>
      <w:bookmarkStart w:id="97" w:name="_Toc204014695"/>
      <w:bookmarkStart w:id="98" w:name="_Toc203892637"/>
      <w:bookmarkStart w:id="99" w:name="_Toc211871739"/>
      <w:bookmarkStart w:id="100" w:name="_Toc32411"/>
      <w:r>
        <w:rPr>
          <w:rFonts w:hint="eastAsia" w:ascii="黑体" w:hAnsi="黑体" w:cs="黑体"/>
          <w:b w:val="0"/>
          <w:bCs/>
          <w:color w:val="auto"/>
          <w:highlight w:val="none"/>
        </w:rPr>
        <w:t>三、持续深入打好净土保卫战。</w:t>
      </w:r>
      <w:bookmarkEnd w:id="96"/>
      <w:bookmarkEnd w:id="97"/>
      <w:bookmarkEnd w:id="98"/>
      <w:bookmarkEnd w:id="99"/>
      <w:bookmarkEnd w:id="100"/>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01" w:name="_Toc203892638"/>
      <w:r>
        <w:rPr>
          <w:rFonts w:hint="eastAsia" w:ascii="楷体_GB2312" w:hAnsi="楷体_GB2312" w:eastAsia="楷体_GB2312" w:cs="楷体_GB2312"/>
          <w:color w:val="auto"/>
          <w:sz w:val="32"/>
          <w:szCs w:val="32"/>
          <w:highlight w:val="none"/>
        </w:rPr>
        <w:t>（一）持续加大土壤保护</w:t>
      </w:r>
      <w:bookmarkEnd w:id="101"/>
      <w:r>
        <w:rPr>
          <w:rFonts w:hint="eastAsia" w:ascii="楷体_GB2312" w:hAnsi="楷体_GB2312" w:eastAsia="楷体_GB2312" w:cs="楷体_GB2312"/>
          <w:color w:val="auto"/>
          <w:sz w:val="32"/>
          <w:szCs w:val="32"/>
          <w:highlight w:val="none"/>
        </w:rPr>
        <w:t>力度</w:t>
      </w:r>
    </w:p>
    <w:p>
      <w:pPr>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严格空间布局管控。</w:t>
      </w:r>
      <w:r>
        <w:rPr>
          <w:rFonts w:hint="eastAsia" w:ascii="仿宋_GB2312" w:hAnsi="仿宋_GB2312" w:eastAsia="仿宋_GB2312" w:cs="仿宋_GB2312"/>
          <w:color w:val="auto"/>
          <w:sz w:val="32"/>
          <w:szCs w:val="32"/>
          <w:highlight w:val="none"/>
        </w:rPr>
        <w:t>科学布局、统筹规划，优先规划土壤污染低风险用地。</w:t>
      </w:r>
      <w:r>
        <w:rPr>
          <w:rFonts w:hint="eastAsia" w:ascii="仿宋_GB2312" w:hAnsi="仿宋_GB2312" w:eastAsia="仿宋_GB2312" w:cs="仿宋_GB2312"/>
          <w:color w:val="auto"/>
          <w:sz w:val="32"/>
          <w:szCs w:val="32"/>
          <w:highlight w:val="none"/>
          <w:lang w:val="zh-CN"/>
        </w:rPr>
        <w:t>重点地块信息纳入国土空间规划“一张图”，敏感区周边优先布局低风险用地，风险地块规划为非敏感用地。</w:t>
      </w:r>
      <w:r>
        <w:rPr>
          <w:rFonts w:hint="eastAsia" w:ascii="仿宋_GB2312" w:hAnsi="仿宋_GB2312" w:eastAsia="仿宋_GB2312" w:cs="仿宋_GB2312"/>
          <w:color w:val="auto"/>
          <w:sz w:val="32"/>
          <w:szCs w:val="32"/>
          <w:highlight w:val="none"/>
        </w:rPr>
        <w:t>在土壤污染高风险用地周边，避免规划敏感用地，确需规划的，提前做好风险防控。</w:t>
      </w:r>
    </w:p>
    <w:p>
      <w:pPr>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严格未利用地保护。</w:t>
      </w:r>
      <w:r>
        <w:rPr>
          <w:rFonts w:hint="eastAsia" w:ascii="仿宋_GB2312" w:eastAsia="仿宋_GB2312"/>
          <w:color w:val="auto"/>
          <w:sz w:val="32"/>
          <w:szCs w:val="32"/>
          <w:highlight w:val="none"/>
        </w:rPr>
        <w:t>更新未利用地地块管理台账，完善对未利用地的监督管理。</w:t>
      </w:r>
      <w:r>
        <w:rPr>
          <w:rFonts w:hint="eastAsia" w:ascii="仿宋_GB2312" w:hAnsi="仿宋_GB2312" w:eastAsia="仿宋_GB2312" w:cs="仿宋_GB2312"/>
          <w:color w:val="auto"/>
          <w:sz w:val="32"/>
          <w:szCs w:val="32"/>
          <w:highlight w:val="none"/>
          <w:lang w:val="zh-CN"/>
        </w:rPr>
        <w:t>强化未利用地土壤保护，结合未利用地土壤状况调查结果，开展日常巡查和专项检查。加强尾矿库和尾矿砂堆周边土壤环境管理，销库前开展土壤监测评价，强化隐患排查整改。</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（二）持续加强土壤污染预防</w:t>
      </w:r>
    </w:p>
    <w:p>
      <w:pPr>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bookmarkStart w:id="102" w:name="OLE_LINK4"/>
      <w:r>
        <w:rPr>
          <w:rFonts w:hint="eastAsia" w:ascii="仿宋_GB2312" w:hAnsi="仿宋_GB2312" w:eastAsia="仿宋_GB2312" w:cs="仿宋_GB2312"/>
          <w:b/>
          <w:color w:val="auto"/>
          <w:sz w:val="32"/>
          <w:szCs w:val="32"/>
          <w:highlight w:val="none"/>
        </w:rPr>
        <w:t>加大农用地土壤污染预防。</w:t>
      </w:r>
      <w:r>
        <w:rPr>
          <w:rFonts w:hint="eastAsia" w:ascii="仿宋_GB2312" w:hAnsi="仿宋_GB2312" w:eastAsia="仿宋_GB2312" w:cs="仿宋_GB2312"/>
          <w:color w:val="auto"/>
          <w:sz w:val="32"/>
          <w:szCs w:val="32"/>
          <w:highlight w:val="none"/>
        </w:rPr>
        <w:t>坚持预防为主保护优先，严格农用地土壤污染预防，深入推进化肥农药减量增效，全面建立废旧农膜和农药、肥料包装废弃物回收处置体系，进一步提升并保持农药包装废弃物回收处置率和覆盖率。</w:t>
      </w:r>
      <w:r>
        <w:rPr>
          <w:rFonts w:hint="eastAsia" w:ascii="仿宋_GB2312" w:hAnsi="仿宋_GB2312" w:eastAsia="仿宋_GB2312" w:cs="仿宋_GB2312"/>
          <w:color w:val="auto"/>
          <w:sz w:val="32"/>
          <w:szCs w:val="32"/>
          <w:highlight w:val="none"/>
          <w:lang w:val="zh-CN"/>
        </w:rPr>
        <w:t>全年覆盖监测耕地，加密历史超标点位监测，建立“土壤-作物”协同网络，引入便携式检测仪提升响应效率。</w:t>
      </w:r>
      <w:r>
        <w:rPr>
          <w:rFonts w:hint="eastAsia" w:ascii="仿宋_GB2312" w:hAnsi="仿宋_GB2312" w:eastAsia="仿宋_GB2312" w:cs="仿宋_GB2312"/>
          <w:color w:val="auto"/>
          <w:sz w:val="32"/>
          <w:szCs w:val="32"/>
          <w:highlight w:val="none"/>
        </w:rPr>
        <w:t>升级养殖场处理设施，配套沼气工程与有机肥厂。</w:t>
      </w:r>
    </w:p>
    <w:bookmarkEnd w:id="102"/>
    <w:p>
      <w:pPr>
        <w:adjustRightInd w:val="0"/>
        <w:snapToGrid w:val="0"/>
        <w:spacing w:line="560" w:lineRule="exact"/>
        <w:ind w:firstLine="643" w:firstLineChars="200"/>
        <w:rPr>
          <w:rFonts w:ascii="仿宋_GB2312" w:hAnsi="Times New Roman" w:eastAsia="仿宋_GB2312" w:cs="Times New Roman"/>
          <w:color w:val="auto"/>
          <w:sz w:val="32"/>
          <w:szCs w:val="32"/>
          <w:highlight w:val="none"/>
        </w:rPr>
      </w:pPr>
      <w:r>
        <w:rPr>
          <w:rFonts w:hint="eastAsia" w:ascii="仿宋_GB2312" w:hAnsi="仿宋_GB2312" w:eastAsia="仿宋_GB2312" w:cs="仿宋_GB2312"/>
          <w:b/>
          <w:color w:val="auto"/>
          <w:sz w:val="32"/>
          <w:szCs w:val="32"/>
          <w:highlight w:val="none"/>
        </w:rPr>
        <w:t>严格工业企业和园区土壤污染预防。</w:t>
      </w:r>
      <w:r>
        <w:rPr>
          <w:rFonts w:hint="eastAsia" w:ascii="仿宋_GB2312" w:hAnsi="仿宋_GB2312" w:eastAsia="仿宋_GB2312" w:cs="仿宋_GB2312"/>
          <w:color w:val="auto"/>
          <w:sz w:val="32"/>
          <w:szCs w:val="32"/>
          <w:highlight w:val="none"/>
        </w:rPr>
        <w:t>动态更新土壤污染重点监管单位名录，督促重点监管单位履行土壤污染防治义务，</w:t>
      </w:r>
      <w:bookmarkStart w:id="103" w:name="_Hlk215589105"/>
      <w:r>
        <w:rPr>
          <w:rFonts w:hint="eastAsia" w:ascii="仿宋_GB2312" w:hAnsi="仿宋_GB2312" w:eastAsia="仿宋_GB2312" w:cs="仿宋_GB2312"/>
          <w:color w:val="auto"/>
          <w:sz w:val="32"/>
          <w:szCs w:val="32"/>
          <w:highlight w:val="none"/>
        </w:rPr>
        <w:t>加强工业园区土壤污染管理，督促园区制定土壤污染防治工作方案。</w:t>
      </w:r>
      <w:bookmarkEnd w:id="103"/>
      <w:r>
        <w:rPr>
          <w:rFonts w:hint="eastAsia" w:ascii="仿宋_GB2312" w:hAnsi="Times New Roman" w:eastAsia="仿宋_GB2312" w:cs="Times New Roman"/>
          <w:color w:val="auto"/>
          <w:sz w:val="32"/>
          <w:szCs w:val="32"/>
          <w:highlight w:val="none"/>
        </w:rPr>
        <w:t>对重点监管企业周边土壤实施“土壤</w:t>
      </w:r>
      <w:r>
        <w:rPr>
          <w:rFonts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rPr>
        <w:t>地下水监测”，安装在线监测设备，实时监控重金属、挥发性有机物等指标。</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（三）持续深化土壤污染管控</w:t>
      </w:r>
    </w:p>
    <w:p>
      <w:pPr>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深入开展农用地分类管理。</w:t>
      </w:r>
      <w:r>
        <w:rPr>
          <w:rFonts w:hint="eastAsia" w:ascii="仿宋_GB2312" w:hAnsi="仿宋_GB2312" w:eastAsia="仿宋_GB2312" w:cs="仿宋_GB2312"/>
          <w:color w:val="auto"/>
          <w:sz w:val="32"/>
          <w:szCs w:val="32"/>
          <w:highlight w:val="none"/>
          <w:lang w:val="zh-CN"/>
        </w:rPr>
        <w:t>深入开展农用地分类管理。建立优先保护、安全利用、严格管控三类耕地动态清单，分类落实保护、防控及用途调整措施，规范拟垦耕地调查与表土利用。对未利用地、复垦土地等拟开垦为耕地的，依法开展土壤污染状况调查，纳入分类管理清单。加强设施农业用地风险管控与治理。开展设施农业用地土壤、食用农产品协同监测，依结果采取风险管控。</w:t>
      </w:r>
    </w:p>
    <w:p>
      <w:pPr>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强化建设用地风险防控。</w:t>
      </w:r>
      <w:r>
        <w:rPr>
          <w:rFonts w:hint="eastAsia" w:ascii="仿宋_GB2312" w:hAnsi="仿宋_GB2312" w:eastAsia="仿宋_GB2312" w:cs="仿宋_GB2312"/>
          <w:color w:val="auto"/>
          <w:sz w:val="32"/>
          <w:szCs w:val="32"/>
          <w:highlight w:val="none"/>
          <w:lang w:val="zh-CN"/>
        </w:rPr>
        <w:t>动态更新建设用地风险管控和修复名录，规范编制风险管控和治理修复方案。强化“过程”管理，利用“多规合一”平台强化多部门联动监管。全过程管控受污染建设用地风险，建立关停企业用地筛查台账。</w:t>
      </w:r>
    </w:p>
    <w:p>
      <w:pPr>
        <w:adjustRightInd w:val="0"/>
        <w:snapToGrid w:val="0"/>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加强污染地块全链条管理。</w:t>
      </w:r>
      <w:r>
        <w:rPr>
          <w:rFonts w:hint="eastAsia" w:ascii="仿宋_GB2312" w:hAnsi="仿宋_GB2312" w:eastAsia="仿宋_GB2312" w:cs="仿宋_GB2312"/>
          <w:color w:val="auto"/>
          <w:sz w:val="32"/>
          <w:szCs w:val="32"/>
          <w:highlight w:val="none"/>
        </w:rPr>
        <w:t>更新优先监管地块清单，将重点关注企业的污染地块纳入重点管控。对拟变更为住宅、公共管理与公共服务用地的地块，实施100%土壤污染状况调查，杜绝违规开发，筑牢美丽延庆安全底线。对关停的加油站开展地下储罐隐患排查，完成土壤和地下水污染评估，确保风险可控，助力打造“和美共生”的生态空间。</w:t>
      </w:r>
      <w:r>
        <w:rPr>
          <w:rFonts w:hint="eastAsia" w:ascii="仿宋_GB2312" w:hAnsi="仿宋_GB2312" w:eastAsia="仿宋_GB2312" w:cs="仿宋_GB2312"/>
          <w:color w:val="auto"/>
          <w:kern w:val="2"/>
          <w:sz w:val="32"/>
          <w:szCs w:val="32"/>
          <w:highlight w:val="none"/>
        </w:rPr>
        <w:t>加强</w:t>
      </w:r>
      <w:r>
        <w:rPr>
          <w:rFonts w:hint="eastAsia" w:ascii="仿宋_GB2312" w:hAnsi="仿宋_GB2312" w:eastAsia="仿宋_GB2312" w:cs="仿宋_GB2312"/>
          <w:color w:val="auto"/>
          <w:kern w:val="2"/>
          <w:sz w:val="32"/>
          <w:szCs w:val="32"/>
          <w:highlight w:val="none"/>
          <w:lang w:val="en-US" w:eastAsia="zh-CN"/>
        </w:rPr>
        <w:t>土壤</w:t>
      </w:r>
      <w:r>
        <w:rPr>
          <w:rFonts w:hint="eastAsia" w:ascii="仿宋_GB2312" w:hAnsi="仿宋_GB2312" w:eastAsia="仿宋_GB2312" w:cs="仿宋_GB2312"/>
          <w:color w:val="auto"/>
          <w:kern w:val="2"/>
          <w:sz w:val="32"/>
          <w:szCs w:val="32"/>
          <w:highlight w:val="none"/>
        </w:rPr>
        <w:t>修复过程监督管理</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强化</w:t>
      </w:r>
      <w:r>
        <w:rPr>
          <w:rFonts w:hint="eastAsia" w:ascii="仿宋_GB2312" w:hAnsi="仿宋_GB2312" w:eastAsia="仿宋_GB2312" w:cs="仿宋_GB2312"/>
          <w:color w:val="auto"/>
          <w:kern w:val="2"/>
          <w:sz w:val="32"/>
          <w:szCs w:val="32"/>
          <w:highlight w:val="none"/>
        </w:rPr>
        <w:t>土壤污染治理监督检查和施工安全监督检查。</w:t>
      </w:r>
    </w:p>
    <w:p>
      <w:pPr>
        <w:tabs>
          <w:tab w:val="left" w:pos="720"/>
          <w:tab w:val="left" w:pos="1440"/>
        </w:tabs>
        <w:spacing w:line="560" w:lineRule="exact"/>
        <w:ind w:firstLine="643"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b/>
          <w:bCs/>
          <w:color w:val="auto"/>
          <w:sz w:val="32"/>
          <w:szCs w:val="32"/>
          <w:highlight w:val="none"/>
        </w:rPr>
        <w:t>建立健全监测与智慧监管体系。</w:t>
      </w:r>
      <w:r>
        <w:rPr>
          <w:rFonts w:hint="eastAsia" w:ascii="仿宋_GB2312" w:hAnsi="Times New Roman" w:eastAsia="仿宋_GB2312" w:cs="Times New Roman"/>
          <w:color w:val="auto"/>
          <w:sz w:val="32"/>
          <w:szCs w:val="32"/>
          <w:highlight w:val="none"/>
        </w:rPr>
        <w:t>升级现有土壤监测点位，新增风险预警点位，集成卫星遥感（监测土壤裸露与植被覆盖变化）、无人机巡查（识别非法排污）和地面监测数据，构建智慧监管平台。实现土壤环境数据与市级平台实时互通，建立污染风险预警模型。对重点区域定期开展突击检查，严厉打击非法倾倒、超标排放等行为。</w:t>
      </w:r>
    </w:p>
    <w:p>
      <w:pPr>
        <w:tabs>
          <w:tab w:val="left" w:pos="720"/>
          <w:tab w:val="left" w:pos="1440"/>
        </w:tabs>
        <w:spacing w:line="560" w:lineRule="exact"/>
        <w:ind w:firstLine="643"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b/>
          <w:bCs/>
          <w:color w:val="auto"/>
          <w:sz w:val="32"/>
          <w:szCs w:val="32"/>
          <w:highlight w:val="none"/>
        </w:rPr>
        <w:t>强化科技支撑与公众参与。</w:t>
      </w:r>
      <w:r>
        <w:rPr>
          <w:rFonts w:hint="eastAsia" w:ascii="仿宋_GB2312" w:hAnsi="Times New Roman" w:eastAsia="仿宋_GB2312" w:cs="Times New Roman"/>
          <w:color w:val="auto"/>
          <w:sz w:val="32"/>
          <w:szCs w:val="32"/>
          <w:highlight w:val="none"/>
        </w:rPr>
        <w:t>持续推进产学研合作与技术推广，联合科研机构攻关重金属低浓度修复、有机污染生物降解等技术，建立技术示范基地。开展土壤污染防治培训，培养专业人才，提升基层监管技术水平。建立土壤环境信息公开制度，定期发布土壤质量、修复进展等信息。组建“土壤保护志愿者”队伍，强化公众参与，形成全社会参与共治格局。</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04" w:name="_Hlk216438579"/>
      <w:r>
        <w:rPr>
          <w:rFonts w:hint="eastAsia" w:ascii="楷体_GB2312" w:hAnsi="楷体_GB2312" w:eastAsia="楷体_GB2312" w:cs="楷体_GB2312"/>
          <w:color w:val="auto"/>
          <w:sz w:val="32"/>
          <w:szCs w:val="32"/>
          <w:highlight w:val="none"/>
        </w:rPr>
        <w:t>（四）推进沃土培育深化升级</w:t>
      </w:r>
    </w:p>
    <w:bookmarkEnd w:id="104"/>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提质筑牢沃土根基推动耕地质量升级。</w:t>
      </w:r>
      <w:r>
        <w:rPr>
          <w:rFonts w:hint="eastAsia" w:ascii="仿宋_GB2312" w:hAnsi="仿宋_GB2312" w:eastAsia="仿宋_GB2312" w:cs="仿宋_GB2312"/>
          <w:color w:val="auto"/>
          <w:sz w:val="32"/>
          <w:szCs w:val="32"/>
          <w:highlight w:val="none"/>
        </w:rPr>
        <w:t>加强农用地分类管理，动态调整耕地土壤环境质量类别。实施耕地有机质提升行动，以提质为核心，推进高标准农田建设中的土壤改良、配肥工程。通过深耕翻整、有机肥施用等定向培肥措施提升地力，分区优化土壤有机质含量目标，推动耕地质量等级稳步提升。聚焦农业主产区，系统补齐灌排设施短板，推进高效节水改造升级，强化水土保持与生态防护措施，为沃土培育夯实硬件保障，助力农业用地结构优化与可持续利用。</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bookmarkStart w:id="105" w:name="_Toc211871740"/>
      <w:r>
        <w:rPr>
          <w:rFonts w:hint="eastAsia" w:ascii="仿宋_GB2312" w:hAnsi="仿宋_GB2312" w:eastAsia="仿宋_GB2312" w:cs="仿宋_GB2312"/>
          <w:b/>
          <w:bCs/>
          <w:color w:val="auto"/>
          <w:sz w:val="32"/>
          <w:szCs w:val="32"/>
          <w:highlight w:val="none"/>
        </w:rPr>
        <w:t>以科技赋能促进农业品质跨越升级。</w:t>
      </w:r>
      <w:r>
        <w:rPr>
          <w:rFonts w:hint="eastAsia" w:ascii="仿宋_GB2312" w:hAnsi="仿宋_GB2312" w:eastAsia="仿宋_GB2312" w:cs="仿宋_GB2312"/>
          <w:color w:val="auto"/>
          <w:sz w:val="32"/>
          <w:szCs w:val="32"/>
          <w:highlight w:val="none"/>
        </w:rPr>
        <w:t>深化农业从“保安全”向“提品质”转型。积极推广精准灌溉施肥等技术，构建“高产出、高品质、智能化”农田示范区，通过科技赋能土壤地力提升，助力生态农业高质量发展。建立土壤质量动态监测网络，联动农产品质量安全网格化监管体系，将关键土壤指标纳入常态化巡查。以区域农业品牌为牵引，推动改良土壤产出的优质农产品溢价增值，通过科技赋能与品牌带动，构建生态涵养区沃土培育与农业高质量发展融合样板。</w:t>
      </w:r>
      <w:bookmarkEnd w:id="105"/>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106" w:name="_Toc211871741"/>
      <w:bookmarkStart w:id="107" w:name="_Toc204014696"/>
      <w:bookmarkStart w:id="108" w:name="_Toc206336512"/>
      <w:bookmarkStart w:id="109" w:name="_Toc14430"/>
      <w:r>
        <w:rPr>
          <w:rFonts w:hint="eastAsia" w:ascii="黑体" w:hAnsi="黑体" w:cs="黑体"/>
          <w:b w:val="0"/>
          <w:bCs/>
          <w:color w:val="auto"/>
          <w:highlight w:val="none"/>
        </w:rPr>
        <w:t>四、深化噪声、异味、光污染</w:t>
      </w:r>
      <w:r>
        <w:rPr>
          <w:rFonts w:hint="eastAsia" w:ascii="黑体" w:hAnsi="黑体" w:cs="黑体"/>
          <w:b w:val="0"/>
          <w:bCs/>
          <w:color w:val="auto"/>
          <w:highlight w:val="none"/>
          <w:lang w:eastAsia="zh-CN"/>
        </w:rPr>
        <w:t>治理</w:t>
      </w:r>
      <w:bookmarkEnd w:id="106"/>
      <w:bookmarkEnd w:id="107"/>
      <w:bookmarkEnd w:id="108"/>
      <w:bookmarkEnd w:id="109"/>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加强交通噪声污染防控。</w:t>
      </w:r>
      <w:r>
        <w:rPr>
          <w:rFonts w:hint="eastAsia" w:ascii="仿宋_GB2312" w:hAnsi="仿宋_GB2312" w:eastAsia="仿宋_GB2312" w:cs="仿宋_GB2312"/>
          <w:color w:val="auto"/>
          <w:sz w:val="32"/>
          <w:szCs w:val="32"/>
          <w:highlight w:val="none"/>
        </w:rPr>
        <w:t>制定缓解交通噪声工作方案，确保噪声敏感区声功能达标；加强对机动车辆的交通管理，持续开展“消声静路”噪声整治专项行动，打击机动车以轰鸣、疾驶噪声扰民违法行为。加强国道234（兴阳线），大秦铁路、妫川路等百姓投诉集中区域的噪声污染防治工作。</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严格控制施工噪声污染。</w:t>
      </w:r>
      <w:r>
        <w:rPr>
          <w:rFonts w:hint="eastAsia" w:ascii="仿宋_GB2312" w:hAnsi="仿宋_GB2312" w:eastAsia="仿宋_GB2312" w:cs="仿宋_GB2312"/>
          <w:color w:val="auto"/>
          <w:sz w:val="32"/>
          <w:szCs w:val="32"/>
          <w:highlight w:val="none"/>
        </w:rPr>
        <w:t>推广使用低噪声建筑施工设备和工艺，合理安排施工进度，避免夜间施工，探索使用</w:t>
      </w:r>
      <w:r>
        <w:rPr>
          <w:rFonts w:hint="eastAsia" w:ascii="仿宋_GB2312" w:hAnsi="仿宋_GB2312" w:eastAsia="仿宋_GB2312" w:cs="仿宋_GB2312"/>
          <w:color w:val="auto"/>
          <w:sz w:val="32"/>
          <w:szCs w:val="32"/>
          <w:highlight w:val="none"/>
          <w:lang w:val="zh-CN"/>
        </w:rPr>
        <w:t>基坑气膜防噪工艺，</w:t>
      </w:r>
      <w:r>
        <w:rPr>
          <w:rFonts w:hint="eastAsia" w:ascii="仿宋_GB2312" w:hAnsi="仿宋_GB2312" w:eastAsia="仿宋_GB2312" w:cs="仿宋_GB2312"/>
          <w:color w:val="auto"/>
          <w:sz w:val="32"/>
          <w:szCs w:val="32"/>
          <w:highlight w:val="none"/>
        </w:rPr>
        <w:t>加大查处违法夜间施工噪声扰民行为。</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强化社会生活噪声管控。</w:t>
      </w:r>
      <w:r>
        <w:rPr>
          <w:rFonts w:hint="eastAsia" w:ascii="仿宋_GB2312" w:hAnsi="仿宋_GB2312" w:eastAsia="仿宋_GB2312" w:cs="仿宋_GB2312"/>
          <w:color w:val="auto"/>
          <w:sz w:val="32"/>
          <w:szCs w:val="32"/>
          <w:highlight w:val="none"/>
        </w:rPr>
        <w:t>开展餐饮油烟净化设备、空调、风机、冷却塔等固定声源噪声扰民专项执法行动。强化装修、公园广场文体活动噪声的劝导和监管，督促公共场所管理者合理规定娱乐健身等活动的区域、时段、音量并进行公告。持续开展中、高考等特殊时段噪声污染专项检查。加强噪声敏感建筑物集中区域内餐饮业、娱乐业、商业等噪声污染源管控，对影响居民生活的固定声源进行综合治理。落实新建居住用房买卖合同中明确住房的共用设施设备位置和建筑隔声情况要求，加强居民住宅区电梯、水泵、变压器等共用设施设备噪声扰民治理。</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防止工业噪声污染。</w:t>
      </w:r>
      <w:r>
        <w:rPr>
          <w:rFonts w:hint="eastAsia" w:ascii="仿宋_GB2312" w:hAnsi="仿宋_GB2312" w:eastAsia="仿宋_GB2312" w:cs="仿宋_GB2312"/>
          <w:color w:val="auto"/>
          <w:sz w:val="32"/>
          <w:szCs w:val="32"/>
          <w:highlight w:val="none"/>
        </w:rPr>
        <w:t>加强工业企业外排噪声监督性监测，加强敏感建筑物周边区域建设项目环评审批，工业企业应当采取有效措施防止工业噪声污染。</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提高噪声污染管理能力。</w:t>
      </w:r>
      <w:r>
        <w:rPr>
          <w:rFonts w:hint="eastAsia" w:ascii="仿宋_GB2312" w:hAnsi="仿宋_GB2312" w:eastAsia="仿宋_GB2312" w:cs="仿宋_GB2312"/>
          <w:color w:val="auto"/>
          <w:sz w:val="32"/>
          <w:szCs w:val="32"/>
          <w:highlight w:val="none"/>
        </w:rPr>
        <w:t>精准施策破解群众反映的噪声难题，提升街乡噪声扰民纠纷化解能力，加强重点区域噪声污染防治工作，推广被动治理向正向引导转变的社区噪声共治模式，探索共享服务家、公益琴房、广场舞定向音响等技术应用。针对重点点位，协同规划、交管部门做好规划布局，车辆导向等工作，制定实施噪声达标方案，重点保障功能区声环境夜间达标率。</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聚焦百姓关切治理异味。</w:t>
      </w:r>
      <w:r>
        <w:rPr>
          <w:rFonts w:ascii="仿宋_GB2312" w:hAnsi="仿宋_GB2312" w:eastAsia="仿宋_GB2312" w:cs="仿宋_GB2312"/>
          <w:color w:val="auto"/>
          <w:sz w:val="32"/>
          <w:szCs w:val="32"/>
          <w:highlight w:val="none"/>
        </w:rPr>
        <w:t>探索生态环境分区管控与群众诉求响应机制协同，加强对有关行业的科学引导，从源头治理油烟、异味等群众身边的环境问题。以</w:t>
      </w:r>
      <w:r>
        <w:rPr>
          <w:rFonts w:hint="eastAsia" w:ascii="仿宋_GB2312" w:hAnsi="仿宋_GB2312" w:eastAsia="仿宋_GB2312" w:cs="仿宋_GB2312"/>
          <w:color w:val="auto"/>
          <w:sz w:val="32"/>
          <w:szCs w:val="32"/>
          <w:highlight w:val="none"/>
        </w:rPr>
        <w:t>城建成区、</w:t>
      </w:r>
      <w:r>
        <w:rPr>
          <w:rFonts w:ascii="仿宋_GB2312" w:hAnsi="仿宋_GB2312" w:eastAsia="仿宋_GB2312" w:cs="仿宋_GB2312"/>
          <w:color w:val="auto"/>
          <w:sz w:val="32"/>
          <w:szCs w:val="32"/>
          <w:highlight w:val="none"/>
        </w:rPr>
        <w:t>景区周边、镇区核心区、城乡结合部为重点区域</w:t>
      </w:r>
      <w:r>
        <w:rPr>
          <w:rFonts w:hint="eastAsia" w:ascii="仿宋_GB2312" w:hAnsi="仿宋_GB2312" w:eastAsia="仿宋_GB2312" w:cs="仿宋_GB2312"/>
          <w:color w:val="auto"/>
          <w:sz w:val="32"/>
          <w:szCs w:val="32"/>
          <w:highlight w:val="none"/>
        </w:rPr>
        <w:t>，加强餐饮业油烟排放管理，切实减少油烟扰民事件发生；加强规模化养殖场、、垃圾转运站、污水处理厂站、填埋场等重点区域臭味排放管理，多部门协同快速解决群众身边异味投诉。</w:t>
      </w:r>
    </w:p>
    <w:p>
      <w:pPr>
        <w:pStyle w:val="63"/>
        <w:adjustRightInd w:val="0"/>
        <w:snapToGrid w:val="0"/>
        <w:spacing w:line="560" w:lineRule="exact"/>
        <w:ind w:firstLine="643"/>
        <w:rPr>
          <w:rFonts w:hint="eastAsia" w:asciiTheme="minorHAnsi" w:hAnsiTheme="minorHAnsi" w:eastAsiaTheme="minorEastAsia" w:cstheme="minorBidi"/>
          <w:color w:val="auto"/>
          <w:sz w:val="21"/>
          <w:szCs w:val="24"/>
          <w:highlight w:val="none"/>
        </w:rPr>
      </w:pPr>
      <w:r>
        <w:rPr>
          <w:rFonts w:hint="eastAsia" w:ascii="仿宋_GB2312" w:hAnsi="仿宋_GB2312" w:eastAsia="仿宋_GB2312" w:cs="仿宋_GB2312"/>
          <w:b/>
          <w:bCs/>
          <w:color w:val="auto"/>
          <w:sz w:val="32"/>
          <w:szCs w:val="32"/>
          <w:highlight w:val="none"/>
        </w:rPr>
        <w:t>积极防治光污染。</w:t>
      </w:r>
      <w:r>
        <w:rPr>
          <w:rFonts w:hint="eastAsia" w:ascii="仿宋_GB2312" w:hAnsi="仿宋_GB2312" w:eastAsia="仿宋_GB2312" w:cs="仿宋_GB2312"/>
          <w:color w:val="auto"/>
          <w:sz w:val="32"/>
          <w:szCs w:val="32"/>
          <w:highlight w:val="none"/>
        </w:rPr>
        <w:t>完善控制玻璃幕墙、釉面砖墙、磨光大理石、铝合金幕墙等各种装饰反射光线产生的光源污染的相关措施，建议居民区附近新建建筑面对居民楼的一侧优先选用低反射率材质，</w:t>
      </w:r>
      <w:bookmarkStart w:id="110" w:name="_Toc203635592"/>
      <w:r>
        <w:rPr>
          <w:rFonts w:ascii="Cambria Math" w:hAnsi="Cambria Math" w:eastAsia="仿宋_GB2312" w:cs="Cambria Math"/>
          <w:color w:val="auto"/>
          <w:sz w:val="32"/>
          <w:szCs w:val="32"/>
          <w:highlight w:val="none"/>
        </w:rPr>
        <w:t>​</w:t>
      </w:r>
      <w:r>
        <w:rPr>
          <w:rFonts w:hint="eastAsia" w:ascii="仿宋_GB2312" w:hAnsi="仿宋_GB2312" w:eastAsia="仿宋_GB2312" w:cs="仿宋_GB2312"/>
          <w:color w:val="auto"/>
          <w:sz w:val="32"/>
          <w:szCs w:val="32"/>
          <w:highlight w:val="none"/>
        </w:rPr>
        <w:t>分区严控景观照明与商业光源，在居住区限制新增景观照明设施；商业配套区域严格执行亮度与辐射范围双标准。</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111" w:name="_Toc204014697"/>
      <w:bookmarkStart w:id="112" w:name="_Toc206336513"/>
      <w:bookmarkStart w:id="113" w:name="_Toc211871742"/>
      <w:bookmarkStart w:id="114" w:name="_Toc31792"/>
      <w:r>
        <w:rPr>
          <w:rFonts w:hint="eastAsia" w:ascii="黑体" w:hAnsi="黑体" w:cs="黑体"/>
          <w:b w:val="0"/>
          <w:bCs/>
          <w:color w:val="auto"/>
          <w:highlight w:val="none"/>
        </w:rPr>
        <w:t>五、全域推进"无废城市"建设</w:t>
      </w:r>
      <w:bookmarkEnd w:id="110"/>
      <w:bookmarkEnd w:id="111"/>
      <w:bookmarkEnd w:id="112"/>
      <w:bookmarkEnd w:id="113"/>
      <w:bookmarkEnd w:id="114"/>
      <w:bookmarkStart w:id="115" w:name="_Hlk206271644"/>
    </w:p>
    <w:bookmarkEnd w:id="115"/>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以“无废城市”建设统筹开展固体废物综合治理。</w:t>
      </w:r>
      <w:r>
        <w:rPr>
          <w:rFonts w:hint="eastAsia" w:ascii="仿宋_GB2312" w:hAnsi="仿宋_GB2312" w:eastAsia="仿宋_GB2312" w:cs="仿宋_GB2312"/>
          <w:color w:val="auto"/>
          <w:sz w:val="32"/>
          <w:szCs w:val="32"/>
          <w:highlight w:val="none"/>
        </w:rPr>
        <w:t>聚焦城乡生活垃圾、农业废弃物、工业固废、建筑垃圾等重点领域，建立分类投放、收集、运输、处理全链条管理机制。完善生活垃圾分类设施布局，强化源头减量宣传教育，加快推进生活垃圾收集转运系统工程建设，建成再生资源分拣中心、乡镇中转站、村级网点，形成再生资源回收三级设施体系。重点推进农业废弃物、秸秆还田、畜禽粪污等农业废弃物综合利用，通过经济手段促进农用塑料薄膜等农业废弃物综合利用。工业固废治理依托中关村延庆园产业优势，推行清洁生产审核，鼓励企业开展固废资源化技术研发，实现工业副产品跨区域协同处置。加强建筑垃圾监管，严厉打击建筑垃圾违规消纳行为，探索完善建筑垃圾循环再利用模式。到2027年，全区建成“无废城市”，国家和北京市有关无废城市建设的目标指标全部实现，在行业企业、社会机构等主体实施和形成一批典型、具有首都特色的“无废细胞”，固体废物综合利用水平显著提升。</w:t>
      </w:r>
    </w:p>
    <w:p>
      <w:pPr>
        <w:pStyle w:val="63"/>
        <w:adjustRightInd w:val="0"/>
        <w:snapToGrid w:val="0"/>
        <w:spacing w:line="560" w:lineRule="exact"/>
        <w:ind w:firstLine="64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持续推进新污染物治理。</w:t>
      </w:r>
      <w:r>
        <w:rPr>
          <w:rFonts w:hint="eastAsia" w:ascii="仿宋_GB2312" w:hAnsi="仿宋_GB2312" w:eastAsia="仿宋_GB2312" w:cs="仿宋_GB2312"/>
          <w:color w:val="auto"/>
          <w:sz w:val="32"/>
          <w:szCs w:val="32"/>
          <w:highlight w:val="none"/>
        </w:rPr>
        <w:t>强化跨部门协调联动，建立由生态环境部门牵头，市场监管、卫健、农业农村等多部门参与协同共治机制，整合企业排污数据、产品抽检结果、监测数据等信息，实现治理全流程数据互通，破解信息壁垒，严格按方案时序推进重点任务落实。按照全市统一部署，持续深化化学物质环境信息统计调查，稳步推进水体、农田微塑料监测试点扩面，优化监测点位布局。深入实施农药使用减量增效行动，加大新药械推广力度，稳步提升农药包装废弃物回收处置水平。创新科普宣传模式提升公众认知。通过政务公众号、社区宣传栏等渠道，引导公众参与新污染物治理监督，构建“政府主导、部门协同、公众参与”的治理格局。</w:t>
      </w:r>
    </w:p>
    <w:p>
      <w:pPr>
        <w:rPr>
          <w:rFonts w:hint="eastAsia"/>
          <w:color w:val="auto"/>
          <w:sz w:val="24"/>
          <w:szCs w:val="32"/>
          <w:highlight w:val="none"/>
        </w:rPr>
        <w:sectPr>
          <w:pgSz w:w="11906" w:h="16838"/>
          <w:pgMar w:top="1440" w:right="1800" w:bottom="1440" w:left="1800" w:header="851" w:footer="992" w:gutter="0"/>
          <w:pgNumType w:fmt="numberInDash"/>
          <w:cols w:space="425" w:num="1"/>
          <w:docGrid w:type="lines" w:linePitch="312" w:charSpace="0"/>
        </w:sectPr>
      </w:pPr>
    </w:p>
    <w:p>
      <w:pPr>
        <w:pStyle w:val="3"/>
        <w:keepNext w:val="0"/>
        <w:keepLines w:val="0"/>
        <w:adjustRightInd w:val="0"/>
        <w:snapToGrid w:val="0"/>
        <w:spacing w:before="0" w:after="0" w:line="560" w:lineRule="exact"/>
        <w:jc w:val="center"/>
        <w:rPr>
          <w:rFonts w:hint="eastAsia" w:ascii="方正小标宋简体" w:hAnsi="方正小标宋简体" w:eastAsia="方正小标宋简体" w:cs="方正小标宋简体"/>
          <w:bCs/>
          <w:color w:val="auto"/>
          <w:kern w:val="44"/>
          <w:sz w:val="44"/>
          <w:szCs w:val="44"/>
          <w:highlight w:val="none"/>
        </w:rPr>
      </w:pPr>
      <w:bookmarkStart w:id="116" w:name="_Toc204014698"/>
      <w:bookmarkStart w:id="117" w:name="_Toc206336514"/>
      <w:bookmarkStart w:id="118" w:name="_Toc203822054"/>
      <w:bookmarkStart w:id="119" w:name="_Toc211871743"/>
      <w:bookmarkStart w:id="120" w:name="_Toc31834"/>
      <w:bookmarkStart w:id="121" w:name="_Toc203635595"/>
      <w:r>
        <w:rPr>
          <w:rFonts w:hint="eastAsia" w:ascii="方正小标宋简体" w:hAnsi="方正小标宋简体" w:eastAsia="方正小标宋简体" w:cs="方正小标宋简体"/>
          <w:bCs/>
          <w:color w:val="auto"/>
          <w:kern w:val="44"/>
          <w:sz w:val="44"/>
          <w:szCs w:val="44"/>
          <w:highlight w:val="none"/>
        </w:rPr>
        <w:t>第五章 生态筑基 夯实生态系统多样性稳定性持续性</w:t>
      </w:r>
      <w:bookmarkEnd w:id="116"/>
      <w:bookmarkEnd w:id="117"/>
      <w:bookmarkEnd w:id="118"/>
      <w:bookmarkEnd w:id="119"/>
      <w:bookmarkEnd w:id="120"/>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bookmarkStart w:id="122" w:name="_Toc203822055"/>
      <w:bookmarkStart w:id="123" w:name="_Toc206336515"/>
      <w:bookmarkStart w:id="124" w:name="_Toc204014699"/>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125" w:name="_Toc211871744"/>
      <w:bookmarkStart w:id="126" w:name="_Toc31789"/>
      <w:r>
        <w:rPr>
          <w:rFonts w:hint="eastAsia" w:ascii="黑体" w:hAnsi="黑体" w:cs="黑体"/>
          <w:b w:val="0"/>
          <w:bCs/>
          <w:color w:val="auto"/>
          <w:highlight w:val="none"/>
        </w:rPr>
        <w:t>一、</w:t>
      </w:r>
      <w:r>
        <w:rPr>
          <w:rFonts w:hint="eastAsia" w:ascii="黑体" w:hAnsi="黑体" w:cs="黑体"/>
          <w:b w:val="0"/>
          <w:bCs/>
          <w:color w:val="auto"/>
          <w:highlight w:val="none"/>
          <w:lang w:eastAsia="zh-CN"/>
        </w:rPr>
        <w:t>持续提升</w:t>
      </w:r>
      <w:r>
        <w:rPr>
          <w:rFonts w:hint="eastAsia" w:ascii="黑体" w:hAnsi="黑体" w:cs="黑体"/>
          <w:b w:val="0"/>
          <w:bCs/>
          <w:color w:val="auto"/>
          <w:highlight w:val="none"/>
        </w:rPr>
        <w:t>生态系统多样性</w:t>
      </w:r>
      <w:bookmarkEnd w:id="122"/>
      <w:bookmarkEnd w:id="123"/>
      <w:bookmarkEnd w:id="124"/>
      <w:bookmarkEnd w:id="125"/>
      <w:bookmarkEnd w:id="126"/>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27" w:name="_Toc28523"/>
      <w:r>
        <w:rPr>
          <w:rFonts w:hint="eastAsia" w:ascii="楷体_GB2312" w:hAnsi="楷体_GB2312" w:eastAsia="楷体_GB2312" w:cs="楷体_GB2312"/>
          <w:color w:val="auto"/>
          <w:sz w:val="32"/>
          <w:szCs w:val="32"/>
          <w:highlight w:val="none"/>
        </w:rPr>
        <w:t>（一）增加水域覆盖</w:t>
      </w:r>
      <w:bookmarkEnd w:id="127"/>
    </w:p>
    <w:p>
      <w:pPr>
        <w:pStyle w:val="2"/>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推进水生态保护与修复，开展密云水库、官厅水库流域生态修复，科学实施生态补水工程和水土保持水毁项目，保障生态基流流量，增加有水河流长度，持续推动流域生态环境复苏。稳步恢复河湖库自然岸线，提升河流横向连通性。加强流域协作，推动联防联保联治。开展湿地植被质量提升工作，维持全区蓝色空间生态稳定。</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28" w:name="_Toc700"/>
      <w:r>
        <w:rPr>
          <w:rFonts w:hint="eastAsia" w:ascii="楷体_GB2312" w:hAnsi="楷体_GB2312" w:eastAsia="楷体_GB2312" w:cs="楷体_GB2312"/>
          <w:color w:val="auto"/>
          <w:sz w:val="32"/>
          <w:szCs w:val="32"/>
          <w:highlight w:val="none"/>
        </w:rPr>
        <w:t>（二）增加植被覆盖</w:t>
      </w:r>
      <w:bookmarkEnd w:id="128"/>
    </w:p>
    <w:p>
      <w:pPr>
        <w:pStyle w:val="2"/>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开展平原生态林管护，通过实施百万亩造林绿化工程，加强天然林保护修复，严控林木采伐，科学经营管理，提升森林覆盖率。探索立体交叉绿岛建设，提升交通绿化水平。全面落实林长制，不断完善“城镇村”一体化绿地森林系统。加强延海协作，高标准建设森林生态公园。不断提高区域植被覆盖水平。</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29" w:name="_Toc5032"/>
      <w:r>
        <w:rPr>
          <w:rFonts w:hint="eastAsia" w:ascii="楷体_GB2312" w:hAnsi="楷体_GB2312" w:eastAsia="楷体_GB2312" w:cs="楷体_GB2312"/>
          <w:color w:val="auto"/>
          <w:sz w:val="32"/>
          <w:szCs w:val="32"/>
          <w:highlight w:val="none"/>
        </w:rPr>
        <w:t>（三）提高植物丰度</w:t>
      </w:r>
      <w:bookmarkEnd w:id="129"/>
    </w:p>
    <w:p>
      <w:pPr>
        <w:pStyle w:val="2"/>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精准识别生态质量提升潜力区，通过开展低效林改造、封山育林、优化林分结构、调整林种组成，形成稳定健康的近自然森林生态系统。开展平原生态林分级分类养护经营，山区森林抚育，实施人防、物防、技防相互补充的林业有害生物防控工程，精准提升森林质量。通过园林绿化改造、公园改造升级，提升绿地面积，提升人均生态空间品质。</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30" w:name="_Toc27451"/>
      <w:r>
        <w:rPr>
          <w:rFonts w:hint="eastAsia" w:ascii="楷体_GB2312" w:hAnsi="楷体_GB2312" w:eastAsia="楷体_GB2312" w:cs="楷体_GB2312"/>
          <w:color w:val="auto"/>
          <w:sz w:val="32"/>
          <w:szCs w:val="32"/>
          <w:highlight w:val="none"/>
        </w:rPr>
        <w:t>（四）提高生物多样性</w:t>
      </w:r>
      <w:bookmarkEnd w:id="130"/>
    </w:p>
    <w:p>
      <w:pPr>
        <w:pStyle w:val="2"/>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通过严守生态保护红线，提升生物多样性保护空间。坚持就地保护为主、迁地保护为辅的原则，确保主要生态系统结构和功能维持。做好生态保育小区建设，促进区域生物多样性恢复和维持。开展生物资源调查，确定重点保护对象和地域，加大珍稀濒危物种、重点物种以及本地物种的保护力度。构建生态林带和生态廊道网格体系，满足物种迁徙需求。加强野生动植物栖息地保护，依法查处破坏陆生野生动植物资源及栖息地、侵占和破坏林木种质资源等违法行为。</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131" w:name="_Toc206336516"/>
      <w:bookmarkStart w:id="132" w:name="_Toc203822056"/>
      <w:bookmarkStart w:id="133" w:name="_Toc204014700"/>
      <w:bookmarkStart w:id="134" w:name="_Toc211871745"/>
      <w:bookmarkStart w:id="135" w:name="_Toc4653"/>
      <w:r>
        <w:rPr>
          <w:rFonts w:hint="eastAsia" w:ascii="黑体" w:hAnsi="黑体" w:cs="黑体"/>
          <w:b w:val="0"/>
          <w:bCs/>
          <w:color w:val="auto"/>
          <w:highlight w:val="none"/>
        </w:rPr>
        <w:t>二、</w:t>
      </w:r>
      <w:r>
        <w:rPr>
          <w:rFonts w:hint="eastAsia" w:ascii="黑体" w:hAnsi="黑体" w:cs="黑体"/>
          <w:b w:val="0"/>
          <w:bCs/>
          <w:color w:val="auto"/>
          <w:highlight w:val="none"/>
          <w:lang w:eastAsia="zh-CN"/>
        </w:rPr>
        <w:t>切实</w:t>
      </w:r>
      <w:r>
        <w:rPr>
          <w:rFonts w:hint="eastAsia" w:ascii="黑体" w:hAnsi="黑体" w:cs="黑体"/>
          <w:b w:val="0"/>
          <w:bCs/>
          <w:color w:val="auto"/>
          <w:highlight w:val="none"/>
        </w:rPr>
        <w:t>维护生态系统稳定性</w:t>
      </w:r>
      <w:bookmarkEnd w:id="131"/>
      <w:bookmarkEnd w:id="132"/>
      <w:bookmarkEnd w:id="133"/>
      <w:bookmarkEnd w:id="134"/>
      <w:bookmarkEnd w:id="135"/>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36" w:name="_Toc23096"/>
      <w:bookmarkStart w:id="137" w:name="_Toc203822057"/>
      <w:bookmarkStart w:id="138" w:name="_Toc204014701"/>
      <w:r>
        <w:rPr>
          <w:rFonts w:hint="eastAsia" w:ascii="楷体_GB2312" w:hAnsi="楷体_GB2312" w:eastAsia="楷体_GB2312" w:cs="楷体_GB2312"/>
          <w:color w:val="auto"/>
          <w:sz w:val="32"/>
          <w:szCs w:val="32"/>
          <w:highlight w:val="none"/>
        </w:rPr>
        <w:t>（一）严守空间管控底线</w:t>
      </w:r>
      <w:bookmarkEnd w:id="136"/>
    </w:p>
    <w:p>
      <w:pPr>
        <w:spacing w:line="560" w:lineRule="exact"/>
        <w:ind w:firstLine="640" w:firstLineChars="200"/>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全面贯彻落实《北京城市总体规划（2016年—2035年）》《延庆分区规划（国土空间规划）（2017年—2035年）》及北京市“三区三线”划定成果，坚持底线思维，严守生态保护红线、永久基本农田和城镇开发边界。结合区域功能定位和发展需要，科学有序推进控制性详细规划编制，推动乡镇国土空间规划落地实施。严格执行国土空间用途管制制度，完善土地用途转用审批机制，加强重要生态空间分类管控与动态监测，推动未利用地实行台账化、闭环式管理。</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39" w:name="_Toc11419"/>
      <w:r>
        <w:rPr>
          <w:rFonts w:hint="eastAsia" w:ascii="楷体_GB2312" w:hAnsi="楷体_GB2312" w:eastAsia="楷体_GB2312" w:cs="楷体_GB2312"/>
          <w:color w:val="auto"/>
          <w:sz w:val="32"/>
          <w:szCs w:val="32"/>
          <w:highlight w:val="none"/>
        </w:rPr>
        <w:t>（二）统筹生态保护修复</w:t>
      </w:r>
      <w:bookmarkEnd w:id="139"/>
    </w:p>
    <w:p>
      <w:pPr>
        <w:pStyle w:val="2"/>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按照系统观念和生态优先原则，统筹山水林田湖草沙一体化保护和系统治理。根据“宜林则林、宜草则草、宜湿则湿”原则，因地制宜推进拆违腾退用地的生态修复。高标准完成矿山生态修复治理工作，</w:t>
      </w:r>
      <w:r>
        <w:rPr>
          <w:rFonts w:ascii="仿宋_GB2312" w:hAnsi="仿宋_GB2312" w:eastAsia="仿宋_GB2312" w:cs="仿宋_GB2312"/>
          <w:bCs/>
          <w:color w:val="auto"/>
          <w:sz w:val="32"/>
          <w:szCs w:val="32"/>
          <w:highlight w:val="none"/>
        </w:rPr>
        <w:t>分类推进废弃矿山生态修复，加强对已修复区域的绿化成效监管。聚焦生态保护和恢复支撑体系、北方防沙带、自然保护地与野生动植物保护等重点任务，加强天然林保护修复的基础设施与管护能力建设，健全“造、封、管”相结合的分类管理与经营机制，提升自然生态系统的稳定性与承载力。</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140" w:name="_Toc206336517"/>
      <w:bookmarkStart w:id="141" w:name="_Toc211871746"/>
      <w:bookmarkStart w:id="142" w:name="_Toc3189"/>
      <w:r>
        <w:rPr>
          <w:rFonts w:hint="eastAsia" w:ascii="黑体" w:hAnsi="黑体" w:cs="黑体"/>
          <w:b w:val="0"/>
          <w:bCs/>
          <w:color w:val="auto"/>
          <w:highlight w:val="none"/>
        </w:rPr>
        <w:t>三、</w:t>
      </w:r>
      <w:r>
        <w:rPr>
          <w:rFonts w:hint="eastAsia" w:ascii="黑体" w:hAnsi="黑体" w:cs="黑体"/>
          <w:b w:val="0"/>
          <w:bCs/>
          <w:color w:val="auto"/>
          <w:highlight w:val="none"/>
          <w:lang w:eastAsia="zh-CN"/>
        </w:rPr>
        <w:t>全面增强</w:t>
      </w:r>
      <w:r>
        <w:rPr>
          <w:rFonts w:hint="eastAsia" w:ascii="黑体" w:hAnsi="黑体" w:cs="黑体"/>
          <w:b w:val="0"/>
          <w:bCs/>
          <w:color w:val="auto"/>
          <w:highlight w:val="none"/>
        </w:rPr>
        <w:t>生态系统持续性</w:t>
      </w:r>
      <w:bookmarkEnd w:id="137"/>
      <w:bookmarkEnd w:id="138"/>
      <w:bookmarkEnd w:id="140"/>
      <w:bookmarkEnd w:id="141"/>
      <w:bookmarkEnd w:id="142"/>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43" w:name="_Toc13950"/>
      <w:r>
        <w:rPr>
          <w:rFonts w:hint="eastAsia" w:ascii="楷体_GB2312" w:hAnsi="楷体_GB2312" w:eastAsia="楷体_GB2312" w:cs="楷体_GB2312"/>
          <w:color w:val="auto"/>
          <w:sz w:val="32"/>
          <w:szCs w:val="32"/>
          <w:highlight w:val="none"/>
        </w:rPr>
        <w:t>（一）推进自然岸线</w:t>
      </w:r>
      <w:bookmarkEnd w:id="143"/>
      <w:r>
        <w:rPr>
          <w:rFonts w:hint="eastAsia" w:ascii="楷体_GB2312" w:hAnsi="楷体_GB2312" w:eastAsia="楷体_GB2312" w:cs="楷体_GB2312"/>
          <w:color w:val="auto"/>
          <w:sz w:val="32"/>
          <w:szCs w:val="32"/>
          <w:highlight w:val="none"/>
        </w:rPr>
        <w:t>恢复</w:t>
      </w:r>
    </w:p>
    <w:p>
      <w:pPr>
        <w:spacing w:line="560" w:lineRule="exact"/>
        <w:ind w:firstLine="640" w:firstLineChars="200"/>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坚持“应保尽保、应修尽修”原则，保持自然岸线总体格局稳定，确保自然岸线保有率不降低。积极改造硬质护岸，逐步恢复河湖库自然岸线，提升河流生态连通性与自净能力。开展水岸林网提质改造，优先选择具备水土保持功能的本土树种，合理搭配多种植物，确保水岸绿化自然化率达到80%以上。探索建设生态型人工湿地，因地制宜推动河流型湿地和湿地公园建设与改造，提升人工湿地在污水净化、生态教育与复合景观中的综合功能，打造具有多元生态价值的水生态空间。</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44" w:name="_Toc11365"/>
      <w:r>
        <w:rPr>
          <w:rFonts w:hint="eastAsia" w:ascii="楷体_GB2312" w:hAnsi="楷体_GB2312" w:eastAsia="楷体_GB2312" w:cs="楷体_GB2312"/>
          <w:color w:val="auto"/>
          <w:sz w:val="32"/>
          <w:szCs w:val="32"/>
          <w:highlight w:val="none"/>
        </w:rPr>
        <w:t>（二）构建生态廊道网络</w:t>
      </w:r>
      <w:bookmarkEnd w:id="144"/>
    </w:p>
    <w:p>
      <w:pPr>
        <w:spacing w:line="560" w:lineRule="exact"/>
        <w:ind w:firstLine="640" w:firstLineChars="200"/>
        <w:contextualSpacing/>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针对生态断带和栖息地破碎问题，加快断带林地的织补和生态连通修复，全面筛查拆除影响动物活动的防护网</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rPr>
        <w:t>系统构建完善的生态廊道网络。严格控制塘坝等阻隔设施的新建，科学实施增殖放流，保障物种迁移通道的畅通与生态系统的稳定运行，切实增强区域生物多样性的整体功能和抵御外来压力的能力。</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45" w:name="_Toc29457"/>
      <w:r>
        <w:rPr>
          <w:rFonts w:hint="eastAsia" w:ascii="楷体_GB2312" w:hAnsi="楷体_GB2312" w:eastAsia="楷体_GB2312" w:cs="楷体_GB2312"/>
          <w:color w:val="auto"/>
          <w:sz w:val="32"/>
          <w:szCs w:val="32"/>
          <w:highlight w:val="none"/>
        </w:rPr>
        <w:t>（三）构建近自然森林生态系统</w:t>
      </w:r>
      <w:bookmarkEnd w:id="145"/>
    </w:p>
    <w:p>
      <w:pPr>
        <w:spacing w:line="560" w:lineRule="exact"/>
        <w:ind w:firstLine="640" w:firstLineChars="200"/>
        <w:contextualSpacing/>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以实现异龄、复层、混交结构的近自然森林生态系统为核心目标，着力营造多样化且富有层次的植物群落，完善生态廊道体系，丰富生物多样性资源，提升生态系统完整性和功能效益。突出北京地域景观特色，打造四季分明、生态稳定的森林景观环境。重点利用延庆特色乡土树种，结合就地利用与补植补种，通过合理调整林分结构和密度，推进化圃为林，提升森林生态系统质量和生态服务功能。</w:t>
      </w:r>
      <w:bookmarkStart w:id="146" w:name="_Toc23617"/>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（四）提升全区绿视率水平</w:t>
      </w:r>
      <w:bookmarkEnd w:id="146"/>
    </w:p>
    <w:p>
      <w:pPr>
        <w:spacing w:line="560" w:lineRule="exact"/>
        <w:ind w:firstLine="640" w:firstLineChars="200"/>
        <w:contextualSpacing/>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推动绿色空间的持续扩大和质量提升。依托动态监测技术和大数据分析手段，持续加强绿视率的动态监测与精准管理，确保绿地景观空间的连贯性、完整性和可达性，推动绿色生态网络的高效运转。通过优化城市绿视环境，提升生态空间品质和绿色宜居性，为首都生态环境保护作出示范作用，推动区域生态环境质量不断提升，实现人与自然和谐共生的现代化绿色发展目标。</w:t>
      </w:r>
    </w:p>
    <w:p>
      <w:pPr>
        <w:pStyle w:val="6"/>
        <w:adjustRightInd w:val="0"/>
        <w:snapToGrid w:val="0"/>
        <w:ind w:firstLine="640" w:firstLineChars="200"/>
        <w:rPr>
          <w:rFonts w:hint="eastAsia" w:ascii="楷体_GB2312" w:hAnsi="楷体_GB2312" w:eastAsia="楷体_GB2312" w:cs="楷体_GB2312"/>
          <w:bCs w:val="0"/>
          <w:color w:val="auto"/>
          <w:sz w:val="32"/>
          <w:szCs w:val="32"/>
          <w:highlight w:val="none"/>
        </w:rPr>
      </w:pPr>
      <w:r>
        <w:rPr>
          <w:rFonts w:hint="eastAsia" w:ascii="楷体_GB2312" w:hAnsi="楷体_GB2312" w:eastAsia="楷体_GB2312" w:cs="楷体_GB2312"/>
          <w:bCs w:val="0"/>
          <w:color w:val="auto"/>
          <w:sz w:val="32"/>
          <w:szCs w:val="32"/>
          <w:highlight w:val="none"/>
        </w:rPr>
        <w:t>（五）提升重点区域疏透度</w:t>
      </w:r>
    </w:p>
    <w:p>
      <w:pPr>
        <w:spacing w:line="560" w:lineRule="exact"/>
        <w:ind w:firstLine="640" w:firstLineChars="200"/>
        <w:contextualSpacing/>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选取部分</w:t>
      </w:r>
      <w:r>
        <w:rPr>
          <w:rFonts w:ascii="仿宋_GB2312" w:hAnsi="仿宋_GB2312" w:eastAsia="仿宋_GB2312" w:cs="仿宋_GB2312"/>
          <w:bCs/>
          <w:color w:val="auto"/>
          <w:sz w:val="32"/>
          <w:szCs w:val="32"/>
          <w:highlight w:val="none"/>
        </w:rPr>
        <w:t>道路摒弃密集乔灌木种植模式，采用“疏林+草地”的通透布局，保留开阔视野，以“提高疏透度、构建开阔美丽景色”为核心，深度融合自然简约与旷野辽阔的景观精髓</w:t>
      </w:r>
      <w:r>
        <w:rPr>
          <w:rFonts w:hint="eastAsia" w:ascii="仿宋_GB2312" w:hAnsi="仿宋_GB2312" w:eastAsia="仿宋_GB2312" w:cs="仿宋_GB2312"/>
          <w:bCs/>
          <w:color w:val="auto"/>
          <w:sz w:val="32"/>
          <w:szCs w:val="32"/>
          <w:highlight w:val="none"/>
        </w:rPr>
        <w:t>，展现</w:t>
      </w:r>
      <w:r>
        <w:rPr>
          <w:rFonts w:ascii="仿宋_GB2312" w:hAnsi="仿宋_GB2312" w:eastAsia="仿宋_GB2312" w:cs="仿宋_GB2312"/>
          <w:bCs/>
          <w:color w:val="auto"/>
          <w:sz w:val="32"/>
          <w:szCs w:val="32"/>
          <w:highlight w:val="none"/>
        </w:rPr>
        <w:t>开阔舒展的自然之美</w:t>
      </w:r>
      <w:r>
        <w:rPr>
          <w:rFonts w:hint="eastAsia" w:ascii="仿宋_GB2312" w:hAnsi="仿宋_GB2312" w:eastAsia="仿宋_GB2312" w:cs="仿宋_GB2312"/>
          <w:bCs/>
          <w:color w:val="auto"/>
          <w:sz w:val="32"/>
          <w:szCs w:val="32"/>
          <w:highlight w:val="none"/>
        </w:rPr>
        <w:t>。</w:t>
      </w:r>
      <w:r>
        <w:rPr>
          <w:rFonts w:ascii="仿宋_GB2312" w:hAnsi="仿宋_GB2312" w:eastAsia="仿宋_GB2312" w:cs="仿宋_GB2312"/>
          <w:bCs/>
          <w:color w:val="auto"/>
          <w:sz w:val="32"/>
          <w:szCs w:val="32"/>
          <w:highlight w:val="none"/>
        </w:rPr>
        <w:t>让行人与车辆行进间能清晰透出两侧层层叠叠的田野肌理，以及蜿蜒流淌的河流风貌，营造一望无际的自然景致。</w:t>
      </w:r>
    </w:p>
    <w:p>
      <w:pPr>
        <w:pStyle w:val="2"/>
        <w:rPr>
          <w:rFonts w:ascii="仿宋_GB2312" w:hAnsi="仿宋_GB2312" w:eastAsia="仿宋_GB2312" w:cs="仿宋_GB2312"/>
          <w:bCs/>
          <w:color w:val="auto"/>
          <w:sz w:val="32"/>
          <w:szCs w:val="32"/>
          <w:highlight w:val="none"/>
        </w:rPr>
      </w:pPr>
    </w:p>
    <w:p>
      <w:pPr>
        <w:rPr>
          <w:rFonts w:hint="eastAsia"/>
          <w:color w:val="auto"/>
          <w:highlight w:val="none"/>
        </w:rPr>
      </w:pPr>
    </w:p>
    <w:bookmarkEnd w:id="121"/>
    <w:p>
      <w:pPr>
        <w:pStyle w:val="3"/>
        <w:keepNext w:val="0"/>
        <w:keepLines w:val="0"/>
        <w:adjustRightInd w:val="0"/>
        <w:snapToGrid w:val="0"/>
        <w:spacing w:before="0" w:after="0" w:line="560" w:lineRule="exact"/>
        <w:jc w:val="center"/>
        <w:rPr>
          <w:rFonts w:hint="eastAsia" w:ascii="方正小标宋简体" w:hAnsi="方正小标宋简体" w:eastAsia="方正小标宋简体" w:cs="方正小标宋简体"/>
          <w:bCs/>
          <w:color w:val="auto"/>
          <w:kern w:val="44"/>
          <w:sz w:val="44"/>
          <w:szCs w:val="44"/>
          <w:highlight w:val="none"/>
        </w:rPr>
      </w:pPr>
      <w:bookmarkStart w:id="147" w:name="_Toc211871747"/>
      <w:bookmarkStart w:id="148" w:name="_Toc12977"/>
      <w:bookmarkStart w:id="149" w:name="_Toc203822062"/>
      <w:bookmarkStart w:id="150" w:name="_Toc204014705"/>
      <w:bookmarkStart w:id="151" w:name="_Toc206336518"/>
      <w:bookmarkStart w:id="152" w:name="_Toc203635603"/>
      <w:r>
        <w:rPr>
          <w:rFonts w:hint="eastAsia" w:ascii="方正小标宋简体" w:hAnsi="方正小标宋简体" w:eastAsia="方正小标宋简体" w:cs="方正小标宋简体"/>
          <w:bCs/>
          <w:color w:val="auto"/>
          <w:kern w:val="44"/>
          <w:sz w:val="44"/>
          <w:szCs w:val="44"/>
          <w:highlight w:val="none"/>
        </w:rPr>
        <w:t xml:space="preserve">第六章 守正创新 </w:t>
      </w:r>
      <w:bookmarkStart w:id="153" w:name="_Hlk215651706"/>
      <w:r>
        <w:rPr>
          <w:rFonts w:hint="eastAsia" w:ascii="方正小标宋简体" w:hAnsi="方正小标宋简体" w:eastAsia="方正小标宋简体" w:cs="方正小标宋简体"/>
          <w:bCs/>
          <w:color w:val="auto"/>
          <w:kern w:val="44"/>
          <w:sz w:val="44"/>
          <w:szCs w:val="44"/>
          <w:highlight w:val="none"/>
        </w:rPr>
        <w:t>促进生态产品价值转化</w:t>
      </w:r>
      <w:bookmarkEnd w:id="147"/>
      <w:bookmarkEnd w:id="148"/>
      <w:bookmarkEnd w:id="153"/>
      <w:r>
        <w:rPr>
          <w:rFonts w:hint="eastAsia" w:ascii="方正小标宋简体" w:hAnsi="方正小标宋简体" w:eastAsia="方正小标宋简体" w:cs="方正小标宋简体"/>
          <w:bCs/>
          <w:color w:val="auto"/>
          <w:kern w:val="44"/>
          <w:sz w:val="44"/>
          <w:szCs w:val="44"/>
          <w:highlight w:val="none"/>
        </w:rPr>
        <w:t xml:space="preserve">  </w:t>
      </w:r>
      <w:bookmarkEnd w:id="149"/>
      <w:bookmarkEnd w:id="150"/>
      <w:bookmarkEnd w:id="151"/>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bookmarkStart w:id="154" w:name="_Toc203822063"/>
      <w:bookmarkStart w:id="155" w:name="_Toc206336519"/>
      <w:bookmarkStart w:id="156" w:name="_Toc204014706"/>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157" w:name="_Toc211871748"/>
      <w:bookmarkStart w:id="158" w:name="_Toc25333"/>
      <w:r>
        <w:rPr>
          <w:rFonts w:hint="eastAsia" w:ascii="黑体" w:hAnsi="黑体" w:cs="黑体"/>
          <w:b w:val="0"/>
          <w:bCs/>
          <w:color w:val="auto"/>
          <w:highlight w:val="none"/>
        </w:rPr>
        <w:t>一、保证调节服务功能不降低</w:t>
      </w:r>
      <w:bookmarkEnd w:id="154"/>
      <w:bookmarkEnd w:id="155"/>
      <w:bookmarkEnd w:id="156"/>
      <w:bookmarkEnd w:id="157"/>
      <w:bookmarkEnd w:id="158"/>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59" w:name="_Toc5318"/>
      <w:r>
        <w:rPr>
          <w:rFonts w:hint="eastAsia" w:ascii="楷体_GB2312" w:hAnsi="楷体_GB2312" w:eastAsia="楷体_GB2312" w:cs="楷体_GB2312"/>
          <w:color w:val="auto"/>
          <w:sz w:val="32"/>
          <w:szCs w:val="32"/>
          <w:highlight w:val="none"/>
        </w:rPr>
        <w:t>（一）系统推进自然资源确权登记工作</w:t>
      </w:r>
      <w:bookmarkEnd w:id="159"/>
    </w:p>
    <w:p>
      <w:pPr>
        <w:spacing w:line="560" w:lineRule="exact"/>
        <w:ind w:firstLine="640" w:firstLineChars="200"/>
        <w:contextualSpacing/>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依托不动产统一登记制度，以第三次国土调查成果为基础，全面推动延庆区自然资源确权登记工作，逐步实现自然保护地、水流、湿地、森林、探明储量的矿产资源等各类资源全覆盖登记，厘清自然资源资产权属关系。科学划定自然资源空间边界，形成清晰完整的资源权属图谱，为推动生态产品</w:t>
      </w:r>
      <w:r>
        <w:rPr>
          <w:rFonts w:hint="eastAsia" w:ascii="仿宋_GB2312" w:hAnsi="仿宋_GB2312" w:eastAsia="仿宋_GB2312" w:cs="仿宋_GB2312"/>
          <w:bCs/>
          <w:color w:val="auto"/>
          <w:sz w:val="32"/>
          <w:szCs w:val="32"/>
          <w:highlight w:val="none"/>
        </w:rPr>
        <w:t>价值实现、生态产品价值管理提供权属保障、为生态补偿机制</w:t>
      </w:r>
      <w:r>
        <w:rPr>
          <w:rFonts w:ascii="仿宋_GB2312" w:hAnsi="仿宋_GB2312" w:eastAsia="仿宋_GB2312" w:cs="仿宋_GB2312"/>
          <w:bCs/>
          <w:color w:val="auto"/>
          <w:sz w:val="32"/>
          <w:szCs w:val="32"/>
          <w:highlight w:val="none"/>
        </w:rPr>
        <w:t>构建等后续管理工作奠定基础支撑</w:t>
      </w:r>
      <w:r>
        <w:rPr>
          <w:rFonts w:hint="eastAsia" w:ascii="仿宋_GB2312" w:hAnsi="仿宋_GB2312" w:eastAsia="仿宋_GB2312" w:cs="仿宋_GB2312"/>
          <w:bCs/>
          <w:color w:val="auto"/>
          <w:sz w:val="32"/>
          <w:szCs w:val="32"/>
          <w:highlight w:val="none"/>
        </w:rPr>
        <w:t>。</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60" w:name="_Toc17302"/>
      <w:r>
        <w:rPr>
          <w:rFonts w:hint="eastAsia" w:ascii="楷体_GB2312" w:hAnsi="楷体_GB2312" w:eastAsia="楷体_GB2312" w:cs="楷体_GB2312"/>
          <w:color w:val="auto"/>
          <w:sz w:val="32"/>
          <w:szCs w:val="32"/>
          <w:highlight w:val="none"/>
        </w:rPr>
        <w:t>（二）探索GEP-R快速评估方法</w:t>
      </w:r>
      <w:bookmarkEnd w:id="160"/>
    </w:p>
    <w:p>
      <w:pPr>
        <w:numPr>
          <w:ilvl w:val="255"/>
          <w:numId w:val="0"/>
        </w:num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在全国率先开展GEP-R关键趋势性指标研究</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rPr>
        <w:t>将GEP-R核算结果从次年中提前至当年末，</w:t>
      </w:r>
      <w:r>
        <w:rPr>
          <w:rFonts w:ascii="仿宋_GB2312" w:hAnsi="仿宋_GB2312" w:eastAsia="仿宋_GB2312" w:cs="仿宋_GB2312"/>
          <w:bCs/>
          <w:color w:val="auto"/>
          <w:sz w:val="32"/>
          <w:szCs w:val="32"/>
          <w:highlight w:val="none"/>
        </w:rPr>
        <w:t>建立项目GEP-R影响快速预测系统</w:t>
      </w:r>
      <w:r>
        <w:rPr>
          <w:rFonts w:hint="eastAsia" w:ascii="仿宋_GB2312" w:hAnsi="仿宋_GB2312" w:eastAsia="仿宋_GB2312" w:cs="仿宋_GB2312"/>
          <w:bCs/>
          <w:color w:val="auto"/>
          <w:sz w:val="32"/>
          <w:szCs w:val="32"/>
          <w:highlight w:val="none"/>
        </w:rPr>
        <w:t>，进一步增强核算结果的应用时效性，指导各乡镇开展春季绿化，</w:t>
      </w:r>
      <w:r>
        <w:rPr>
          <w:rFonts w:ascii="仿宋_GB2312" w:hAnsi="仿宋_GB2312" w:eastAsia="仿宋_GB2312" w:cs="仿宋_GB2312"/>
          <w:bCs/>
          <w:color w:val="auto"/>
          <w:sz w:val="32"/>
          <w:szCs w:val="32"/>
          <w:highlight w:val="none"/>
        </w:rPr>
        <w:t>等生态提升行动</w:t>
      </w:r>
      <w:r>
        <w:rPr>
          <w:rFonts w:hint="eastAsia" w:ascii="仿宋_GB2312" w:hAnsi="仿宋_GB2312" w:eastAsia="仿宋_GB2312" w:cs="仿宋_GB2312"/>
          <w:bCs/>
          <w:color w:val="auto"/>
          <w:sz w:val="32"/>
          <w:szCs w:val="32"/>
          <w:highlight w:val="none"/>
        </w:rPr>
        <w:t>，</w:t>
      </w:r>
      <w:r>
        <w:rPr>
          <w:rFonts w:ascii="仿宋_GB2312" w:hAnsi="仿宋_GB2312" w:eastAsia="仿宋_GB2312" w:cs="仿宋_GB2312"/>
          <w:bCs/>
          <w:color w:val="auto"/>
          <w:sz w:val="32"/>
          <w:szCs w:val="32"/>
          <w:highlight w:val="none"/>
        </w:rPr>
        <w:t>助力年度GEP水平提升，有效解决数据滞后问题</w:t>
      </w:r>
      <w:r>
        <w:rPr>
          <w:rFonts w:hint="eastAsia" w:ascii="仿宋_GB2312" w:hAnsi="仿宋_GB2312" w:eastAsia="仿宋_GB2312" w:cs="仿宋_GB2312"/>
          <w:bCs/>
          <w:color w:val="auto"/>
          <w:sz w:val="32"/>
          <w:szCs w:val="32"/>
          <w:highlight w:val="none"/>
        </w:rPr>
        <w:t>，为延庆区参与全市GDP-GEP交换工作争取管控优势。</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61" w:name="_Toc14816"/>
      <w:r>
        <w:rPr>
          <w:rFonts w:hint="eastAsia" w:ascii="楷体_GB2312" w:hAnsi="楷体_GB2312" w:eastAsia="楷体_GB2312" w:cs="楷体_GB2312"/>
          <w:color w:val="auto"/>
          <w:sz w:val="32"/>
          <w:szCs w:val="32"/>
          <w:highlight w:val="none"/>
        </w:rPr>
        <w:t>（三）建立像抓GDP一样抓GEP的管理模式</w:t>
      </w:r>
      <w:bookmarkEnd w:id="161"/>
    </w:p>
    <w:p>
      <w:pPr>
        <w:numPr>
          <w:ilvl w:val="255"/>
          <w:numId w:val="0"/>
        </w:numPr>
        <w:spacing w:line="560" w:lineRule="exact"/>
        <w:ind w:firstLine="640" w:firstLineChars="200"/>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坚持应用引领，以GEP-R的结果应用带动提升，通过不断完善数据采集与评估体系，持续深化绩效考核和生态补偿应用，加快探索城市发展对GEP-R影响的预测与调控，紧跟国家和市级工作要求，逐步健全全区和街乡镇两级的GEP-R核算、提升与管控机制。</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62" w:name="_Toc19394"/>
      <w:r>
        <w:rPr>
          <w:rFonts w:hint="eastAsia" w:ascii="楷体_GB2312" w:hAnsi="楷体_GB2312" w:eastAsia="楷体_GB2312" w:cs="楷体_GB2312"/>
          <w:color w:val="auto"/>
          <w:sz w:val="32"/>
          <w:szCs w:val="32"/>
          <w:highlight w:val="none"/>
        </w:rPr>
        <w:t>（四）提升生态产品价值意识</w:t>
      </w:r>
      <w:bookmarkEnd w:id="162"/>
    </w:p>
    <w:p>
      <w:pPr>
        <w:numPr>
          <w:ilvl w:val="255"/>
          <w:numId w:val="0"/>
        </w:numPr>
        <w:spacing w:line="560" w:lineRule="exact"/>
        <w:ind w:firstLine="640" w:firstLineChars="200"/>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鼓励各行业部门在重点工程和建设项目实施中融入GEP理念，锚定关键生态价值指标，推动生态产品价值提升与项目全生命周期管理融合发展。探索建立生态产品价值监测与问题响应机制，强化对自然保护区、郊野公园、生态红线等重要生态空间的动态监测与变化分析，及时识别问题并提出干预方案。同时加强科普宣传，推动GEP</w:t>
      </w:r>
      <w:r>
        <w:rPr>
          <w:rFonts w:hint="eastAsia" w:ascii="仿宋_GB2312" w:hAnsi="仿宋_GB2312" w:eastAsia="仿宋_GB2312" w:cs="仿宋_GB2312"/>
          <w:bCs/>
          <w:color w:val="auto"/>
          <w:sz w:val="32"/>
          <w:szCs w:val="32"/>
          <w:highlight w:val="none"/>
        </w:rPr>
        <w:t>/GEP-R</w:t>
      </w:r>
      <w:r>
        <w:rPr>
          <w:rFonts w:ascii="仿宋_GB2312" w:hAnsi="仿宋_GB2312" w:eastAsia="仿宋_GB2312" w:cs="仿宋_GB2312"/>
          <w:bCs/>
          <w:color w:val="auto"/>
          <w:sz w:val="32"/>
          <w:szCs w:val="32"/>
          <w:highlight w:val="none"/>
        </w:rPr>
        <w:t>基础知识、多元应用路径向公众普及。鼓励生态空间管理单位设立</w:t>
      </w:r>
      <w:r>
        <w:rPr>
          <w:rFonts w:hint="eastAsia" w:ascii="仿宋_GB2312" w:hAnsi="仿宋_GB2312" w:eastAsia="仿宋_GB2312" w:cs="仿宋_GB2312"/>
          <w:bCs/>
          <w:color w:val="auto"/>
          <w:sz w:val="32"/>
          <w:szCs w:val="32"/>
          <w:highlight w:val="none"/>
        </w:rPr>
        <w:t>展示</w:t>
      </w:r>
      <w:r>
        <w:rPr>
          <w:rFonts w:ascii="仿宋_GB2312" w:hAnsi="仿宋_GB2312" w:eastAsia="仿宋_GB2312" w:cs="仿宋_GB2312"/>
          <w:bCs/>
          <w:color w:val="auto"/>
          <w:sz w:val="32"/>
          <w:szCs w:val="32"/>
          <w:highlight w:val="none"/>
        </w:rPr>
        <w:t>标识，增强公众对周边生态服务功能的认知和参与。</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163" w:name="_Toc206336520"/>
      <w:bookmarkStart w:id="164" w:name="_Toc211871749"/>
      <w:bookmarkStart w:id="165" w:name="_Toc689"/>
      <w:r>
        <w:rPr>
          <w:rFonts w:hint="eastAsia" w:ascii="黑体" w:hAnsi="黑体" w:cs="黑体"/>
          <w:b w:val="0"/>
          <w:bCs/>
          <w:color w:val="auto"/>
          <w:highlight w:val="none"/>
        </w:rPr>
        <w:t>二、提升生态产品供给能力</w:t>
      </w:r>
      <w:bookmarkEnd w:id="163"/>
      <w:bookmarkEnd w:id="164"/>
      <w:bookmarkEnd w:id="165"/>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66" w:name="_Toc1237"/>
      <w:r>
        <w:rPr>
          <w:rFonts w:hint="eastAsia" w:ascii="楷体_GB2312" w:hAnsi="楷体_GB2312" w:eastAsia="楷体_GB2312" w:cs="楷体_GB2312"/>
          <w:color w:val="auto"/>
          <w:sz w:val="32"/>
          <w:szCs w:val="32"/>
          <w:highlight w:val="none"/>
        </w:rPr>
        <w:t>（一）建立GEP-R精准提升机制</w:t>
      </w:r>
      <w:bookmarkEnd w:id="166"/>
    </w:p>
    <w:p>
      <w:pPr>
        <w:spacing w:line="560" w:lineRule="exact"/>
        <w:ind w:firstLine="640" w:firstLineChars="200"/>
        <w:rPr>
          <w:rFonts w:hint="eastAsia" w:ascii="仿宋_GB2312" w:hAnsi="仿宋_GB2312" w:eastAsia="仿宋_GB2312" w:cs="仿宋_GB2312"/>
          <w:color w:val="auto"/>
          <w:spacing w:val="3"/>
          <w:sz w:val="32"/>
          <w:szCs w:val="32"/>
          <w:highlight w:val="none"/>
        </w:rPr>
      </w:pPr>
      <w:r>
        <w:rPr>
          <w:rFonts w:ascii="仿宋_GB2312" w:hAnsi="仿宋_GB2312" w:eastAsia="仿宋_GB2312" w:cs="仿宋_GB2312"/>
          <w:bCs/>
          <w:color w:val="auto"/>
          <w:sz w:val="32"/>
          <w:szCs w:val="32"/>
          <w:highlight w:val="none"/>
        </w:rPr>
        <w:t>建立基</w:t>
      </w:r>
      <w:r>
        <w:rPr>
          <w:rFonts w:hint="eastAsia" w:ascii="仿宋_GB2312" w:hAnsi="仿宋_GB2312" w:eastAsia="仿宋_GB2312" w:cs="仿宋_GB2312"/>
          <w:bCs/>
          <w:color w:val="auto"/>
          <w:sz w:val="32"/>
          <w:szCs w:val="32"/>
          <w:highlight w:val="none"/>
        </w:rPr>
        <w:t>于大数据的</w:t>
      </w:r>
      <w:r>
        <w:rPr>
          <w:rFonts w:ascii="仿宋_GB2312" w:hAnsi="仿宋_GB2312" w:eastAsia="仿宋_GB2312" w:cs="仿宋_GB2312"/>
          <w:bCs/>
          <w:color w:val="auto"/>
          <w:sz w:val="32"/>
          <w:szCs w:val="32"/>
          <w:highlight w:val="none"/>
        </w:rPr>
        <w:t>GEP-R提升空间管理可视化平台，实现对空间导引落地情况的追踪。建立GEP-R提升典型工具箱，出台延庆区GEP-R考核与提升管理办法，明确各部门在GEP-R提升中的主要工作内容。</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67" w:name="_Toc8504"/>
      <w:r>
        <w:rPr>
          <w:rFonts w:hint="eastAsia" w:ascii="楷体_GB2312" w:hAnsi="楷体_GB2312" w:eastAsia="楷体_GB2312" w:cs="楷体_GB2312"/>
          <w:color w:val="auto"/>
          <w:sz w:val="32"/>
          <w:szCs w:val="32"/>
          <w:highlight w:val="none"/>
        </w:rPr>
        <w:t>（二）控制生态产品损失</w:t>
      </w:r>
      <w:bookmarkEnd w:id="167"/>
    </w:p>
    <w:p>
      <w:pPr>
        <w:pStyle w:val="6"/>
        <w:keepNext w:val="0"/>
        <w:keepLines w:val="0"/>
        <w:adjustRightInd w:val="0"/>
        <w:snapToGrid w:val="0"/>
        <w:spacing w:before="0" w:after="0" w:line="560" w:lineRule="exact"/>
        <w:ind w:firstLine="652" w:firstLineChars="200"/>
        <w:rPr>
          <w:rFonts w:hint="eastAsia" w:ascii="仿宋_GB2312" w:hAnsi="仿宋_GB2312" w:eastAsia="仿宋_GB2312" w:cs="仿宋_GB2312"/>
          <w:color w:val="auto"/>
          <w:spacing w:val="3"/>
          <w:sz w:val="32"/>
          <w:szCs w:val="32"/>
          <w:highlight w:val="none"/>
        </w:rPr>
      </w:pPr>
      <w:r>
        <w:rPr>
          <w:rFonts w:ascii="仿宋_GB2312" w:hAnsi="仿宋_GB2312" w:eastAsia="仿宋_GB2312" w:cs="仿宋_GB2312"/>
          <w:color w:val="auto"/>
          <w:spacing w:val="3"/>
          <w:sz w:val="32"/>
          <w:szCs w:val="32"/>
          <w:highlight w:val="none"/>
        </w:rPr>
        <w:t>在国土空间规划和项目选址阶段，探索建立GEP</w:t>
      </w:r>
      <w:r>
        <w:rPr>
          <w:rFonts w:hint="eastAsia" w:ascii="仿宋_GB2312" w:hAnsi="仿宋_GB2312" w:eastAsia="仿宋_GB2312" w:cs="仿宋_GB2312"/>
          <w:color w:val="auto"/>
          <w:spacing w:val="3"/>
          <w:sz w:val="32"/>
          <w:szCs w:val="32"/>
          <w:highlight w:val="none"/>
        </w:rPr>
        <w:t>/GEP-R</w:t>
      </w:r>
      <w:r>
        <w:rPr>
          <w:rFonts w:ascii="仿宋_GB2312" w:hAnsi="仿宋_GB2312" w:eastAsia="仿宋_GB2312" w:cs="仿宋_GB2312"/>
          <w:color w:val="auto"/>
          <w:spacing w:val="3"/>
          <w:sz w:val="32"/>
          <w:szCs w:val="32"/>
          <w:highlight w:val="none"/>
        </w:rPr>
        <w:t>占补平衡机制与项目GEP</w:t>
      </w:r>
      <w:r>
        <w:rPr>
          <w:rFonts w:hint="eastAsia" w:ascii="仿宋_GB2312" w:hAnsi="仿宋_GB2312" w:eastAsia="仿宋_GB2312" w:cs="仿宋_GB2312"/>
          <w:color w:val="auto"/>
          <w:spacing w:val="3"/>
          <w:sz w:val="32"/>
          <w:szCs w:val="32"/>
          <w:highlight w:val="none"/>
        </w:rPr>
        <w:t>/GEP-R</w:t>
      </w:r>
      <w:r>
        <w:rPr>
          <w:rFonts w:ascii="仿宋_GB2312" w:hAnsi="仿宋_GB2312" w:eastAsia="仿宋_GB2312" w:cs="仿宋_GB2312"/>
          <w:color w:val="auto"/>
          <w:spacing w:val="3"/>
          <w:sz w:val="32"/>
          <w:szCs w:val="32"/>
          <w:highlight w:val="none"/>
        </w:rPr>
        <w:t>影响预评估路径。新增建设项目优先布局在GEP</w:t>
      </w:r>
      <w:r>
        <w:rPr>
          <w:rFonts w:hint="eastAsia" w:ascii="仿宋_GB2312" w:hAnsi="仿宋_GB2312" w:eastAsia="仿宋_GB2312" w:cs="仿宋_GB2312"/>
          <w:color w:val="auto"/>
          <w:spacing w:val="3"/>
          <w:sz w:val="32"/>
          <w:szCs w:val="32"/>
          <w:highlight w:val="none"/>
        </w:rPr>
        <w:t>/GEP-R</w:t>
      </w:r>
      <w:r>
        <w:rPr>
          <w:rFonts w:ascii="仿宋_GB2312" w:hAnsi="仿宋_GB2312" w:eastAsia="仿宋_GB2312" w:cs="仿宋_GB2312"/>
          <w:color w:val="auto"/>
          <w:spacing w:val="3"/>
          <w:sz w:val="32"/>
          <w:szCs w:val="32"/>
          <w:highlight w:val="none"/>
        </w:rPr>
        <w:t>低值区及生态敏感性较低区域，最大限度减少GEP</w:t>
      </w:r>
      <w:r>
        <w:rPr>
          <w:rFonts w:hint="eastAsia" w:ascii="仿宋_GB2312" w:hAnsi="仿宋_GB2312" w:eastAsia="仿宋_GB2312" w:cs="仿宋_GB2312"/>
          <w:color w:val="auto"/>
          <w:spacing w:val="3"/>
          <w:sz w:val="32"/>
          <w:szCs w:val="32"/>
          <w:highlight w:val="none"/>
        </w:rPr>
        <w:t>/GEP-R</w:t>
      </w:r>
      <w:r>
        <w:rPr>
          <w:rFonts w:ascii="仿宋_GB2312" w:hAnsi="仿宋_GB2312" w:eastAsia="仿宋_GB2312" w:cs="仿宋_GB2312"/>
          <w:color w:val="auto"/>
          <w:spacing w:val="3"/>
          <w:sz w:val="32"/>
          <w:szCs w:val="32"/>
          <w:highlight w:val="none"/>
        </w:rPr>
        <w:t>损失。对占地面积较大、且现状植被与水体覆盖度高于30%的建设项目，开展GEP</w:t>
      </w:r>
      <w:r>
        <w:rPr>
          <w:rFonts w:hint="eastAsia" w:ascii="仿宋_GB2312" w:hAnsi="仿宋_GB2312" w:eastAsia="仿宋_GB2312" w:cs="仿宋_GB2312"/>
          <w:color w:val="auto"/>
          <w:spacing w:val="3"/>
          <w:sz w:val="32"/>
          <w:szCs w:val="32"/>
          <w:highlight w:val="none"/>
        </w:rPr>
        <w:t>/GEP-R</w:t>
      </w:r>
      <w:r>
        <w:rPr>
          <w:rFonts w:ascii="仿宋_GB2312" w:hAnsi="仿宋_GB2312" w:eastAsia="仿宋_GB2312" w:cs="仿宋_GB2312"/>
          <w:color w:val="auto"/>
          <w:spacing w:val="3"/>
          <w:sz w:val="32"/>
          <w:szCs w:val="32"/>
          <w:highlight w:val="none"/>
        </w:rPr>
        <w:t>影响预测，编制调节服务价值占补平衡方案，探索建立GEP储备库，服务于VEP项目中的价值平衡管理需求，防范生态产品供给能力下降，有效应对调节服务价值损失风险。</w:t>
      </w:r>
      <w:bookmarkStart w:id="168" w:name="_Toc23740"/>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（三）构建生态产品价值提升储备库</w:t>
      </w:r>
      <w:bookmarkEnd w:id="168"/>
    </w:p>
    <w:p>
      <w:pPr>
        <w:numPr>
          <w:ilvl w:val="255"/>
          <w:numId w:val="0"/>
        </w:numPr>
        <w:spacing w:line="560" w:lineRule="exact"/>
        <w:ind w:firstLine="640" w:firstLineChars="200"/>
        <w:contextualSpacing/>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坚持生态保护与生态价值提升统筹推进，强化生态修复成效评估，建立涵盖生态修复、生态服务提升和绿色发展协同类项目的清单。研究建立GEP-R储配机制，探索将生态项目中的GEP-R提升部分转化为可交易或可拨付资源，用于后续生态项目的资金支持，创新生态项目价值闭环管理模式</w:t>
      </w:r>
      <w:r>
        <w:rPr>
          <w:rFonts w:hint="eastAsia" w:ascii="仿宋_GB2312" w:hAnsi="仿宋_GB2312" w:eastAsia="仿宋_GB2312" w:cs="仿宋_GB2312"/>
          <w:bCs/>
          <w:color w:val="auto"/>
          <w:sz w:val="32"/>
          <w:szCs w:val="32"/>
          <w:highlight w:val="none"/>
        </w:rPr>
        <w:t>，增强项目储备与管理能力</w:t>
      </w:r>
      <w:r>
        <w:rPr>
          <w:rFonts w:ascii="仿宋_GB2312" w:hAnsi="仿宋_GB2312" w:eastAsia="仿宋_GB2312" w:cs="仿宋_GB2312"/>
          <w:bCs/>
          <w:color w:val="auto"/>
          <w:sz w:val="32"/>
          <w:szCs w:val="32"/>
          <w:highlight w:val="none"/>
        </w:rPr>
        <w:t>。</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69" w:name="_Toc8283"/>
      <w:r>
        <w:rPr>
          <w:rFonts w:hint="eastAsia" w:ascii="楷体_GB2312" w:hAnsi="楷体_GB2312" w:eastAsia="楷体_GB2312" w:cs="楷体_GB2312"/>
          <w:color w:val="auto"/>
          <w:sz w:val="32"/>
          <w:szCs w:val="32"/>
          <w:highlight w:val="none"/>
        </w:rPr>
        <w:t>（四）建立GEP-R提升保障机制</w:t>
      </w:r>
      <w:bookmarkEnd w:id="169"/>
    </w:p>
    <w:p>
      <w:pPr>
        <w:spacing w:line="560" w:lineRule="exact"/>
        <w:ind w:firstLine="640" w:firstLineChars="200"/>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统筹推进GEP-R提升工作，明确各项任务责任分工与进度安排。为增强GEP-R核算数据采集能力、常态化开展延庆区GEP核算与管理等工作提供经费保障，落实GEP-R提升项目资金保障。强化技术支撑，与国内外一流技术单位开展合作，协同促进GEP核算与提质的技术创新，建立技术转移和推广机制，强化GEP管理水平，从技术层面稳步推进GEP提升工作</w:t>
      </w:r>
      <w:r>
        <w:rPr>
          <w:rFonts w:hint="eastAsia" w:ascii="仿宋_GB2312" w:hAnsi="仿宋_GB2312" w:eastAsia="仿宋_GB2312" w:cs="仿宋_GB2312"/>
          <w:bCs/>
          <w:color w:val="auto"/>
          <w:sz w:val="32"/>
          <w:szCs w:val="32"/>
          <w:highlight w:val="none"/>
        </w:rPr>
        <w:t>。</w:t>
      </w:r>
      <w:r>
        <w:rPr>
          <w:rFonts w:ascii="仿宋_GB2312" w:hAnsi="仿宋_GB2312" w:eastAsia="仿宋_GB2312" w:cs="仿宋_GB2312"/>
          <w:bCs/>
          <w:color w:val="auto"/>
          <w:sz w:val="32"/>
          <w:szCs w:val="32"/>
          <w:highlight w:val="none"/>
        </w:rPr>
        <w:t>通过统筹管理、资金保障、技术支撑三方面为GEP-R提升保障机制赋能。</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170" w:name="_Toc204014707"/>
      <w:bookmarkStart w:id="171" w:name="_Toc203822064"/>
      <w:bookmarkStart w:id="172" w:name="_Toc206336521"/>
      <w:bookmarkStart w:id="173" w:name="_Toc211871750"/>
      <w:bookmarkStart w:id="174" w:name="_Toc1425"/>
      <w:r>
        <w:rPr>
          <w:rFonts w:hint="eastAsia" w:ascii="黑体" w:hAnsi="黑体" w:cs="黑体"/>
          <w:b w:val="0"/>
          <w:bCs/>
          <w:color w:val="auto"/>
          <w:highlight w:val="none"/>
        </w:rPr>
        <w:t>三、健全生态产品应用机制</w:t>
      </w:r>
      <w:bookmarkEnd w:id="170"/>
      <w:bookmarkEnd w:id="171"/>
      <w:bookmarkEnd w:id="172"/>
      <w:bookmarkEnd w:id="173"/>
      <w:bookmarkEnd w:id="174"/>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75" w:name="_Toc10013"/>
      <w:bookmarkStart w:id="176" w:name="_Hlk203943127"/>
      <w:r>
        <w:rPr>
          <w:rFonts w:hint="eastAsia" w:ascii="楷体_GB2312" w:hAnsi="楷体_GB2312" w:eastAsia="楷体_GB2312" w:cs="楷体_GB2312"/>
          <w:color w:val="auto"/>
          <w:sz w:val="32"/>
          <w:szCs w:val="32"/>
          <w:highlight w:val="none"/>
        </w:rPr>
        <w:t>（一）拓展GEP核算结果的应用</w:t>
      </w:r>
      <w:bookmarkEnd w:id="175"/>
    </w:p>
    <w:p>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修订生态产品价值综合性奖励和补偿办法，在实现进考核、进补偿、进规划、进项目、进决策、进损害赔偿“六进”基础上，拓展探索实践GEP-R与GDP横向交换补偿机制，进一步优化GEP核算结果的考核与监管应用方式,深化GEP-R与生态保护补偿联动挂钩机制。落实北京市生态涵养区综合性生态保护补偿资金分配制度。探索GEP-R与生态环境损害赔偿挂钩机制，将GEP-R核算结果应用于生态环境损害价值量化中，引导全社会牢固树立“环境有价、损害担责”理念。</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77" w:name="_Toc13134"/>
      <w:r>
        <w:rPr>
          <w:rFonts w:hint="eastAsia" w:ascii="楷体_GB2312" w:hAnsi="楷体_GB2312" w:eastAsia="楷体_GB2312" w:cs="楷体_GB2312"/>
          <w:color w:val="auto"/>
          <w:sz w:val="32"/>
          <w:szCs w:val="32"/>
          <w:highlight w:val="none"/>
        </w:rPr>
        <w:t>（二）打造VEP应用典型案例</w:t>
      </w:r>
      <w:bookmarkEnd w:id="177"/>
    </w:p>
    <w:p>
      <w:pPr>
        <w:numPr>
          <w:ilvl w:val="255"/>
          <w:numId w:val="0"/>
        </w:numPr>
        <w:spacing w:line="560" w:lineRule="exact"/>
        <w:ind w:firstLine="640" w:firstLineChars="200"/>
        <w:contextualSpacing/>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以《北京市特定地域单元生态产品价值（VEP）核算及应用指南》为指引，制定符合延庆区实际的VEP核算与应用办法。聚焦</w:t>
      </w:r>
      <w:r>
        <w:rPr>
          <w:rFonts w:hint="eastAsia" w:ascii="仿宋_GB2312" w:hAnsi="仿宋_GB2312" w:eastAsia="仿宋_GB2312" w:cs="仿宋_GB2312"/>
          <w:bCs/>
          <w:color w:val="auto"/>
          <w:sz w:val="32"/>
          <w:szCs w:val="32"/>
          <w:highlight w:val="none"/>
        </w:rPr>
        <w:t>世园公园、延庆白河抽水蓄能项目</w:t>
      </w:r>
      <w:r>
        <w:rPr>
          <w:rFonts w:ascii="仿宋_GB2312" w:hAnsi="仿宋_GB2312" w:eastAsia="仿宋_GB2312" w:cs="仿宋_GB2312"/>
          <w:bCs/>
          <w:color w:val="auto"/>
          <w:sz w:val="32"/>
          <w:szCs w:val="32"/>
          <w:highlight w:val="none"/>
        </w:rPr>
        <w:t>，试点开展VEP核算，探索将核算结果用于生态资产担保、生态信贷、生态补偿等方面的实际应用。依托“东南山·九沟十八湾”等生态资源和旅游资源丰富区域，谋划推出一批具有代表性的VEP应用项目，拓宽生态价值转化渠道</w:t>
      </w:r>
      <w:r>
        <w:rPr>
          <w:rFonts w:hint="eastAsia" w:ascii="仿宋_GB2312" w:hAnsi="仿宋_GB2312" w:eastAsia="仿宋_GB2312" w:cs="仿宋_GB2312"/>
          <w:bCs/>
          <w:color w:val="auto"/>
          <w:sz w:val="32"/>
          <w:szCs w:val="32"/>
          <w:highlight w:val="none"/>
        </w:rPr>
        <w:t>，初步解决生态产品价值转化路径不畅的问题</w:t>
      </w:r>
      <w:r>
        <w:rPr>
          <w:rFonts w:ascii="仿宋_GB2312" w:hAnsi="仿宋_GB2312" w:eastAsia="仿宋_GB2312" w:cs="仿宋_GB2312"/>
          <w:bCs/>
          <w:color w:val="auto"/>
          <w:sz w:val="32"/>
          <w:szCs w:val="32"/>
          <w:highlight w:val="none"/>
        </w:rPr>
        <w:t>。</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78" w:name="_Toc20253"/>
      <w:r>
        <w:rPr>
          <w:rFonts w:hint="eastAsia" w:ascii="楷体_GB2312" w:hAnsi="楷体_GB2312" w:eastAsia="楷体_GB2312" w:cs="楷体_GB2312"/>
          <w:color w:val="auto"/>
          <w:sz w:val="32"/>
          <w:szCs w:val="32"/>
          <w:highlight w:val="none"/>
        </w:rPr>
        <w:t>（三）构建生态信用积分制度体系</w:t>
      </w:r>
      <w:bookmarkEnd w:id="178"/>
    </w:p>
    <w:p>
      <w:pPr>
        <w:numPr>
          <w:ilvl w:val="255"/>
          <w:numId w:val="0"/>
        </w:numPr>
        <w:spacing w:line="560" w:lineRule="exact"/>
        <w:ind w:firstLine="640" w:firstLineChars="200"/>
        <w:contextualSpacing/>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在现有四海镇生态积分制试点经验基础上，构建延庆区生态信用积分制度，建立涵盖个人、社区、企业、政府等多元主体的生态行为激励体系。扩大生态积分覆盖范围，丰富生态积分使用场景，推动积分兑换与教育、文化、交通等公共服务相结合，探索形成生态信用积分引导全民共治共享的新路径，加快建立以生态信用为核心的社会治理新模式。</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79" w:name="_Toc21749"/>
      <w:r>
        <w:rPr>
          <w:rFonts w:hint="eastAsia" w:ascii="楷体_GB2312" w:hAnsi="楷体_GB2312" w:eastAsia="楷体_GB2312" w:cs="楷体_GB2312"/>
          <w:color w:val="auto"/>
          <w:sz w:val="32"/>
          <w:szCs w:val="32"/>
          <w:highlight w:val="none"/>
        </w:rPr>
        <w:t>（四）绿色金融支持机制</w:t>
      </w:r>
      <w:bookmarkEnd w:id="179"/>
    </w:p>
    <w:p>
      <w:pPr>
        <w:numPr>
          <w:ilvl w:val="255"/>
          <w:numId w:val="0"/>
        </w:numPr>
        <w:spacing w:line="560" w:lineRule="exact"/>
        <w:ind w:firstLine="640" w:firstLineChars="200"/>
        <w:contextualSpacing/>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依托绿色金融创新试点机遇，鼓励金融机构围绕生态信用、环境权益等开发创新性生态融资工具，推动生态资产抵押、质押、绿色债券等多样化融资方式落地。建立生态产品价值实现市场主体清单和VEP重点项目库，推动金融机构差异化授信、专项融资政策和生态项目专项金融培训，降低绿色融资成本。探索设立生态价值实现风险补偿资金，提升金融对生态项目的支持可持续性和抗风险能力</w:t>
      </w:r>
      <w:r>
        <w:rPr>
          <w:rFonts w:hint="eastAsia" w:ascii="仿宋_GB2312" w:hAnsi="仿宋_GB2312" w:eastAsia="仿宋_GB2312" w:cs="仿宋_GB2312"/>
          <w:bCs/>
          <w:color w:val="auto"/>
          <w:sz w:val="32"/>
          <w:szCs w:val="32"/>
          <w:highlight w:val="none"/>
        </w:rPr>
        <w:t>，强化生态产品市场化支撑能力</w:t>
      </w:r>
      <w:r>
        <w:rPr>
          <w:rFonts w:ascii="仿宋_GB2312" w:hAnsi="仿宋_GB2312" w:eastAsia="仿宋_GB2312" w:cs="仿宋_GB2312"/>
          <w:bCs/>
          <w:color w:val="auto"/>
          <w:sz w:val="32"/>
          <w:szCs w:val="32"/>
          <w:highlight w:val="none"/>
        </w:rPr>
        <w:t>。</w:t>
      </w:r>
    </w:p>
    <w:bookmarkEnd w:id="152"/>
    <w:bookmarkEnd w:id="176"/>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bookmarkStart w:id="180" w:name="_Toc203635606"/>
      <w:bookmarkStart w:id="181" w:name="_Toc204014708"/>
      <w:r>
        <w:rPr>
          <w:rFonts w:hint="eastAsia" w:ascii="楷体_GB2312" w:hAnsi="楷体_GB2312" w:eastAsia="楷体_GB2312" w:cs="楷体_GB2312"/>
          <w:color w:val="auto"/>
          <w:sz w:val="32"/>
          <w:szCs w:val="32"/>
          <w:highlight w:val="none"/>
        </w:rPr>
        <w:t>（五）创新生态产品价值实现应用体系</w:t>
      </w:r>
    </w:p>
    <w:p>
      <w:pPr>
        <w:numPr>
          <w:ilvl w:val="255"/>
          <w:numId w:val="0"/>
        </w:numPr>
        <w:spacing w:line="560" w:lineRule="exact"/>
        <w:ind w:firstLine="640"/>
        <w:contextualSpacing/>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积极探索生态资产生态产业生态经济对生态产品价值实现的底层逻辑，创新生态产品价值实现体系，力争将生态产品价值进一步拓展到生态产品来源资产（生态资产）、生态产品关联产业（生态产业），以及生态产品经济体系（生态经济体系）。</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182" w:name="_Toc211871751"/>
      <w:bookmarkStart w:id="183" w:name="_Toc15268"/>
      <w:r>
        <w:rPr>
          <w:rFonts w:hint="eastAsia" w:ascii="黑体" w:hAnsi="黑体" w:cs="黑体"/>
          <w:b w:val="0"/>
          <w:bCs/>
          <w:color w:val="auto"/>
          <w:highlight w:val="none"/>
        </w:rPr>
        <w:t>四、推动生态产业提质增效</w:t>
      </w:r>
      <w:bookmarkEnd w:id="182"/>
      <w:bookmarkEnd w:id="183"/>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（一）开展生态经济与生态产业发展研究</w:t>
      </w:r>
    </w:p>
    <w:p>
      <w:pPr>
        <w:numPr>
          <w:ilvl w:val="255"/>
          <w:numId w:val="0"/>
        </w:numPr>
        <w:spacing w:line="560" w:lineRule="exact"/>
        <w:ind w:firstLine="640"/>
        <w:contextualSpacing/>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推进生态产业化和产业生态化为目标，以生态产品价值提升与转化为导向，打好长城、世园、冬奥三张“金名片”，充分衔接北京市以及延庆区发展规划以及生态环境、产业等专项规划，结合全区以全域旅游为主导、四个重点培育产业为支撑、都市型现代农业为基础的“1+4+1”绿色高精尖产业布局，研究在生态涵养区定位下生态与农业、工业、文化、旅游、体育、康养、科技、服务等相关产业的可行路径。</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（二）推动生态农业提档升级</w:t>
      </w:r>
    </w:p>
    <w:p>
      <w:pPr>
        <w:numPr>
          <w:ilvl w:val="255"/>
          <w:numId w:val="0"/>
        </w:numPr>
        <w:spacing w:line="560" w:lineRule="exact"/>
        <w:ind w:firstLine="640"/>
        <w:contextualSpacing/>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锚定休闲旅游农业重点区建设目标，深度整合“农业、商业、文化、旅游”要素资源，打造全流程可复制的农文旅融合乡村振兴品牌范本。做精做优绿色农产品产业，重点培育“妫水农耕”优质区域品牌，深挖“土特产”特色价值，从品种改良、标准化种植到精深加工、包装营销全链条发力，提升生态农产品市场竞争力，让“延庆味道”成为生态农业的鲜明标识。</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（三）加速森林经济培育壮大</w:t>
      </w:r>
    </w:p>
    <w:p>
      <w:pPr>
        <w:numPr>
          <w:ilvl w:val="255"/>
          <w:numId w:val="0"/>
        </w:numPr>
        <w:spacing w:line="560" w:lineRule="exact"/>
        <w:ind w:firstLine="640"/>
        <w:contextualSpacing/>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森林资源为依托推进森林产业体系建设，围绕林下经济、森林康养、林木加工等领域探索绿色产业升级路径。主动对接国家及市级政策导向，积极争取资金、技术、项目等各级支持，推动森林资源向产业价值转化，培育一批具有区域特色的森林产业项目，助力绿色产业成为区域经济增长的重要支撑。</w:t>
      </w:r>
    </w:p>
    <w:p>
      <w:pPr>
        <w:pStyle w:val="6"/>
        <w:keepNext w:val="0"/>
        <w:keepLines w:val="0"/>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（四）激活生态文旅融合潜能</w:t>
      </w:r>
    </w:p>
    <w:p>
      <w:pPr>
        <w:numPr>
          <w:ilvl w:val="255"/>
          <w:numId w:val="0"/>
        </w:numPr>
        <w:spacing w:line="560" w:lineRule="exact"/>
        <w:ind w:firstLine="640"/>
        <w:contextualSpacing/>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聚焦长城、世园、冬奥三张“金名片”，深度挖掘背后的生态要素与文化内涵，在加强文物保护与遗产活化利用的基础上，开发高品质生态旅游产品—如长城生态研学线路、世园绿色休闲体验、冬奥冰雪运动度假等。大力发展沟域生态经济、民宿经济、冰雪经济、水岸经济、旅游经济等生态经济。同时，通过线上线下多渠道开展宣传营销，借助新媒体平台、文旅推介会等扩大品牌影响力，让延庆生态文旅品牌成为吸引游客、带动消费的核心引力。</w:t>
      </w:r>
      <w:r>
        <w:rPr>
          <w:rFonts w:hint="eastAsia" w:ascii="仿宋_GB2312" w:hAnsi="仿宋_GB2312" w:eastAsia="仿宋_GB2312" w:cs="仿宋_GB2312"/>
          <w:color w:val="auto"/>
          <w:sz w:val="32"/>
          <w:szCs w:val="32"/>
          <w:highlight w:val="none"/>
        </w:rPr>
        <w:br w:type="page"/>
      </w:r>
    </w:p>
    <w:p>
      <w:pPr>
        <w:pStyle w:val="3"/>
        <w:keepNext w:val="0"/>
        <w:keepLines w:val="0"/>
        <w:adjustRightInd w:val="0"/>
        <w:snapToGrid w:val="0"/>
        <w:spacing w:before="0" w:after="0" w:line="560" w:lineRule="exact"/>
        <w:jc w:val="center"/>
        <w:rPr>
          <w:rFonts w:hint="eastAsia"/>
          <w:color w:val="auto"/>
          <w:highlight w:val="none"/>
        </w:rPr>
      </w:pPr>
      <w:bookmarkStart w:id="184" w:name="_Toc206336522"/>
      <w:bookmarkStart w:id="185" w:name="_Toc211871752"/>
      <w:bookmarkStart w:id="186" w:name="_Toc28293"/>
      <w:r>
        <w:rPr>
          <w:rFonts w:hint="eastAsia" w:ascii="方正小标宋简体" w:hAnsi="方正小标宋简体" w:eastAsia="方正小标宋简体" w:cs="方正小标宋简体"/>
          <w:bCs/>
          <w:color w:val="auto"/>
          <w:kern w:val="44"/>
          <w:sz w:val="44"/>
          <w:szCs w:val="44"/>
          <w:highlight w:val="none"/>
        </w:rPr>
        <w:t>第七章 严守底线 全力保障区域生态环境安全</w:t>
      </w:r>
      <w:bookmarkEnd w:id="184"/>
      <w:bookmarkEnd w:id="185"/>
      <w:bookmarkEnd w:id="186"/>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bookmarkStart w:id="187" w:name="_Toc206336523"/>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188" w:name="_Toc211871753"/>
      <w:bookmarkStart w:id="189" w:name="_Toc25352"/>
      <w:r>
        <w:rPr>
          <w:rFonts w:hint="eastAsia" w:ascii="黑体" w:hAnsi="黑体" w:cs="黑体"/>
          <w:b w:val="0"/>
          <w:bCs/>
          <w:color w:val="auto"/>
          <w:highlight w:val="none"/>
        </w:rPr>
        <w:t>一、健全区域生态安全体系</w:t>
      </w:r>
      <w:bookmarkEnd w:id="187"/>
      <w:bookmarkEnd w:id="188"/>
      <w:bookmarkEnd w:id="189"/>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（一）构建</w:t>
      </w:r>
      <w:r>
        <w:rPr>
          <w:rFonts w:hint="eastAsia" w:ascii="楷体_GB2312" w:hAnsi="楷体_GB2312" w:eastAsia="楷体_GB2312" w:cs="楷体_GB2312"/>
          <w:color w:val="auto"/>
          <w:sz w:val="32"/>
          <w:szCs w:val="32"/>
          <w:highlight w:val="none"/>
          <w:shd w:val="clear" w:color="auto" w:fill="FFFFFF"/>
        </w:rPr>
        <w:t>“全链条”生态安全协调机制</w:t>
      </w:r>
    </w:p>
    <w:p>
      <w:pPr>
        <w:widowControl/>
        <w:numPr>
          <w:ilvl w:val="255"/>
          <w:numId w:val="0"/>
        </w:numPr>
        <w:spacing w:line="560" w:lineRule="exact"/>
        <w:ind w:firstLine="640" w:firstLineChars="200"/>
        <w:contextualSpacing/>
        <w:jc w:val="left"/>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以筑牢首都西北生态屏障为目标，整合生态环境、林业、水务</w:t>
      </w:r>
      <w:r>
        <w:rPr>
          <w:rFonts w:hint="eastAsia" w:ascii="仿宋_GB2312" w:hAnsi="仿宋_GB2312" w:eastAsia="仿宋_GB2312" w:cs="仿宋_GB2312"/>
          <w:bCs/>
          <w:color w:val="auto"/>
          <w:sz w:val="32"/>
          <w:szCs w:val="32"/>
          <w:highlight w:val="none"/>
        </w:rPr>
        <w:t>、规划国土、公安</w:t>
      </w:r>
      <w:r>
        <w:rPr>
          <w:rFonts w:ascii="仿宋_GB2312" w:hAnsi="仿宋_GB2312" w:eastAsia="仿宋_GB2312" w:cs="仿宋_GB2312"/>
          <w:bCs/>
          <w:color w:val="auto"/>
          <w:sz w:val="32"/>
          <w:szCs w:val="32"/>
          <w:highlight w:val="none"/>
        </w:rPr>
        <w:t>等部门资源，</w:t>
      </w:r>
      <w:r>
        <w:rPr>
          <w:rFonts w:hint="eastAsia" w:ascii="仿宋_GB2312" w:hAnsi="仿宋_GB2312" w:eastAsia="仿宋_GB2312" w:cs="仿宋_GB2312"/>
          <w:bCs/>
          <w:color w:val="auto"/>
          <w:sz w:val="32"/>
          <w:szCs w:val="32"/>
          <w:highlight w:val="none"/>
        </w:rPr>
        <w:t>研究建立区级生态安全工作协调机制，</w:t>
      </w:r>
      <w:r>
        <w:rPr>
          <w:rFonts w:ascii="仿宋_GB2312" w:hAnsi="仿宋_GB2312" w:eastAsia="仿宋_GB2312" w:cs="仿宋_GB2312"/>
          <w:bCs/>
          <w:color w:val="auto"/>
          <w:sz w:val="32"/>
          <w:szCs w:val="32"/>
          <w:highlight w:val="none"/>
        </w:rPr>
        <w:t>构建“研判-监测-预警-处置”全链条生态安全协调机制</w:t>
      </w:r>
      <w:r>
        <w:rPr>
          <w:rFonts w:hint="eastAsia" w:ascii="仿宋_GB2312" w:hAnsi="仿宋_GB2312" w:eastAsia="仿宋_GB2312" w:cs="仿宋_GB2312"/>
          <w:bCs/>
          <w:color w:val="auto"/>
          <w:sz w:val="32"/>
          <w:szCs w:val="32"/>
          <w:highlight w:val="none"/>
        </w:rPr>
        <w:t>，形成</w:t>
      </w:r>
      <w:r>
        <w:rPr>
          <w:rFonts w:ascii="仿宋_GB2312" w:hAnsi="仿宋_GB2312" w:eastAsia="仿宋_GB2312" w:cs="仿宋_GB2312"/>
          <w:bCs/>
          <w:color w:val="auto"/>
          <w:sz w:val="32"/>
          <w:szCs w:val="32"/>
          <w:highlight w:val="none"/>
        </w:rPr>
        <w:t>多部门协同的治理格局。开展生态风险联合研判，精准排查</w:t>
      </w:r>
      <w:r>
        <w:rPr>
          <w:rFonts w:hint="eastAsia" w:ascii="仿宋_GB2312" w:hAnsi="仿宋_GB2312" w:eastAsia="仿宋_GB2312" w:cs="仿宋_GB2312"/>
          <w:bCs/>
          <w:color w:val="auto"/>
          <w:sz w:val="32"/>
          <w:szCs w:val="32"/>
          <w:highlight w:val="none"/>
        </w:rPr>
        <w:t>生物入侵、</w:t>
      </w:r>
      <w:r>
        <w:rPr>
          <w:rFonts w:ascii="仿宋_GB2312" w:hAnsi="仿宋_GB2312" w:eastAsia="仿宋_GB2312" w:cs="仿宋_GB2312"/>
          <w:bCs/>
          <w:color w:val="auto"/>
          <w:sz w:val="32"/>
          <w:szCs w:val="32"/>
          <w:highlight w:val="none"/>
        </w:rPr>
        <w:t>森林火灾、地质灾害、污染事故等隐患。</w:t>
      </w:r>
      <w:r>
        <w:rPr>
          <w:rFonts w:hint="eastAsia" w:ascii="仿宋_GB2312" w:hAnsi="仿宋_GB2312" w:eastAsia="仿宋_GB2312" w:cs="仿宋_GB2312"/>
          <w:bCs/>
          <w:color w:val="auto"/>
          <w:sz w:val="32"/>
          <w:szCs w:val="32"/>
          <w:highlight w:val="none"/>
        </w:rPr>
        <w:t>整个各部门监测系统</w:t>
      </w:r>
      <w:r>
        <w:rPr>
          <w:rFonts w:ascii="仿宋_GB2312" w:hAnsi="仿宋_GB2312" w:eastAsia="仿宋_GB2312" w:cs="仿宋_GB2312"/>
          <w:bCs/>
          <w:color w:val="auto"/>
          <w:sz w:val="32"/>
          <w:szCs w:val="32"/>
          <w:highlight w:val="none"/>
        </w:rPr>
        <w:t>，搭建一体化预警平台，实时追踪空气质量、植被覆盖</w:t>
      </w:r>
      <w:r>
        <w:rPr>
          <w:rFonts w:hint="eastAsia" w:ascii="仿宋_GB2312" w:hAnsi="仿宋_GB2312" w:eastAsia="仿宋_GB2312" w:cs="仿宋_GB2312"/>
          <w:bCs/>
          <w:color w:val="auto"/>
          <w:sz w:val="32"/>
          <w:szCs w:val="32"/>
          <w:highlight w:val="none"/>
        </w:rPr>
        <w:t>、地质灾害</w:t>
      </w:r>
      <w:r>
        <w:rPr>
          <w:rFonts w:ascii="仿宋_GB2312" w:hAnsi="仿宋_GB2312" w:eastAsia="仿宋_GB2312" w:cs="仿宋_GB2312"/>
          <w:bCs/>
          <w:color w:val="auto"/>
          <w:sz w:val="32"/>
          <w:szCs w:val="32"/>
          <w:highlight w:val="none"/>
        </w:rPr>
        <w:t>等指标。明确应急处置流程，储备</w:t>
      </w:r>
      <w:r>
        <w:rPr>
          <w:rFonts w:hint="eastAsia" w:ascii="仿宋_GB2312" w:hAnsi="仿宋_GB2312" w:eastAsia="仿宋_GB2312" w:cs="仿宋_GB2312"/>
          <w:bCs/>
          <w:color w:val="auto"/>
          <w:sz w:val="32"/>
          <w:szCs w:val="32"/>
          <w:highlight w:val="none"/>
        </w:rPr>
        <w:t>风险应急</w:t>
      </w:r>
      <w:r>
        <w:rPr>
          <w:rFonts w:ascii="仿宋_GB2312" w:hAnsi="仿宋_GB2312" w:eastAsia="仿宋_GB2312" w:cs="仿宋_GB2312"/>
          <w:bCs/>
          <w:color w:val="auto"/>
          <w:sz w:val="32"/>
          <w:szCs w:val="32"/>
          <w:highlight w:val="none"/>
        </w:rPr>
        <w:t>物资实现风险闭环管控，全面提升生态安全保障能力。</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shd w:val="clear" w:color="auto" w:fill="FFFFFF"/>
        </w:rPr>
        <w:t>（二）构建生态安全共治格局</w:t>
      </w:r>
    </w:p>
    <w:p>
      <w:pPr>
        <w:widowControl/>
        <w:numPr>
          <w:ilvl w:val="255"/>
          <w:numId w:val="0"/>
        </w:numPr>
        <w:spacing w:line="560" w:lineRule="exact"/>
        <w:ind w:firstLine="640" w:firstLineChars="200"/>
        <w:contextualSpacing/>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在市级统一框架内，深化</w:t>
      </w:r>
      <w:r>
        <w:rPr>
          <w:rFonts w:hint="eastAsia" w:ascii="仿宋_GB2312" w:hAnsi="仿宋_GB2312" w:eastAsia="仿宋_GB2312" w:cs="仿宋_GB2312"/>
          <w:color w:val="auto"/>
          <w:sz w:val="32"/>
          <w:szCs w:val="32"/>
          <w:highlight w:val="none"/>
        </w:rPr>
        <w:t>京冀生态联动</w:t>
      </w:r>
      <w:r>
        <w:rPr>
          <w:rFonts w:hint="eastAsia" w:ascii="仿宋_GB2312" w:hAnsi="仿宋_GB2312" w:eastAsia="仿宋_GB2312" w:cs="仿宋_GB2312"/>
          <w:bCs/>
          <w:color w:val="auto"/>
          <w:sz w:val="32"/>
          <w:szCs w:val="32"/>
          <w:highlight w:val="none"/>
        </w:rPr>
        <w:t>，</w:t>
      </w:r>
      <w:r>
        <w:rPr>
          <w:rFonts w:ascii="仿宋_GB2312" w:hAnsi="仿宋_GB2312" w:eastAsia="仿宋_GB2312" w:cs="仿宋_GB2312"/>
          <w:bCs/>
          <w:color w:val="auto"/>
          <w:sz w:val="32"/>
          <w:szCs w:val="32"/>
          <w:highlight w:val="none"/>
        </w:rPr>
        <w:t>与</w:t>
      </w:r>
      <w:r>
        <w:rPr>
          <w:rFonts w:hint="eastAsia" w:ascii="仿宋_GB2312" w:hAnsi="仿宋_GB2312" w:eastAsia="仿宋_GB2312" w:cs="仿宋_GB2312"/>
          <w:bCs/>
          <w:color w:val="auto"/>
          <w:sz w:val="32"/>
          <w:szCs w:val="32"/>
          <w:highlight w:val="none"/>
        </w:rPr>
        <w:t>邻近省市、区县</w:t>
      </w:r>
      <w:r>
        <w:rPr>
          <w:rFonts w:ascii="仿宋_GB2312" w:hAnsi="仿宋_GB2312" w:eastAsia="仿宋_GB2312" w:cs="仿宋_GB2312"/>
          <w:bCs/>
          <w:color w:val="auto"/>
          <w:sz w:val="32"/>
          <w:szCs w:val="32"/>
          <w:highlight w:val="none"/>
        </w:rPr>
        <w:t>建立生态安全联防联控机制，共享气象、水文、污染源等数据，协同应对跨境生态风险。联合共同推进官厅水库周边环境整治，保障首都水源安全。开展生态安全宣传</w:t>
      </w:r>
      <w:r>
        <w:rPr>
          <w:rFonts w:hint="eastAsia" w:ascii="仿宋_GB2312" w:hAnsi="仿宋_GB2312" w:eastAsia="仿宋_GB2312" w:cs="仿宋_GB2312"/>
          <w:bCs/>
          <w:color w:val="auto"/>
          <w:sz w:val="32"/>
          <w:szCs w:val="32"/>
          <w:highlight w:val="none"/>
        </w:rPr>
        <w:t>，</w:t>
      </w:r>
      <w:r>
        <w:rPr>
          <w:rFonts w:ascii="仿宋_GB2312" w:hAnsi="仿宋_GB2312" w:eastAsia="仿宋_GB2312" w:cs="仿宋_GB2312"/>
          <w:bCs/>
          <w:color w:val="auto"/>
          <w:sz w:val="32"/>
          <w:szCs w:val="32"/>
          <w:highlight w:val="none"/>
        </w:rPr>
        <w:t>组织志愿者参与生态监测、垃圾分类、野生动物保护等活动</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引导公众参与生态安全</w:t>
      </w:r>
      <w:r>
        <w:rPr>
          <w:rFonts w:hint="eastAsia" w:ascii="仿宋_GB2312" w:hAnsi="仿宋_GB2312" w:eastAsia="仿宋_GB2312" w:cs="仿宋_GB2312"/>
          <w:bCs/>
          <w:color w:val="auto"/>
          <w:sz w:val="32"/>
          <w:szCs w:val="32"/>
          <w:highlight w:val="none"/>
        </w:rPr>
        <w:t>保护，</w:t>
      </w:r>
      <w:r>
        <w:rPr>
          <w:rFonts w:ascii="仿宋_GB2312" w:hAnsi="仿宋_GB2312" w:eastAsia="仿宋_GB2312" w:cs="仿宋_GB2312"/>
          <w:bCs/>
          <w:color w:val="auto"/>
          <w:sz w:val="32"/>
          <w:szCs w:val="32"/>
          <w:highlight w:val="none"/>
        </w:rPr>
        <w:t>形成全民共建共享格局。</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190" w:name="_Toc206167763"/>
      <w:bookmarkStart w:id="191" w:name="_Toc30907"/>
      <w:bookmarkStart w:id="192" w:name="_Toc206336524"/>
      <w:bookmarkStart w:id="193" w:name="_Toc211871754"/>
      <w:r>
        <w:rPr>
          <w:rFonts w:hint="eastAsia" w:ascii="黑体" w:hAnsi="黑体" w:cs="黑体"/>
          <w:b w:val="0"/>
          <w:bCs/>
          <w:color w:val="auto"/>
          <w:highlight w:val="none"/>
        </w:rPr>
        <w:t>二、有力维护生物安全</w:t>
      </w:r>
      <w:bookmarkEnd w:id="190"/>
      <w:bookmarkEnd w:id="191"/>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shd w:val="clear" w:color="auto" w:fill="FFFFFF"/>
        </w:rPr>
        <w:t>（一）统筹生物安全管理</w:t>
      </w:r>
    </w:p>
    <w:p>
      <w:pPr>
        <w:adjustRightInd w:val="0"/>
        <w:snapToGrid w:val="0"/>
        <w:spacing w:line="560" w:lineRule="exact"/>
        <w:ind w:firstLine="643" w:firstLineChars="200"/>
        <w:rPr>
          <w:rFonts w:ascii="Times New Roman" w:hAnsi="Times New Roman" w:eastAsia="仿宋_GB2312"/>
          <w:color w:val="auto"/>
          <w:sz w:val="32"/>
          <w:szCs w:val="32"/>
          <w:highlight w:val="none"/>
        </w:rPr>
      </w:pPr>
      <w:r>
        <w:rPr>
          <w:rFonts w:ascii="仿宋_GB2312" w:hAnsi="仿宋_GB2312" w:eastAsia="仿宋_GB2312" w:cs="仿宋_GB2312"/>
          <w:b/>
          <w:color w:val="auto"/>
          <w:sz w:val="32"/>
          <w:szCs w:val="32"/>
          <w:highlight w:val="none"/>
        </w:rPr>
        <w:t>全面落实生物多样性保护规划。</w:t>
      </w:r>
      <w:r>
        <w:rPr>
          <w:rFonts w:ascii="仿宋_GB2312" w:hAnsi="仿宋_GB2312" w:eastAsia="仿宋_GB2312" w:cs="仿宋_GB2312"/>
          <w:bCs/>
          <w:color w:val="auto"/>
          <w:sz w:val="32"/>
          <w:szCs w:val="32"/>
          <w:highlight w:val="none"/>
        </w:rPr>
        <w:t>严格执行《北京市生物多样性保护规划》和《延庆区生物多样性保护行动计划》，将生物多样性保护作为污染防治攻坚战和生态文明建设的重要组成部分，纳入全区整体生态战略。通过健全生态环境、园林绿化、农业农村等多部门联合工作机制，强化会商协调、信息共享、专家评估与动态反馈等制度建设，确保规划实施科学高效、各方职责明确、资源整合优化，形成全区统一推进的生物多样性保护格局。</w:t>
      </w:r>
    </w:p>
    <w:p>
      <w:pPr>
        <w:adjustRightInd w:val="0"/>
        <w:snapToGrid w:val="0"/>
        <w:spacing w:line="560" w:lineRule="exact"/>
        <w:ind w:firstLine="643"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严控非法野生动物交易。</w:t>
      </w:r>
      <w:r>
        <w:rPr>
          <w:rFonts w:hint="eastAsia" w:ascii="仿宋_GB2312" w:eastAsia="仿宋_GB2312"/>
          <w:color w:val="auto"/>
          <w:sz w:val="32"/>
          <w:szCs w:val="32"/>
          <w:highlight w:val="none"/>
        </w:rPr>
        <w:t>坚持依法全面禁止非法野生动物交易，严格执行野生动物保护制度，保障野生动物资源安全和生态平衡。同步强化野生动物疫源疫病的监测预警体系建设，增强应急处置能力和救护设施水平，降低疾病传播风险，提升疫源疫病监测和救护能力，确保生态系统和公众健康安全，促进人与自然和谐共生。</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shd w:val="clear" w:color="auto" w:fill="FFFFFF"/>
        </w:rPr>
      </w:pPr>
      <w:bookmarkStart w:id="331" w:name="_GoBack"/>
      <w:r>
        <w:rPr>
          <w:rFonts w:hint="eastAsia" w:ascii="楷体_GB2312" w:hAnsi="楷体_GB2312" w:eastAsia="楷体_GB2312" w:cs="楷体_GB2312"/>
          <w:color w:val="auto"/>
          <w:sz w:val="32"/>
          <w:szCs w:val="32"/>
          <w:highlight w:val="none"/>
          <w:shd w:val="clear" w:color="auto" w:fill="FFFFFF"/>
        </w:rPr>
        <w:t>（二）强化外来入侵物种防控</w:t>
      </w:r>
    </w:p>
    <w:bookmarkEnd w:id="331"/>
    <w:p>
      <w:pPr>
        <w:spacing w:line="560" w:lineRule="exact"/>
        <w:ind w:firstLine="643" w:firstLineChars="200"/>
        <w:contextualSpacing/>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完善外来物种入侵防控体系。</w:t>
      </w:r>
      <w:r>
        <w:rPr>
          <w:rFonts w:ascii="仿宋_GB2312" w:hAnsi="仿宋_GB2312" w:eastAsia="仿宋_GB2312" w:cs="仿宋_GB2312"/>
          <w:bCs/>
          <w:color w:val="auto"/>
          <w:sz w:val="32"/>
          <w:szCs w:val="32"/>
          <w:highlight w:val="none"/>
        </w:rPr>
        <w:t>严格落实外来入侵物种防控责任，明确各相关部门职责，形成防控合力。</w:t>
      </w:r>
      <w:r>
        <w:rPr>
          <w:rFonts w:hint="eastAsia" w:ascii="仿宋_GB2312" w:hAnsi="仿宋_GB2312" w:eastAsia="仿宋_GB2312" w:cs="仿宋_GB2312"/>
          <w:bCs/>
          <w:color w:val="auto"/>
          <w:sz w:val="32"/>
          <w:szCs w:val="32"/>
          <w:highlight w:val="none"/>
        </w:rPr>
        <w:t>加强重点区域定期调查与防控作业，筑牢生物安全防线。</w:t>
      </w:r>
      <w:r>
        <w:rPr>
          <w:rFonts w:ascii="仿宋_GB2312" w:hAnsi="仿宋_GB2312" w:eastAsia="仿宋_GB2312" w:cs="仿宋_GB2312"/>
          <w:bCs/>
          <w:color w:val="auto"/>
          <w:sz w:val="32"/>
          <w:szCs w:val="32"/>
          <w:highlight w:val="none"/>
        </w:rPr>
        <w:t>针对农田、渔业水域等生态脆弱且风险较高的区域，重点推进入侵物种的源头控制，建立快速响应和处置机制，确保入侵事件能够及时发现并得到有效处置。通过构建健全的治理档案，实现对入侵物种防控全过程的可追溯管理，提升防控工作的系统性和科学性。</w:t>
      </w:r>
    </w:p>
    <w:p>
      <w:pPr>
        <w:pStyle w:val="2"/>
        <w:spacing w:line="560" w:lineRule="exact"/>
        <w:ind w:firstLine="643" w:firstLineChars="200"/>
        <w:rPr>
          <w:rFonts w:hint="eastAsia" w:ascii="黑体" w:hAnsi="黑体" w:cs="黑体"/>
          <w:bCs/>
          <w:color w:val="auto"/>
          <w:highlight w:val="none"/>
        </w:rPr>
      </w:pPr>
      <w:r>
        <w:rPr>
          <w:rFonts w:hint="eastAsia" w:ascii="仿宋_GB2312" w:hAnsi="仿宋_GB2312" w:eastAsia="仿宋_GB2312" w:cs="仿宋_GB2312"/>
          <w:b/>
          <w:color w:val="auto"/>
          <w:sz w:val="32"/>
          <w:szCs w:val="32"/>
          <w:highlight w:val="none"/>
        </w:rPr>
        <w:t>加强生物安全监测预警。</w:t>
      </w:r>
      <w:r>
        <w:rPr>
          <w:rFonts w:hint="eastAsia" w:ascii="仿宋_GB2312" w:hAnsi="仿宋_GB2312" w:eastAsia="仿宋_GB2312" w:cs="仿宋_GB2312"/>
          <w:bCs/>
          <w:color w:val="auto"/>
          <w:sz w:val="32"/>
          <w:szCs w:val="32"/>
          <w:highlight w:val="none"/>
        </w:rPr>
        <w:t>加强野生动物疫源疫病与生物安全的监测、预警和应急处置，统筹森林、草地、公园、绿地、河流、湖泊、湿地、水库等区域外来入侵物种防控。深化重点生态空间监测网络建设，做好外来物种引入监管，加强对苹果蠢蛾、草地贪夜蛾、福寿螺以及松材线虫、美国白蛾、牛蛙、刺果瓜、大狼杷草、反枝苋等外来入侵物种的监测与综合治理，推进源头预防和监测预警体系建设。</w:t>
      </w:r>
    </w:p>
    <w:bookmarkEnd w:id="192"/>
    <w:bookmarkEnd w:id="193"/>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194" w:name="_Toc206336525"/>
      <w:bookmarkStart w:id="195" w:name="_Toc211871755"/>
      <w:bookmarkStart w:id="196" w:name="_Toc19936"/>
      <w:r>
        <w:rPr>
          <w:rFonts w:hint="eastAsia" w:ascii="黑体" w:hAnsi="黑体" w:cs="黑体"/>
          <w:b w:val="0"/>
          <w:bCs/>
          <w:color w:val="auto"/>
          <w:highlight w:val="none"/>
        </w:rPr>
        <w:t>三、严格防控环境风险</w:t>
      </w:r>
      <w:bookmarkEnd w:id="194"/>
      <w:bookmarkEnd w:id="195"/>
      <w:bookmarkEnd w:id="196"/>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（一）完善环境应急责任体系</w:t>
      </w:r>
    </w:p>
    <w:p>
      <w:pPr>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加强环境风险源管理。</w:t>
      </w:r>
      <w:r>
        <w:rPr>
          <w:rFonts w:hint="eastAsia" w:ascii="仿宋_GB2312" w:hAnsi="仿宋_GB2312" w:eastAsia="仿宋_GB2312" w:cs="仿宋_GB2312"/>
          <w:color w:val="auto"/>
          <w:sz w:val="32"/>
          <w:szCs w:val="32"/>
          <w:highlight w:val="none"/>
        </w:rPr>
        <w:t>全面排查全区各级各类风险源底数，聚焦危险废物、危险化学品、重金属及涉氨、医药等重点行业企业。督促风险源单位科学编制并严格落实环境应急预案，及时整改环境安全隐患。强化重点风险源动态监管，实现“一源一档”精准管控。</w:t>
      </w:r>
    </w:p>
    <w:p>
      <w:pPr>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完善环境应急处置体系。</w:t>
      </w:r>
      <w:r>
        <w:rPr>
          <w:rFonts w:hint="eastAsia" w:ascii="仿宋_GB2312" w:hAnsi="仿宋_GB2312" w:eastAsia="仿宋_GB2312" w:cs="仿宋_GB2312"/>
          <w:color w:val="auto"/>
          <w:sz w:val="32"/>
          <w:szCs w:val="32"/>
          <w:highlight w:val="none"/>
        </w:rPr>
        <w:t>深化生态环境应急联动机制，健全区、镇（街道）两级应急管理体系；按照市级安排及时修订突发环境事件应急预案，完善突发环境事件、辐射事件应急抢险流程及医疗废物应急处置机制；强化应急指挥调度效能。</w:t>
      </w:r>
    </w:p>
    <w:p>
      <w:pPr>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提升应急综合保障能力。</w:t>
      </w:r>
      <w:r>
        <w:rPr>
          <w:rFonts w:hint="eastAsia" w:ascii="仿宋_GB2312" w:hAnsi="仿宋_GB2312" w:eastAsia="仿宋_GB2312" w:cs="仿宋_GB2312"/>
          <w:color w:val="auto"/>
          <w:sz w:val="32"/>
          <w:szCs w:val="32"/>
          <w:highlight w:val="none"/>
        </w:rPr>
        <w:t>加强应急装备配置与应急物资储备库规范化建设管理；加强应急处置专业队伍建设，常态化开展应急培训和实战演练，全面提升应急队伍处置能力与专业素养；优化环境应急监测技术方法，升级应急监测设备，持续增强环境应急监测实战能力。</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（二）加强核与辐射与电磁环境管理</w:t>
      </w:r>
    </w:p>
    <w:p>
      <w:pPr>
        <w:adjustRightInd w:val="0"/>
        <w:snapToGrid w:val="0"/>
        <w:spacing w:line="560" w:lineRule="exact"/>
        <w:ind w:firstLine="643"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持续严控高风险放射源准入。</w:t>
      </w:r>
      <w:r>
        <w:rPr>
          <w:rFonts w:hint="eastAsia" w:ascii="仿宋_GB2312" w:eastAsia="仿宋_GB2312"/>
          <w:color w:val="auto"/>
          <w:sz w:val="32"/>
          <w:szCs w:val="32"/>
          <w:highlight w:val="none"/>
        </w:rPr>
        <w:t>加强辐射、探伤等放射源单位管理。加强对医学影像中心、核医学等项目的政策引导和专业指导，科学布局，合理布置，预防“邻避效应”。履行属地监管职责，实施辐射单位全覆盖检查，落实检查频次要求。</w:t>
      </w:r>
    </w:p>
    <w:p>
      <w:pPr>
        <w:adjustRightInd w:val="0"/>
        <w:snapToGrid w:val="0"/>
        <w:spacing w:line="560" w:lineRule="exact"/>
        <w:ind w:firstLine="643"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推进电磁环境管理提升。</w:t>
      </w:r>
      <w:r>
        <w:rPr>
          <w:rFonts w:hint="eastAsia" w:ascii="仿宋_GB2312" w:eastAsia="仿宋_GB2312"/>
          <w:color w:val="auto"/>
          <w:sz w:val="32"/>
          <w:szCs w:val="32"/>
          <w:highlight w:val="none"/>
        </w:rPr>
        <w:t>开展电磁辐射“三同时”检查，督促移动通信基站备案核查和监督性监测。加强高压输变电设施、5G基站等大型、新型电磁设施周边环境监测，探索开展延庆区电磁辐射环境质量监测和评估，掌握电磁环境状况，回应公众关切。</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（三）强化危险废物、重金属防控</w:t>
      </w:r>
    </w:p>
    <w:p>
      <w:pPr>
        <w:adjustRightInd w:val="0"/>
        <w:snapToGrid w:val="0"/>
        <w:spacing w:line="560" w:lineRule="exact"/>
        <w:ind w:firstLine="643"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强化危险废物、重金属源头管理。</w:t>
      </w:r>
      <w:r>
        <w:rPr>
          <w:rFonts w:hint="eastAsia" w:ascii="仿宋_GB2312" w:eastAsia="仿宋_GB2312"/>
          <w:color w:val="auto"/>
          <w:sz w:val="32"/>
          <w:szCs w:val="32"/>
          <w:highlight w:val="none"/>
        </w:rPr>
        <w:t>严格新建项目环境影响评价制度，依法落实工业危险废物排污许可制度。鼓励企业采取清洁生产等措施，从源头减少危险废物的产生量，优先实行企业内部资源化利用危险废物。加强医疗废弃物源头管理，严禁混合医疗废物、生活垃圾和输液瓶（袋），严禁混放各类医疗废物。</w:t>
      </w:r>
      <w:r>
        <w:rPr>
          <w:rFonts w:hint="eastAsia" w:ascii="仿宋_GB2312" w:hAnsi="仿宋_GB2312" w:eastAsia="仿宋_GB2312" w:cs="仿宋_GB2312"/>
          <w:color w:val="auto"/>
          <w:sz w:val="32"/>
          <w:szCs w:val="32"/>
          <w:highlight w:val="none"/>
          <w:lang w:val="zh-CN"/>
        </w:rPr>
        <w:t>完善涉重金属重点行业企业清单，持续推进涉重金属企业编制和更新清洁生产审核。</w:t>
      </w:r>
    </w:p>
    <w:p>
      <w:pPr>
        <w:adjustRightInd w:val="0"/>
        <w:snapToGrid w:val="0"/>
        <w:spacing w:line="560" w:lineRule="exact"/>
        <w:ind w:firstLine="643"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健全危险废物收集转运体系。</w:t>
      </w:r>
      <w:r>
        <w:rPr>
          <w:rFonts w:hint="eastAsia" w:ascii="仿宋_GB2312" w:eastAsia="仿宋_GB2312"/>
          <w:color w:val="auto"/>
          <w:sz w:val="32"/>
          <w:szCs w:val="32"/>
          <w:highlight w:val="none"/>
        </w:rPr>
        <w:t>提高中小微企业危险废物收集转运效率，完善小微医疗卫生机构医疗废物收集转运体系，严格管控危险废物收集转运工作，加强对废矿物油、实验室危险废物等社会源危险废物以及废电池、废荧光灯管、废化学药品等有害垃圾的收集、回收利用和处置。加强危险废物收集点监督管理。</w:t>
      </w:r>
    </w:p>
    <w:p>
      <w:pPr>
        <w:adjustRightInd w:val="0"/>
        <w:snapToGrid w:val="0"/>
        <w:spacing w:line="560" w:lineRule="exact"/>
        <w:ind w:firstLine="643"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加强危险废物环境监管能力。</w:t>
      </w:r>
      <w:r>
        <w:rPr>
          <w:rFonts w:hint="eastAsia" w:ascii="仿宋_GB2312" w:eastAsia="仿宋_GB2312"/>
          <w:color w:val="auto"/>
          <w:sz w:val="32"/>
          <w:szCs w:val="32"/>
          <w:highlight w:val="none"/>
        </w:rPr>
        <w:t>建立健全“源头严防、过程严管、后果严惩”的危险废物环境监管体系。完善并动态更新危险废物监管源清单，纳入固体废物管理信息系统统一进行管理。持续推进危险废物规范化环境管理，加强危险废物环境执法检查与处罚力度。提升信息化监管水平，全面运行危险废物转移电子联单。结合接诉即办线索，利用卫星地图和实地巡查相结合的方式，对废品收购站、出租大院等隐蔽区域进行清查，严厉查处非法经营、倾倒、储存危险废物行为。</w:t>
      </w:r>
    </w:p>
    <w:p>
      <w:pPr>
        <w:pStyle w:val="61"/>
        <w:adjustRightInd w:val="0"/>
        <w:snapToGrid w:val="0"/>
        <w:spacing w:beforeLines="0" w:afterLines="0" w:line="560" w:lineRule="exact"/>
        <w:ind w:firstLine="640" w:firstLineChars="200"/>
        <w:rPr>
          <w:rFonts w:hint="eastAsia" w:ascii="黑体" w:hAnsi="黑体" w:cs="黑体"/>
          <w:bCs/>
          <w:color w:val="auto"/>
          <w:highlight w:val="none"/>
        </w:rPr>
      </w:pPr>
      <w:bookmarkStart w:id="197" w:name="_Toc211871756"/>
      <w:bookmarkStart w:id="198" w:name="_Toc206336526"/>
      <w:bookmarkStart w:id="199" w:name="_Toc31717"/>
      <w:bookmarkStart w:id="200" w:name="_Hlk216439686"/>
      <w:r>
        <w:rPr>
          <w:rFonts w:hint="eastAsia" w:ascii="黑体" w:hAnsi="黑体" w:cs="黑体"/>
          <w:b w:val="0"/>
          <w:bCs/>
          <w:color w:val="auto"/>
          <w:highlight w:val="none"/>
        </w:rPr>
        <w:t>四、强化防沙带建设</w:t>
      </w:r>
      <w:bookmarkEnd w:id="197"/>
      <w:bookmarkEnd w:id="198"/>
      <w:bookmarkEnd w:id="199"/>
    </w:p>
    <w:bookmarkEnd w:id="200"/>
    <w:p>
      <w:pPr>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eastAsia="仿宋_GB2312"/>
          <w:color w:val="auto"/>
          <w:sz w:val="32"/>
          <w:szCs w:val="32"/>
          <w:highlight w:val="none"/>
        </w:rPr>
        <w:t>按照市级部署，持续实施北方防沙带生态保护和修复重大工程。以封育保护为主，严格保护天然林和公益林，禁止商业性采伐活动；开展封山育林、人工造林种草，营造乔灌草结合的复层水源涵养林和水土保持林；开展森林抚育、退化林修复，加强延庆城区北部山区阳面绿化；通过退耕还湿、生态补水等措施对退化湿地进行修复或重建；实施土地综合整治；开展潮白河绿色生态治理推进小流域治理，开展水土流失综合治理。</w:t>
      </w:r>
      <w:r>
        <w:rPr>
          <w:rFonts w:ascii="仿宋_GB2312" w:hAnsi="仿宋_GB2312" w:eastAsia="仿宋_GB2312" w:cs="仿宋_GB2312"/>
          <w:bCs/>
          <w:color w:val="auto"/>
          <w:sz w:val="32"/>
          <w:szCs w:val="32"/>
          <w:highlight w:val="none"/>
        </w:rPr>
        <w:t>构建京西北生态防护带</w:t>
      </w:r>
      <w:r>
        <w:rPr>
          <w:rFonts w:hint="eastAsia" w:ascii="仿宋_GB2312" w:hAnsi="仿宋_GB2312" w:eastAsia="仿宋_GB2312" w:cs="仿宋_GB2312"/>
          <w:bCs/>
          <w:color w:val="auto"/>
          <w:sz w:val="32"/>
          <w:szCs w:val="32"/>
          <w:highlight w:val="none"/>
        </w:rPr>
        <w:t>，依托平均海拔500米的优势，强化以“高山为屏、林海为障”的立体生态防线，让“风沙止步，清风入京”。</w:t>
      </w:r>
    </w:p>
    <w:p>
      <w:pPr>
        <w:numPr>
          <w:ilvl w:val="255"/>
          <w:numId w:val="0"/>
        </w:numPr>
        <w:spacing w:line="560" w:lineRule="exact"/>
        <w:ind w:firstLine="640"/>
        <w:contextualSpacing/>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numberInDash"/>
          <w:cols w:space="425" w:num="1"/>
          <w:docGrid w:type="lines" w:linePitch="312" w:charSpace="0"/>
        </w:sectPr>
      </w:pPr>
    </w:p>
    <w:p>
      <w:pPr>
        <w:pStyle w:val="3"/>
        <w:keepNext w:val="0"/>
        <w:keepLines w:val="0"/>
        <w:adjustRightInd w:val="0"/>
        <w:snapToGrid w:val="0"/>
        <w:spacing w:before="0" w:after="0" w:line="560" w:lineRule="exact"/>
        <w:jc w:val="center"/>
        <w:rPr>
          <w:rFonts w:hint="eastAsia" w:ascii="方正小标宋简体" w:hAnsi="方正小标宋简体" w:eastAsia="方正小标宋简体" w:cs="方正小标宋简体"/>
          <w:bCs/>
          <w:color w:val="auto"/>
          <w:kern w:val="44"/>
          <w:sz w:val="44"/>
          <w:szCs w:val="44"/>
          <w:highlight w:val="none"/>
        </w:rPr>
      </w:pPr>
      <w:bookmarkStart w:id="201" w:name="_Toc206336527"/>
      <w:bookmarkStart w:id="202" w:name="_Toc211871757"/>
      <w:bookmarkStart w:id="203" w:name="_Toc22758"/>
      <w:r>
        <w:rPr>
          <w:rFonts w:hint="eastAsia" w:ascii="方正小标宋简体" w:hAnsi="方正小标宋简体" w:eastAsia="方正小标宋简体" w:cs="方正小标宋简体"/>
          <w:bCs/>
          <w:color w:val="auto"/>
          <w:kern w:val="44"/>
          <w:sz w:val="44"/>
          <w:szCs w:val="44"/>
          <w:highlight w:val="none"/>
        </w:rPr>
        <w:t>第八章 示范引领 打造美丽北京建设标杆</w:t>
      </w:r>
      <w:bookmarkEnd w:id="180"/>
      <w:bookmarkEnd w:id="181"/>
      <w:bookmarkEnd w:id="201"/>
      <w:bookmarkEnd w:id="202"/>
      <w:bookmarkEnd w:id="203"/>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bookmarkStart w:id="204" w:name="_Toc204014709"/>
      <w:bookmarkStart w:id="205" w:name="_Toc206336528"/>
      <w:bookmarkStart w:id="206" w:name="_Toc10320"/>
      <w:bookmarkStart w:id="207" w:name="_Toc203635607"/>
      <w:bookmarkStart w:id="208" w:name="_Toc204014710"/>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209" w:name="_Toc211871758"/>
      <w:bookmarkStart w:id="210" w:name="_Toc32354"/>
      <w:r>
        <w:rPr>
          <w:rFonts w:hint="eastAsia" w:ascii="黑体" w:hAnsi="黑体" w:cs="黑体"/>
          <w:b w:val="0"/>
          <w:bCs/>
          <w:color w:val="auto"/>
          <w:highlight w:val="none"/>
        </w:rPr>
        <w:t>一、积极开展美丽城市建设</w:t>
      </w:r>
      <w:bookmarkEnd w:id="204"/>
      <w:bookmarkEnd w:id="205"/>
      <w:bookmarkEnd w:id="209"/>
      <w:bookmarkEnd w:id="210"/>
    </w:p>
    <w:p>
      <w:pPr>
        <w:spacing w:line="560" w:lineRule="exact"/>
        <w:ind w:firstLine="640" w:firstLineChars="200"/>
        <w:rPr>
          <w:rFonts w:ascii="仿宋_GB2312" w:hAnsi="Cambria Math" w:eastAsia="仿宋_GB2312" w:cs="Cambria Math"/>
          <w:color w:val="auto"/>
          <w:sz w:val="32"/>
          <w:szCs w:val="32"/>
          <w:highlight w:val="none"/>
        </w:rPr>
      </w:pPr>
      <w:bookmarkStart w:id="211" w:name="_Hlk206406180"/>
      <w:r>
        <w:rPr>
          <w:rFonts w:hint="eastAsia" w:ascii="仿宋_GB2312" w:eastAsia="仿宋_GB2312"/>
          <w:color w:val="auto"/>
          <w:sz w:val="32"/>
          <w:szCs w:val="32"/>
          <w:highlight w:val="none"/>
        </w:rPr>
        <w:t>以“五美”绘就生态画卷</w:t>
      </w:r>
      <w:bookmarkEnd w:id="211"/>
      <w:r>
        <w:rPr>
          <w:rFonts w:hint="eastAsia" w:ascii="仿宋_GB2312" w:eastAsia="仿宋_GB2312"/>
          <w:color w:val="auto"/>
          <w:sz w:val="32"/>
          <w:szCs w:val="32"/>
          <w:highlight w:val="none"/>
        </w:rPr>
        <w:t>，让发展之兴、山水之韵、城乡之谐、人文之厚、共治之合相得益彰。</w:t>
      </w:r>
      <w:r>
        <w:rPr>
          <w:rFonts w:ascii="Cambria Math" w:hAnsi="Cambria Math" w:eastAsia="仿宋_GB2312" w:cs="Cambria Math"/>
          <w:color w:val="auto"/>
          <w:sz w:val="32"/>
          <w:szCs w:val="32"/>
          <w:highlight w:val="none"/>
        </w:rPr>
        <w:t>​</w:t>
      </w:r>
    </w:p>
    <w:p>
      <w:pPr>
        <w:spacing w:line="560" w:lineRule="exact"/>
        <w:ind w:firstLine="643"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b/>
          <w:bCs/>
          <w:color w:val="auto"/>
          <w:sz w:val="32"/>
          <w:szCs w:val="32"/>
          <w:highlight w:val="none"/>
        </w:rPr>
        <w:t>激发绿色发展活力美动能。</w:t>
      </w:r>
      <w:r>
        <w:rPr>
          <w:rFonts w:hint="eastAsia" w:ascii="仿宋_GB2312" w:hAnsi="Times New Roman" w:eastAsia="仿宋_GB2312" w:cs="Times New Roman"/>
          <w:color w:val="auto"/>
          <w:sz w:val="32"/>
          <w:szCs w:val="32"/>
          <w:highlight w:val="none"/>
        </w:rPr>
        <w:t>依托世园、冬奥遗产拓展冰雪经济产业链，壮大绿色农业、生态康养等特色产业规模。重点培育无人机等绿色科技产业集群，建设产学研融合创新平台，完善生态产品价值实现机制，推动生态优势持续转化为发展优势。</w:t>
      </w:r>
    </w:p>
    <w:p>
      <w:pPr>
        <w:spacing w:line="560" w:lineRule="exact"/>
        <w:ind w:firstLine="643"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b/>
          <w:bCs/>
          <w:color w:val="auto"/>
          <w:sz w:val="32"/>
          <w:szCs w:val="32"/>
          <w:highlight w:val="none"/>
        </w:rPr>
        <w:t>筑牢山水相拥生态美根基。</w:t>
      </w:r>
      <w:r>
        <w:rPr>
          <w:rFonts w:hint="eastAsia" w:ascii="仿宋_GB2312" w:hAnsi="Times New Roman" w:eastAsia="仿宋_GB2312" w:cs="Times New Roman"/>
          <w:color w:val="auto"/>
          <w:sz w:val="32"/>
          <w:szCs w:val="32"/>
          <w:highlight w:val="none"/>
        </w:rPr>
        <w:t>持续强化海陀山、松山等自然保护区生态管护，推进妫水河流域综合治理升级，优化“城在林中、水在城中”空间布局。深化京津冀跨区域生态联防联治机制，实施水源涵养能力提升工程，力争森林覆盖率再提升，空气优良天数保持全市领先，筑牢首都西北生态安全屏障。</w:t>
      </w:r>
    </w:p>
    <w:p>
      <w:pPr>
        <w:spacing w:line="560" w:lineRule="exact"/>
        <w:ind w:firstLine="643"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b/>
          <w:bCs/>
          <w:color w:val="auto"/>
          <w:sz w:val="32"/>
          <w:szCs w:val="32"/>
          <w:highlight w:val="none"/>
        </w:rPr>
        <w:t>提升城乡融合宜居美品质。</w:t>
      </w:r>
      <w:r>
        <w:rPr>
          <w:rFonts w:hint="eastAsia" w:ascii="仿宋_GB2312" w:hAnsi="Times New Roman" w:eastAsia="仿宋_GB2312" w:cs="Times New Roman"/>
          <w:color w:val="auto"/>
          <w:sz w:val="32"/>
          <w:szCs w:val="32"/>
          <w:highlight w:val="none"/>
        </w:rPr>
        <w:t>统筹城乡规划布局，加快补齐乡村基础设施短板，实现垃圾分类再提升、污水处理全覆盖。推进“美丽乡村”精品示范村建设，完善城乡教育、医疗等公共服务均等化供给，打造更多“望得见山、看得见水、记得住乡愁”的宜居样板。</w:t>
      </w:r>
    </w:p>
    <w:p>
      <w:pPr>
        <w:spacing w:line="560" w:lineRule="exact"/>
        <w:ind w:firstLine="643" w:firstLineChars="20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b/>
          <w:bCs/>
          <w:color w:val="auto"/>
          <w:sz w:val="32"/>
          <w:szCs w:val="32"/>
          <w:highlight w:val="none"/>
        </w:rPr>
        <w:t>彰显长城古韵人文美魅力。</w:t>
      </w:r>
      <w:r>
        <w:rPr>
          <w:rFonts w:hint="eastAsia" w:ascii="仿宋_GB2312" w:hAnsi="Times New Roman" w:eastAsia="仿宋_GB2312" w:cs="Times New Roman"/>
          <w:color w:val="auto"/>
          <w:sz w:val="32"/>
          <w:szCs w:val="32"/>
          <w:highlight w:val="none"/>
        </w:rPr>
        <w:t>深化八达岭长城文化带建设，推动古村落保护与活化利用，促进冬奥遗产与长城文化、冰雪文化深度融合。搭建非遗传承与民俗体验平台，培育生态文化IP，挖掘开发驿路文化，策划系列文旅活动，让历史文脉在当代发展中焕发新活力。</w:t>
      </w:r>
    </w:p>
    <w:bookmarkEnd w:id="206"/>
    <w:p>
      <w:pPr>
        <w:spacing w:line="560" w:lineRule="exact"/>
        <w:ind w:firstLine="643" w:firstLineChars="200"/>
        <w:rPr>
          <w:rFonts w:hint="eastAsia" w:ascii="仿宋_GB2312" w:eastAsia="仿宋_GB2312"/>
          <w:color w:val="auto"/>
          <w:sz w:val="32"/>
          <w:szCs w:val="32"/>
          <w:highlight w:val="none"/>
        </w:rPr>
      </w:pPr>
      <w:bookmarkStart w:id="212" w:name="_Hlk206406224"/>
      <w:bookmarkStart w:id="213" w:name="_Toc206336529"/>
      <w:r>
        <w:rPr>
          <w:rFonts w:hint="eastAsia" w:ascii="仿宋_GB2312" w:eastAsia="仿宋_GB2312"/>
          <w:b/>
          <w:bCs/>
          <w:color w:val="auto"/>
          <w:sz w:val="32"/>
          <w:szCs w:val="32"/>
          <w:highlight w:val="none"/>
        </w:rPr>
        <w:t>健全多元</w:t>
      </w:r>
      <w:r>
        <w:rPr>
          <w:rFonts w:ascii="仿宋_GB2312" w:eastAsia="仿宋_GB2312"/>
          <w:b/>
          <w:bCs/>
          <w:color w:val="auto"/>
          <w:sz w:val="32"/>
          <w:szCs w:val="32"/>
          <w:highlight w:val="none"/>
        </w:rPr>
        <w:t>协同共治美</w:t>
      </w:r>
      <w:r>
        <w:rPr>
          <w:rFonts w:hint="eastAsia" w:ascii="仿宋_GB2312" w:eastAsia="仿宋_GB2312"/>
          <w:b/>
          <w:bCs/>
          <w:color w:val="auto"/>
          <w:sz w:val="32"/>
          <w:szCs w:val="32"/>
          <w:highlight w:val="none"/>
        </w:rPr>
        <w:t>格局</w:t>
      </w:r>
      <w:bookmarkEnd w:id="212"/>
      <w:r>
        <w:rPr>
          <w:rFonts w:hint="eastAsia" w:ascii="仿宋_GB2312" w:eastAsia="仿宋_GB2312"/>
          <w:b/>
          <w:bCs/>
          <w:color w:val="auto"/>
          <w:sz w:val="32"/>
          <w:szCs w:val="32"/>
          <w:highlight w:val="none"/>
        </w:rPr>
        <w:t>。</w:t>
      </w:r>
      <w:r>
        <w:rPr>
          <w:rFonts w:hint="eastAsia" w:ascii="仿宋_GB2312" w:eastAsia="仿宋_GB2312"/>
          <w:color w:val="auto"/>
          <w:sz w:val="32"/>
          <w:szCs w:val="32"/>
          <w:highlight w:val="none"/>
        </w:rPr>
        <w:t>以党建为统领搭建“政府-企业-社会-公众”协同治理平台，强化跨部门执法协作，严打生态破坏行为推动企业落实绿色生产责任，引导公众参与志愿行动，打造“共治共享”的美丽延庆建设模式。</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214" w:name="_Toc211871759"/>
      <w:bookmarkStart w:id="215" w:name="_Toc17252"/>
      <w:r>
        <w:rPr>
          <w:rFonts w:hint="eastAsia" w:ascii="黑体" w:hAnsi="黑体" w:cs="黑体"/>
          <w:b w:val="0"/>
          <w:bCs/>
          <w:color w:val="auto"/>
          <w:highlight w:val="none"/>
        </w:rPr>
        <w:t>二、</w:t>
      </w:r>
      <w:bookmarkEnd w:id="207"/>
      <w:r>
        <w:rPr>
          <w:rFonts w:hint="eastAsia" w:ascii="黑体" w:hAnsi="黑体" w:cs="黑体"/>
          <w:b w:val="0"/>
          <w:bCs/>
          <w:color w:val="auto"/>
          <w:highlight w:val="none"/>
        </w:rPr>
        <w:t>持续深化美丽乡村建设</w:t>
      </w:r>
      <w:bookmarkEnd w:id="208"/>
      <w:bookmarkEnd w:id="213"/>
      <w:bookmarkEnd w:id="214"/>
      <w:bookmarkEnd w:id="215"/>
    </w:p>
    <w:p>
      <w:pPr>
        <w:spacing w:line="560" w:lineRule="exact"/>
        <w:ind w:firstLine="643"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整区推进美丽乡村建设。</w:t>
      </w:r>
      <w:r>
        <w:rPr>
          <w:rFonts w:hint="eastAsia" w:ascii="仿宋_GB2312" w:eastAsia="仿宋_GB2312"/>
          <w:color w:val="auto"/>
          <w:sz w:val="32"/>
          <w:szCs w:val="32"/>
          <w:highlight w:val="none"/>
        </w:rPr>
        <w:t>以生态环境综合治理、“两山”转化、农业绿色发展、促进宜居宜业为重点，整区推进美丽乡村建设。深入打好农业农村污染治理攻坚战，科学治理农业面源污染，推进农药、化肥、农膜等农业投入品减量增效，因地制宜推进农村垃圾整治、污水处理、厕所革命全覆盖，提升农村人居环境。试点推广农宅光伏发电、分布式能源等。</w:t>
      </w:r>
    </w:p>
    <w:p>
      <w:pPr>
        <w:spacing w:line="560" w:lineRule="exact"/>
        <w:ind w:firstLine="643" w:firstLineChars="200"/>
        <w:rPr>
          <w:rFonts w:hint="eastAsia" w:ascii="仿宋_GB2312" w:eastAsia="仿宋_GB2312"/>
          <w:color w:val="auto"/>
          <w:sz w:val="32"/>
          <w:szCs w:val="32"/>
          <w:highlight w:val="none"/>
        </w:rPr>
      </w:pPr>
      <w:r>
        <w:rPr>
          <w:rFonts w:ascii="仿宋_GB2312" w:eastAsia="仿宋_GB2312"/>
          <w:b/>
          <w:bCs/>
          <w:color w:val="auto"/>
          <w:sz w:val="32"/>
          <w:szCs w:val="32"/>
          <w:highlight w:val="none"/>
        </w:rPr>
        <w:t>加强</w:t>
      </w:r>
      <w:r>
        <w:rPr>
          <w:rFonts w:hint="eastAsia" w:ascii="仿宋_GB2312" w:eastAsia="仿宋_GB2312"/>
          <w:b/>
          <w:bCs/>
          <w:color w:val="auto"/>
          <w:sz w:val="32"/>
          <w:szCs w:val="32"/>
          <w:highlight w:val="none"/>
        </w:rPr>
        <w:t>农村</w:t>
      </w:r>
      <w:r>
        <w:rPr>
          <w:rFonts w:ascii="仿宋_GB2312" w:eastAsia="仿宋_GB2312"/>
          <w:b/>
          <w:bCs/>
          <w:color w:val="auto"/>
          <w:sz w:val="32"/>
          <w:szCs w:val="32"/>
          <w:highlight w:val="none"/>
        </w:rPr>
        <w:t>田园景观建设。</w:t>
      </w:r>
      <w:r>
        <w:rPr>
          <w:rFonts w:hint="eastAsia" w:ascii="仿宋_GB2312" w:eastAsia="仿宋_GB2312"/>
          <w:color w:val="auto"/>
          <w:sz w:val="32"/>
          <w:szCs w:val="32"/>
          <w:highlight w:val="none"/>
        </w:rPr>
        <w:t>以永久基本农田集中分布区为重点,优化空间格局,提升耕地质量。在永久基本农田集中连片区域,适度营造“田间岛屿”,恢复田间生物群落和生态链,建设健康稳定的田园生态系统,实现田成方、林成网、林田交融的景象。</w:t>
      </w:r>
      <w:r>
        <w:rPr>
          <w:rFonts w:ascii="仿宋_GB2312" w:eastAsia="仿宋_GB2312"/>
          <w:color w:val="auto"/>
          <w:sz w:val="32"/>
          <w:szCs w:val="32"/>
          <w:highlight w:val="none"/>
        </w:rPr>
        <w:t>推进打造田园综合体。建立农田生态景观示范点和集聚连片的休闲农业示范区,打造特色田园景观。</w:t>
      </w:r>
    </w:p>
    <w:p>
      <w:pPr>
        <w:spacing w:line="560" w:lineRule="exact"/>
        <w:ind w:firstLine="643" w:firstLineChars="20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强化花园乡村场景营造。</w:t>
      </w:r>
      <w:r>
        <w:rPr>
          <w:rFonts w:hint="eastAsia" w:ascii="仿宋_GB2312" w:eastAsia="仿宋_GB2312"/>
          <w:color w:val="auto"/>
          <w:sz w:val="32"/>
          <w:szCs w:val="32"/>
          <w:highlight w:val="none"/>
        </w:rPr>
        <w:t>统筹乡村建设空间与非建设空间，优化乡村空间布局，凸显村庄秩序与山水格局、自然环境的融合协调。完善美丽乡村规划建设管理机制,实现现代化生活与传统文化相得益彰,城市服务与田园风光内外兼备,建设绿色低碳田园美、生态宜居村庄美、健康舒适生活美、和谐淳朴人文美的美丽乡村和幸福家园。</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216" w:name="_Toc203635608"/>
      <w:bookmarkStart w:id="217" w:name="_Toc204014711"/>
      <w:bookmarkStart w:id="218" w:name="_Toc206336530"/>
      <w:bookmarkStart w:id="219" w:name="_Toc211871760"/>
      <w:bookmarkStart w:id="220" w:name="_Toc21291"/>
      <w:r>
        <w:rPr>
          <w:rFonts w:hint="eastAsia" w:ascii="黑体" w:hAnsi="黑体" w:cs="黑体"/>
          <w:b w:val="0"/>
          <w:bCs/>
          <w:color w:val="auto"/>
          <w:highlight w:val="none"/>
        </w:rPr>
        <w:t>三、</w:t>
      </w:r>
      <w:bookmarkEnd w:id="216"/>
      <w:r>
        <w:rPr>
          <w:rFonts w:hint="eastAsia" w:ascii="黑体" w:hAnsi="黑体" w:cs="黑体"/>
          <w:b w:val="0"/>
          <w:bCs/>
          <w:color w:val="auto"/>
          <w:highlight w:val="none"/>
        </w:rPr>
        <w:t>大力推广美丽细胞示范</w:t>
      </w:r>
      <w:bookmarkEnd w:id="217"/>
      <w:bookmarkEnd w:id="218"/>
      <w:bookmarkEnd w:id="219"/>
      <w:bookmarkEnd w:id="220"/>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（一）构建绿色低碳美丽园区</w:t>
      </w:r>
    </w:p>
    <w:p>
      <w:pPr>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以中关村延庆园为重点示范园区，从节能低碳、绿色环保、以人为本</w:t>
      </w:r>
      <w:r>
        <w:rPr>
          <w:rFonts w:hint="eastAsia" w:ascii="仿宋_GB2312" w:eastAsia="仿宋_GB2312"/>
          <w:color w:val="auto"/>
          <w:sz w:val="32"/>
          <w:szCs w:val="32"/>
          <w:highlight w:val="none"/>
        </w:rPr>
        <w:t>、美丽提升四</w:t>
      </w:r>
      <w:r>
        <w:rPr>
          <w:rFonts w:ascii="仿宋_GB2312" w:eastAsia="仿宋_GB2312"/>
          <w:color w:val="auto"/>
          <w:sz w:val="32"/>
          <w:szCs w:val="32"/>
          <w:highlight w:val="none"/>
        </w:rPr>
        <w:t>个方面，打造绿色低碳园区样板。强化美丽建设细节渗透，在节能低碳中融入美学设计，道路两侧打造乔灌草结合的多层次绿廊，依托环境提质助力园区升级，构建兼具功能属性与美学内涵的特色园区。</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（二）构建绿色低碳美丽景区</w:t>
      </w:r>
    </w:p>
    <w:p>
      <w:pPr>
        <w:adjustRightInd w:val="0"/>
        <w:snapToGrid w:val="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以八达岭长城景区、北京世园公园、北京野鸭湖国家湿地公园为重点示范，深化美丽建设场景营造，从绿色服务、生态保护、低碳运行</w:t>
      </w:r>
      <w:r>
        <w:rPr>
          <w:rFonts w:hint="eastAsia" w:ascii="仿宋_GB2312" w:eastAsia="仿宋_GB2312"/>
          <w:color w:val="auto"/>
          <w:sz w:val="32"/>
          <w:szCs w:val="32"/>
          <w:highlight w:val="none"/>
        </w:rPr>
        <w:t>、美丽环绕四</w:t>
      </w:r>
      <w:r>
        <w:rPr>
          <w:rFonts w:ascii="仿宋_GB2312" w:eastAsia="仿宋_GB2312"/>
          <w:color w:val="auto"/>
          <w:sz w:val="32"/>
          <w:szCs w:val="32"/>
          <w:highlight w:val="none"/>
        </w:rPr>
        <w:t>个方面，</w:t>
      </w:r>
      <w:r>
        <w:rPr>
          <w:rFonts w:hint="eastAsia" w:ascii="仿宋_GB2312" w:eastAsia="仿宋_GB2312"/>
          <w:color w:val="auto"/>
          <w:sz w:val="32"/>
          <w:szCs w:val="32"/>
          <w:highlight w:val="none"/>
        </w:rPr>
        <w:t>不断完善景区基础设施服务，</w:t>
      </w:r>
      <w:r>
        <w:rPr>
          <w:rFonts w:ascii="仿宋_GB2312" w:eastAsia="仿宋_GB2312"/>
          <w:color w:val="auto"/>
          <w:sz w:val="32"/>
          <w:szCs w:val="32"/>
          <w:highlight w:val="none"/>
        </w:rPr>
        <w:t>打造绿色低碳</w:t>
      </w:r>
      <w:r>
        <w:rPr>
          <w:rFonts w:hint="eastAsia" w:ascii="仿宋_GB2312" w:eastAsia="仿宋_GB2312"/>
          <w:color w:val="auto"/>
          <w:sz w:val="32"/>
          <w:szCs w:val="32"/>
          <w:highlight w:val="none"/>
        </w:rPr>
        <w:t>美丽</w:t>
      </w:r>
      <w:r>
        <w:rPr>
          <w:rFonts w:ascii="仿宋_GB2312" w:eastAsia="仿宋_GB2312"/>
          <w:color w:val="auto"/>
          <w:sz w:val="32"/>
          <w:szCs w:val="32"/>
          <w:highlight w:val="none"/>
        </w:rPr>
        <w:t>样板</w:t>
      </w:r>
      <w:r>
        <w:rPr>
          <w:rFonts w:hint="eastAsia" w:ascii="仿宋_GB2312" w:eastAsia="仿宋_GB2312"/>
          <w:color w:val="auto"/>
          <w:sz w:val="32"/>
          <w:szCs w:val="32"/>
          <w:highlight w:val="none"/>
        </w:rPr>
        <w:t>。着力强化八达岭长城精华片区特色。重点优化生态环境,协同推进北部燕山生态屏障、西部太行山生态屏障与长城绿道体系建设,深化十三陵—八达岭景观生态区环境提升,展现长城作为拱卫都城重要军事防御系统的历史文化及景观价值,打造花园城市长城文化展示窗口。</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（三）构建绿色低碳美丽社区</w:t>
      </w:r>
    </w:p>
    <w:p>
      <w:pPr>
        <w:spacing w:line="560" w:lineRule="exact"/>
        <w:ind w:firstLine="420"/>
        <w:rPr>
          <w:rFonts w:hint="eastAsia" w:ascii="仿宋_GB2312" w:eastAsia="仿宋_GB2312"/>
          <w:color w:val="auto"/>
          <w:sz w:val="32"/>
          <w:szCs w:val="32"/>
          <w:highlight w:val="none"/>
        </w:rPr>
      </w:pPr>
      <w:r>
        <w:rPr>
          <w:rFonts w:ascii="仿宋_GB2312" w:eastAsia="仿宋_GB2312"/>
          <w:color w:val="auto"/>
          <w:sz w:val="32"/>
          <w:szCs w:val="32"/>
          <w:highlight w:val="none"/>
        </w:rPr>
        <w:t>系统提升新建、老旧、保障性住房小区的人居环境品质，</w:t>
      </w:r>
      <w:r>
        <w:rPr>
          <w:rFonts w:hint="eastAsia" w:ascii="仿宋_GB2312" w:eastAsia="仿宋_GB2312"/>
          <w:color w:val="auto"/>
          <w:sz w:val="32"/>
          <w:szCs w:val="32"/>
          <w:highlight w:val="none"/>
        </w:rPr>
        <w:t>加大小区绿化美化水平，</w:t>
      </w:r>
      <w:r>
        <w:rPr>
          <w:rFonts w:ascii="仿宋_GB2312" w:eastAsia="仿宋_GB2312"/>
          <w:color w:val="auto"/>
          <w:sz w:val="32"/>
          <w:szCs w:val="32"/>
          <w:highlight w:val="none"/>
        </w:rPr>
        <w:t>引导土地集约利用，推广绿色建筑建造，塑造花园社区环境，提升智慧运维水平，培育绿色生活方式，打造绿色低碳社区示范建设样板。</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（四）构建休闲度假美丽商务区</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延庆休闲度假商务区精华片区应依托京张体育文化旅游发展带,联动冬奥赛区,推动世园公园与城市融合发展,通过步行道、骑行道串联公园内外开放空间,加强公园生态景观与城市功能组团的渗透联动,加快休闲、运动、教育、研发等多元创新场景建设,吸引创新人才和高端产业要素集聚,激发世园公园及周边区域发展的内生动力,塑造花园城市“栖居山水间,创业花园里”城园融合发展典范。</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（五）构建美丽河湖滨水空间</w:t>
      </w:r>
    </w:p>
    <w:p>
      <w:pPr>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统筹</w:t>
      </w:r>
      <w:r>
        <w:rPr>
          <w:rFonts w:hint="eastAsia" w:ascii="Times New Roman" w:hAnsi="Times New Roman" w:eastAsia="仿宋_GB2312" w:cs="Times New Roman"/>
          <w:color w:val="auto"/>
          <w:sz w:val="32"/>
          <w:szCs w:val="32"/>
          <w:highlight w:val="none"/>
        </w:rPr>
        <w:t>美丽河湖</w:t>
      </w:r>
      <w:r>
        <w:rPr>
          <w:rFonts w:ascii="仿宋_GB2312" w:eastAsia="仿宋_GB2312"/>
          <w:color w:val="auto"/>
          <w:sz w:val="32"/>
          <w:szCs w:val="32"/>
          <w:highlight w:val="none"/>
        </w:rPr>
        <w:t>滨水空间的生态保护和场地建设，为公众提供高品质滨水公共空间。以东湖公园为试点开展</w:t>
      </w:r>
      <w:r>
        <w:rPr>
          <w:rFonts w:hint="eastAsia" w:ascii="Times New Roman" w:hAnsi="Times New Roman" w:eastAsia="仿宋_GB2312" w:cs="Times New Roman"/>
          <w:color w:val="auto"/>
          <w:sz w:val="32"/>
          <w:szCs w:val="32"/>
          <w:highlight w:val="none"/>
        </w:rPr>
        <w:t>美丽河湖</w:t>
      </w:r>
      <w:r>
        <w:rPr>
          <w:rFonts w:ascii="仿宋_GB2312" w:eastAsia="仿宋_GB2312"/>
          <w:color w:val="auto"/>
          <w:sz w:val="32"/>
          <w:szCs w:val="32"/>
          <w:highlight w:val="none"/>
        </w:rPr>
        <w:t>滨水空间环境整治提升，在解决</w:t>
      </w:r>
      <w:r>
        <w:rPr>
          <w:rFonts w:hint="eastAsia" w:ascii="仿宋_GB2312" w:eastAsia="仿宋_GB2312"/>
          <w:color w:val="auto"/>
          <w:sz w:val="32"/>
          <w:szCs w:val="32"/>
          <w:highlight w:val="none"/>
        </w:rPr>
        <w:t>水环境改善、水生态保护，</w:t>
      </w:r>
      <w:r>
        <w:rPr>
          <w:rFonts w:ascii="仿宋_GB2312" w:eastAsia="仿宋_GB2312"/>
          <w:color w:val="auto"/>
          <w:sz w:val="32"/>
          <w:szCs w:val="32"/>
          <w:highlight w:val="none"/>
        </w:rPr>
        <w:t>城市防洪的同时兼顾环境美化、休闲游憩等多种功能，</w:t>
      </w:r>
      <w:r>
        <w:rPr>
          <w:rFonts w:hint="eastAsia" w:ascii="仿宋_GB2312" w:eastAsia="仿宋_GB2312"/>
          <w:color w:val="auto"/>
          <w:sz w:val="32"/>
          <w:szCs w:val="32"/>
          <w:highlight w:val="none"/>
        </w:rPr>
        <w:t>增加</w:t>
      </w:r>
      <w:r>
        <w:rPr>
          <w:rFonts w:ascii="仿宋_GB2312" w:eastAsia="仿宋_GB2312"/>
          <w:color w:val="auto"/>
          <w:sz w:val="32"/>
          <w:szCs w:val="32"/>
          <w:highlight w:val="none"/>
        </w:rPr>
        <w:t>植物造景、小品点缀、打造时尚智慧的滨水空间样板。</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221" w:name="_Toc203635610"/>
      <w:bookmarkStart w:id="222" w:name="_Toc206336531"/>
      <w:bookmarkStart w:id="223" w:name="_Toc204014712"/>
      <w:bookmarkStart w:id="224" w:name="_Toc211871761"/>
      <w:bookmarkStart w:id="225" w:name="_Toc18909"/>
      <w:r>
        <w:rPr>
          <w:rFonts w:hint="eastAsia" w:ascii="黑体" w:hAnsi="黑体" w:cs="黑体"/>
          <w:b w:val="0"/>
          <w:bCs/>
          <w:color w:val="auto"/>
          <w:highlight w:val="none"/>
        </w:rPr>
        <w:t>四、推进建设京津冀</w:t>
      </w:r>
      <w:bookmarkEnd w:id="221"/>
      <w:r>
        <w:rPr>
          <w:rFonts w:hint="eastAsia" w:ascii="黑体" w:hAnsi="黑体" w:cs="黑体"/>
          <w:b w:val="0"/>
          <w:bCs/>
          <w:color w:val="auto"/>
          <w:highlight w:val="none"/>
        </w:rPr>
        <w:t>美丽中国先行区</w:t>
      </w:r>
      <w:bookmarkEnd w:id="222"/>
      <w:bookmarkEnd w:id="223"/>
      <w:bookmarkEnd w:id="224"/>
      <w:bookmarkEnd w:id="225"/>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bookmarkStart w:id="226" w:name="_Toc20195"/>
      <w:bookmarkStart w:id="227" w:name="_Toc18298"/>
      <w:bookmarkStart w:id="228" w:name="_Toc14158"/>
      <w:r>
        <w:rPr>
          <w:rFonts w:hint="eastAsia" w:ascii="楷体_GB2312" w:hAnsi="楷体_GB2312" w:eastAsia="楷体_GB2312" w:cs="楷体_GB2312"/>
          <w:color w:val="auto"/>
          <w:sz w:val="32"/>
          <w:szCs w:val="32"/>
          <w:highlight w:val="none"/>
          <w:lang w:val="zh-CN"/>
        </w:rPr>
        <w:t>（一）推进落实重点领域协同发展</w:t>
      </w:r>
      <w:bookmarkEnd w:id="226"/>
      <w:bookmarkEnd w:id="227"/>
      <w:bookmarkEnd w:id="228"/>
    </w:p>
    <w:p>
      <w:pPr>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lang w:val="zh-CN"/>
        </w:rPr>
      </w:pPr>
      <w:bookmarkStart w:id="229" w:name="_Toc59788033"/>
      <w:r>
        <w:rPr>
          <w:rFonts w:hint="eastAsia" w:ascii="仿宋_GB2312" w:eastAsia="仿宋_GB2312"/>
          <w:color w:val="auto"/>
          <w:sz w:val="32"/>
          <w:szCs w:val="32"/>
          <w:highlight w:val="none"/>
        </w:rPr>
        <w:t>依据《关于建设美丽中国先行区的实施意见》《中共北京市委 北京市人民政府关于全面建设美丽北京加快推进人与自然和谐共生的现代化的实施意见》要求，主动融入京津冀建设美丽中国先行区大局。延庆作为</w:t>
      </w:r>
      <w:r>
        <w:rPr>
          <w:rFonts w:ascii="仿宋_GB2312" w:eastAsia="仿宋_GB2312"/>
          <w:color w:val="auto"/>
          <w:sz w:val="32"/>
          <w:szCs w:val="32"/>
          <w:highlight w:val="none"/>
        </w:rPr>
        <w:t>西北部生态涵养区,</w:t>
      </w:r>
      <w:r>
        <w:rPr>
          <w:rFonts w:hint="eastAsia" w:ascii="仿宋_GB2312" w:eastAsia="仿宋_GB2312"/>
          <w:color w:val="auto"/>
          <w:sz w:val="32"/>
          <w:szCs w:val="32"/>
          <w:highlight w:val="none"/>
        </w:rPr>
        <w:t>要</w:t>
      </w:r>
      <w:r>
        <w:rPr>
          <w:rFonts w:ascii="仿宋_GB2312" w:eastAsia="仿宋_GB2312"/>
          <w:color w:val="auto"/>
          <w:sz w:val="32"/>
          <w:szCs w:val="32"/>
          <w:highlight w:val="none"/>
        </w:rPr>
        <w:t>坚持一体化保护和系统治理,提高生态产品供给能力,打造生态品质和生态价值双提升的“两山”转化典范。</w:t>
      </w:r>
      <w:r>
        <w:rPr>
          <w:rFonts w:hint="eastAsia" w:ascii="仿宋_GB2312" w:hAnsi="仿宋_GB2312" w:eastAsia="仿宋_GB2312" w:cs="仿宋_GB2312"/>
          <w:bCs/>
          <w:color w:val="auto"/>
          <w:sz w:val="32"/>
          <w:szCs w:val="32"/>
          <w:highlight w:val="none"/>
          <w:lang w:val="zh-CN"/>
        </w:rPr>
        <w:t>加强与怀来县、赤城县,差异化打造区域协作的绿色文旅产业。</w:t>
      </w:r>
      <w:r>
        <w:rPr>
          <w:rFonts w:hint="eastAsia" w:ascii="仿宋_GB2312" w:eastAsia="仿宋_GB2312"/>
          <w:color w:val="auto"/>
          <w:sz w:val="32"/>
          <w:szCs w:val="32"/>
          <w:highlight w:val="none"/>
        </w:rPr>
        <w:t>推进区域能源低碳转型</w:t>
      </w:r>
      <w:bookmarkEnd w:id="229"/>
      <w:r>
        <w:rPr>
          <w:rFonts w:hint="eastAsia" w:ascii="仿宋_GB2312" w:eastAsia="仿宋_GB2312"/>
          <w:color w:val="auto"/>
          <w:sz w:val="32"/>
          <w:szCs w:val="32"/>
          <w:highlight w:val="none"/>
        </w:rPr>
        <w:t>。加强清洁能源开发合作，依托</w:t>
      </w:r>
      <w:r>
        <w:rPr>
          <w:rFonts w:hint="eastAsia" w:ascii="仿宋_GB2312" w:hAnsi="仿宋_GB2312" w:eastAsia="仿宋_GB2312" w:cs="仿宋_GB2312"/>
          <w:bCs/>
          <w:color w:val="auto"/>
          <w:sz w:val="32"/>
          <w:szCs w:val="32"/>
          <w:highlight w:val="none"/>
          <w:lang w:val="zh-CN"/>
        </w:rPr>
        <w:t>跨区域电力、天然气、油品输送通道，推进能源基础设施互联互通。共同开发风电、光伏发电资源，助力张家口高标准建设可再生能源示范区；联合开发“绿氢”资源；支持低碳服务企业与周边地区企业合作实施低碳环保领域重大项目。</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bookmarkStart w:id="230" w:name="_Toc3384"/>
      <w:bookmarkStart w:id="231" w:name="_Toc18321"/>
      <w:bookmarkStart w:id="232" w:name="_Toc6134"/>
      <w:r>
        <w:rPr>
          <w:rFonts w:hint="eastAsia" w:ascii="楷体_GB2312" w:hAnsi="楷体_GB2312" w:eastAsia="楷体_GB2312" w:cs="楷体_GB2312"/>
          <w:color w:val="auto"/>
          <w:sz w:val="32"/>
          <w:szCs w:val="32"/>
          <w:highlight w:val="none"/>
          <w:lang w:val="zh-CN"/>
        </w:rPr>
        <w:t>（二）加强生态环境联建联防联控</w:t>
      </w:r>
      <w:bookmarkEnd w:id="230"/>
      <w:bookmarkEnd w:id="231"/>
      <w:bookmarkEnd w:id="232"/>
    </w:p>
    <w:p>
      <w:pPr>
        <w:adjustRightInd w:val="0"/>
        <w:snapToGrid w:val="0"/>
        <w:spacing w:line="560" w:lineRule="exact"/>
        <w:ind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深化大气污染联防联控。</w:t>
      </w:r>
      <w:r>
        <w:rPr>
          <w:rFonts w:ascii="仿宋_GB2312" w:eastAsia="仿宋_GB2312"/>
          <w:color w:val="auto"/>
          <w:sz w:val="32"/>
          <w:szCs w:val="32"/>
          <w:highlight w:val="none"/>
        </w:rPr>
        <w:t>共同落实好《区域生态环境质量协同保障框架协议》，强化区域大气污染</w:t>
      </w:r>
      <w:r>
        <w:rPr>
          <w:rFonts w:hint="eastAsia" w:ascii="仿宋_GB2312" w:eastAsia="仿宋_GB2312"/>
          <w:color w:val="auto"/>
          <w:sz w:val="32"/>
          <w:szCs w:val="32"/>
          <w:highlight w:val="none"/>
        </w:rPr>
        <w:t>综合治理</w:t>
      </w:r>
      <w:r>
        <w:rPr>
          <w:rFonts w:ascii="仿宋_GB2312" w:eastAsia="仿宋_GB2312"/>
          <w:color w:val="auto"/>
          <w:sz w:val="32"/>
          <w:szCs w:val="32"/>
          <w:highlight w:val="none"/>
        </w:rPr>
        <w:t>，</w:t>
      </w:r>
      <w:r>
        <w:rPr>
          <w:rFonts w:ascii="仿宋_GB2312" w:hAnsi="仿宋_GB2312" w:eastAsia="仿宋_GB2312" w:cs="仿宋_GB2312"/>
          <w:b/>
          <w:color w:val="auto"/>
          <w:sz w:val="32"/>
          <w:szCs w:val="32"/>
          <w:highlight w:val="none"/>
        </w:rPr>
        <w:t>持续开展夏季VOCs攻坚治理、</w:t>
      </w:r>
      <w:r>
        <w:rPr>
          <w:rFonts w:ascii="仿宋_GB2312" w:eastAsia="仿宋_GB2312"/>
          <w:color w:val="auto"/>
          <w:sz w:val="32"/>
          <w:szCs w:val="32"/>
          <w:highlight w:val="none"/>
        </w:rPr>
        <w:t>着力开展秋冬季大气污染综合治理攻坚行动，</w:t>
      </w:r>
      <w:r>
        <w:rPr>
          <w:rFonts w:hint="eastAsia" w:ascii="仿宋_GB2312" w:hAnsi="仿宋_GB2312" w:eastAsia="仿宋_GB2312" w:cs="仿宋_GB2312"/>
          <w:bCs/>
          <w:color w:val="auto"/>
          <w:sz w:val="32"/>
          <w:szCs w:val="32"/>
          <w:highlight w:val="none"/>
        </w:rPr>
        <w:t>完善区域大气污染防治联合执法机制，推动建立跨区域的大气污染传输监控评估、温室气体排放控制协作等机制，完善跨区域的空气质量预报会商、重污染预警、应急联动机制。</w:t>
      </w:r>
    </w:p>
    <w:p>
      <w:pPr>
        <w:adjustRightInd w:val="0"/>
        <w:snapToGrid w:val="0"/>
        <w:spacing w:line="560" w:lineRule="exact"/>
        <w:ind w:firstLine="643"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强化水生态环境联保联治。</w:t>
      </w:r>
      <w:r>
        <w:rPr>
          <w:rFonts w:hint="eastAsia" w:ascii="仿宋_GB2312" w:hAnsi="仿宋_GB2312" w:eastAsia="仿宋_GB2312" w:cs="仿宋_GB2312"/>
          <w:bCs/>
          <w:color w:val="auto"/>
          <w:sz w:val="32"/>
          <w:szCs w:val="32"/>
          <w:highlight w:val="none"/>
        </w:rPr>
        <w:t>加强流域跨界水生态环境领域合作，推进联保共治向基层延伸。进一步深化突发水污染事件联防联控，联合开展定期会商、隐患排查、应急演练。推进官厅水库流域治理，加大永定河流域综合治理，优化流域水资源配置；实施官厅水库水源保护工程，完善水库保护区隔离防护措施。加强白河流域生态空间管控，推进生活污水处理设施建设，强化农业面源污染控制。落实官厅水库及上游流域横向生态补偿机制，完善密云水库上游生态涵养区横向生态保护补偿机制。</w:t>
      </w:r>
    </w:p>
    <w:p>
      <w:pPr>
        <w:adjustRightInd w:val="0"/>
        <w:snapToGrid w:val="0"/>
        <w:spacing w:line="560" w:lineRule="exact"/>
        <w:ind w:firstLine="643" w:firstLineChars="200"/>
        <w:rPr>
          <w:rFonts w:hint="eastAsia"/>
          <w:color w:val="auto"/>
          <w:sz w:val="32"/>
          <w:szCs w:val="32"/>
          <w:highlight w:val="none"/>
        </w:rPr>
      </w:pPr>
      <w:r>
        <w:rPr>
          <w:rFonts w:hint="eastAsia" w:ascii="仿宋_GB2312" w:hAnsi="仿宋_GB2312" w:eastAsia="仿宋_GB2312" w:cs="仿宋_GB2312"/>
          <w:b/>
          <w:color w:val="auto"/>
          <w:sz w:val="32"/>
          <w:szCs w:val="32"/>
          <w:highlight w:val="none"/>
        </w:rPr>
        <w:t>推动绿色生态屏障联保联建。</w:t>
      </w:r>
      <w:r>
        <w:rPr>
          <w:rFonts w:hint="eastAsia" w:ascii="仿宋_GB2312" w:hAnsi="仿宋_GB2312" w:eastAsia="仿宋_GB2312" w:cs="仿宋_GB2312"/>
          <w:bCs/>
          <w:color w:val="auto"/>
          <w:sz w:val="32"/>
          <w:szCs w:val="32"/>
          <w:highlight w:val="none"/>
        </w:rPr>
        <w:t>区域合作扩大绿色生态空间，在交界地区划定生态绿带控制线，打造绿色环京生态带。统筹与张家口相邻区域的自然资源和自然保护地，探索建立松山—海陀山跨区域的自然保护地体系发展带。</w:t>
      </w:r>
    </w:p>
    <w:p>
      <w:pPr>
        <w:pStyle w:val="3"/>
        <w:keepNext w:val="0"/>
        <w:keepLines w:val="0"/>
        <w:adjustRightInd w:val="0"/>
        <w:snapToGrid w:val="0"/>
        <w:spacing w:before="0" w:after="0" w:line="560" w:lineRule="exact"/>
        <w:jc w:val="center"/>
        <w:rPr>
          <w:rFonts w:hint="eastAsia" w:ascii="方正小标宋简体" w:hAnsi="方正小标宋简体" w:eastAsia="方正小标宋简体" w:cs="方正小标宋简体"/>
          <w:bCs/>
          <w:color w:val="auto"/>
          <w:kern w:val="44"/>
          <w:sz w:val="44"/>
          <w:szCs w:val="44"/>
          <w:highlight w:val="none"/>
        </w:rPr>
      </w:pPr>
      <w:bookmarkStart w:id="233" w:name="_Toc211871762"/>
      <w:bookmarkStart w:id="234" w:name="_Toc27750"/>
      <w:bookmarkStart w:id="235" w:name="_Toc206336532"/>
      <w:bookmarkStart w:id="236" w:name="_Toc203635611"/>
      <w:bookmarkStart w:id="237" w:name="_Toc204014713"/>
      <w:bookmarkStart w:id="238" w:name="_Hlk211411911"/>
      <w:r>
        <w:rPr>
          <w:rFonts w:hint="eastAsia" w:ascii="方正小标宋简体" w:hAnsi="方正小标宋简体" w:eastAsia="方正小标宋简体" w:cs="方正小标宋简体"/>
          <w:bCs/>
          <w:color w:val="auto"/>
          <w:kern w:val="44"/>
          <w:sz w:val="44"/>
          <w:szCs w:val="44"/>
          <w:highlight w:val="none"/>
        </w:rPr>
        <w:t xml:space="preserve">第九章 多元共治 </w:t>
      </w:r>
      <w:bookmarkStart w:id="239" w:name="_Hlk211868989"/>
      <w:r>
        <w:rPr>
          <w:rFonts w:hint="eastAsia" w:ascii="方正小标宋简体" w:hAnsi="方正小标宋简体" w:eastAsia="方正小标宋简体" w:cs="方正小标宋简体"/>
          <w:bCs/>
          <w:color w:val="auto"/>
          <w:kern w:val="44"/>
          <w:sz w:val="44"/>
          <w:szCs w:val="44"/>
          <w:highlight w:val="none"/>
        </w:rPr>
        <w:t>全维度健全现代治理体系</w:t>
      </w:r>
      <w:bookmarkEnd w:id="233"/>
      <w:bookmarkEnd w:id="234"/>
      <w:bookmarkEnd w:id="239"/>
    </w:p>
    <w:bookmarkEnd w:id="235"/>
    <w:bookmarkEnd w:id="236"/>
    <w:bookmarkEnd w:id="237"/>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240" w:name="_Toc211871763"/>
      <w:bookmarkStart w:id="241" w:name="_Toc18148"/>
      <w:r>
        <w:rPr>
          <w:rFonts w:hint="eastAsia" w:ascii="黑体" w:hAnsi="黑体" w:cs="黑体"/>
          <w:b w:val="0"/>
          <w:bCs/>
          <w:color w:val="auto"/>
          <w:highlight w:val="none"/>
        </w:rPr>
        <w:t>一、健全领导责任与考核评价体系</w:t>
      </w:r>
      <w:bookmarkEnd w:id="240"/>
      <w:bookmarkEnd w:id="241"/>
    </w:p>
    <w:p>
      <w:pPr>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完善绿色导向的领导责任体系，将美丽延庆建设作为全区重大战略任务，严格落实“党政同责、一岗双责”，区委、区政府定期研究解决美丽延庆建设重大问题，统筹推进跨部门、跨领域协同工作。优化考核评价机制，逐渐将美丽北京建设考核指标纳入领导班子和领导干部综合考核评价，加大考核权重，强化结果运用，将考核结果与奖惩任免直接挂钩。开展生态环境损害责任追究，对因决策失误、监管不力导致生态环境严重破坏的，依法依规严肃追责。建立生态文明建设情况报告制度，区政府定期向区委、区人大常委会报告美丽延庆建设进展，主动接受监督；健全“河湖林长制”长效机制，细化各级河湖长、林长职责清单，完善巡护、考核、问责闭环管理，同时落实田长制，构建“三长联动、一巡三查”工作模式，确保生态空间管控落地见效。落实自然资源资产管理制度，深入开展领导干部自然资源资产离任审计，全面夯实生态保护责任。</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242" w:name="_Toc211871764"/>
      <w:bookmarkStart w:id="243" w:name="_Toc12108"/>
      <w:r>
        <w:rPr>
          <w:rFonts w:hint="eastAsia" w:ascii="黑体" w:hAnsi="黑体" w:cs="黑体"/>
          <w:b w:val="0"/>
          <w:bCs/>
          <w:color w:val="auto"/>
          <w:highlight w:val="none"/>
        </w:rPr>
        <w:t>二、健全生态环境</w:t>
      </w:r>
      <w:r>
        <w:rPr>
          <w:rFonts w:ascii="黑体" w:hAnsi="黑体" w:cs="黑体"/>
          <w:b w:val="0"/>
          <w:bCs/>
          <w:color w:val="auto"/>
          <w:highlight w:val="none"/>
        </w:rPr>
        <w:t>监管</w:t>
      </w:r>
      <w:r>
        <w:rPr>
          <w:rFonts w:hint="eastAsia" w:ascii="黑体" w:hAnsi="黑体" w:cs="黑体"/>
          <w:b w:val="0"/>
          <w:bCs/>
          <w:color w:val="auto"/>
          <w:highlight w:val="none"/>
        </w:rPr>
        <w:t>与</w:t>
      </w:r>
      <w:r>
        <w:rPr>
          <w:rFonts w:ascii="黑体" w:hAnsi="黑体" w:cs="黑体"/>
          <w:b w:val="0"/>
          <w:bCs/>
          <w:color w:val="auto"/>
          <w:highlight w:val="none"/>
        </w:rPr>
        <w:t>法治</w:t>
      </w:r>
      <w:r>
        <w:rPr>
          <w:rFonts w:hint="eastAsia" w:ascii="黑体" w:hAnsi="黑体" w:cs="黑体"/>
          <w:b w:val="0"/>
          <w:bCs/>
          <w:color w:val="auto"/>
          <w:highlight w:val="none"/>
        </w:rPr>
        <w:t>体系</w:t>
      </w:r>
      <w:bookmarkEnd w:id="242"/>
      <w:bookmarkEnd w:id="243"/>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（一）强化环境监管效能</w:t>
      </w:r>
    </w:p>
    <w:p>
      <w:pPr>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完善重点污染源动态监管清单，对高污染、高风险企业加大抽查频次；加快形成智慧执法体系，提高执法精准度与效率。完善环评源头预防管理体系，全面实行排污许可制，完善“监管统筹、监测感知、监察执法”的“三监联动”监管模式，建设“无事不扰”又“无处不在”的监管模式。以环境执法大练兵为载体，强化监察人员业务技能与法治素养培训，全面提升综合履职能力，打造专业过硬的一流环境监察队伍。推进以信用为基础的生态环境监管机制，将企业环保信用等级与行政许可、融资信贷、政府采购等挂钩，实施守信激励、失信惩戒。</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（二）强化环境法治建设</w:t>
      </w:r>
    </w:p>
    <w:p>
      <w:pPr>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完善检察公益诉讼与生态环境损害赔偿、生态环境督察的衔接机制，建立案件线索共享、调查取证协作、处理结果互认机制，形成司法保护与行政监管合力。</w:t>
      </w:r>
      <w:r>
        <w:rPr>
          <w:rFonts w:ascii="仿宋_GB2312" w:hAnsi="仿宋_GB2312" w:eastAsia="仿宋_GB2312" w:cs="仿宋_GB2312"/>
          <w:bCs/>
          <w:color w:val="auto"/>
          <w:sz w:val="32"/>
          <w:szCs w:val="32"/>
          <w:highlight w:val="none"/>
        </w:rPr>
        <w:t>进一步夯实基层执法力量，</w:t>
      </w:r>
      <w:r>
        <w:rPr>
          <w:rFonts w:hint="eastAsia" w:ascii="仿宋_GB2312" w:hAnsi="仿宋_GB2312" w:eastAsia="仿宋_GB2312" w:cs="仿宋_GB2312"/>
          <w:bCs/>
          <w:color w:val="auto"/>
          <w:sz w:val="32"/>
          <w:szCs w:val="32"/>
          <w:highlight w:val="none"/>
        </w:rPr>
        <w:t>推进生态警务建设，依托现有生态警务站、生态警长及生态小警长队伍，深化公安与生态环境、园林绿化等部门联动，严厉打击非法采矿、盗伐林木、污染环境等破坏生态的违法犯罪行为，筑牢生态安全司法防线。</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244" w:name="_Toc211871765"/>
      <w:bookmarkStart w:id="245" w:name="_Toc5083"/>
      <w:r>
        <w:rPr>
          <w:rFonts w:hint="eastAsia" w:ascii="黑体" w:hAnsi="黑体" w:cs="黑体"/>
          <w:b w:val="0"/>
          <w:bCs/>
          <w:color w:val="auto"/>
          <w:highlight w:val="none"/>
        </w:rPr>
        <w:t>三、健全企业责任与市场激励体系</w:t>
      </w:r>
      <w:bookmarkEnd w:id="244"/>
      <w:bookmarkEnd w:id="245"/>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（一）压实企业生态环保主体责任</w:t>
      </w:r>
    </w:p>
    <w:p>
      <w:pPr>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深化排污许可“一证式”管理，推动排污许可与环评、总量控制、执法监管有机融合，实现企业全生命周期环境监管。完善企业环境信息依法披露制度，要求排污单位定期公开污染排放数据、治污设施运行情况、生态环境应急预案等信息，依托智慧环保平台提升信息公开透明度，接受社会监督。引导企业主动治污，支持企业开展清洁生产审核、节能减污降碳技术改造，</w:t>
      </w:r>
      <w:r>
        <w:rPr>
          <w:rFonts w:ascii="仿宋_GB2312" w:hAnsi="仿宋_GB2312" w:eastAsia="仿宋_GB2312" w:cs="仿宋_GB2312"/>
          <w:bCs/>
          <w:color w:val="auto"/>
          <w:sz w:val="32"/>
          <w:szCs w:val="32"/>
          <w:highlight w:val="none"/>
        </w:rPr>
        <w:t>鼓励企业争创绿色工厂、绿色供应链、能效领跑者等绿色品牌，深化绿色产品认证与推广。</w:t>
      </w:r>
      <w:r>
        <w:rPr>
          <w:rFonts w:hint="eastAsia" w:ascii="仿宋_GB2312" w:hAnsi="仿宋_GB2312" w:eastAsia="仿宋_GB2312" w:cs="仿宋_GB2312"/>
          <w:bCs/>
          <w:color w:val="auto"/>
          <w:sz w:val="32"/>
          <w:szCs w:val="32"/>
          <w:highlight w:val="none"/>
        </w:rPr>
        <w:t>对积极履行环保责任的企业给予政策倾斜。加强环境、社会和公司治理体系建设，提升企业绿色发展水平。</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（二）优化绿色发展激励政策</w:t>
      </w:r>
    </w:p>
    <w:p>
      <w:pPr>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推进自然资源管理与绿色发展，完善生态补偿机制</w:t>
      </w:r>
      <w:r>
        <w:rPr>
          <w:rFonts w:hint="eastAsia" w:ascii="仿宋_GB2312" w:hAnsi="仿宋_GB2312" w:eastAsia="仿宋_GB2312" w:cs="仿宋_GB2312"/>
          <w:bCs/>
          <w:color w:val="auto"/>
          <w:sz w:val="32"/>
          <w:szCs w:val="32"/>
          <w:highlight w:val="none"/>
        </w:rPr>
        <w:t>。深化自然资源资产产权制度改革，推进自然保护地、河流、森林等自然资源确权登记，明确产权归属，为生态产品市场化交易奠定基础。积极推进绿色发展的财税、金融、投资、价格政策，加大对低碳产业、生态修复、绿色建筑等领域的财政补贴力度；落实环境保护、节能节水项目企业所得税减免等节能环保税收优惠政策，研究完善绿色低碳的资源能源价格机制。深化生态保护补偿机制，结合GEP核算结果，优化区对街乡生态补偿资金分配，探索跨区域生态补偿（如官厅水库、密云水库流域横向补偿），推动生态保护者获得合理回报。</w:t>
      </w:r>
    </w:p>
    <w:p>
      <w:pPr>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积极探索绿色金融产品和服务创新，加快建设区域绿色金融体系，向上争取碳质押贷款、绿色债券、生态保险等产品，支持中关村延庆园绿电示范园区、近零碳社区等项目融资；落实企业生态环保费用提取使用制度，允许企业按规定提取生态环保专项资金用于污染治理和生态修复。研究建立“创绿”指数，实施绿色企业和项目绩效评价、绿色诊断，引导企业绿色转型。完善社会资本参与生态保护修复激励政策，通过EOD等模式引导社会资本参与湿地治理、生态文旅项目，明确投资回报机制，激发市场主体活力。</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246" w:name="_Toc211871766"/>
      <w:bookmarkStart w:id="247" w:name="_Toc15495"/>
      <w:r>
        <w:rPr>
          <w:rFonts w:hint="eastAsia" w:ascii="黑体" w:hAnsi="黑体" w:cs="黑体"/>
          <w:b w:val="0"/>
          <w:bCs/>
          <w:color w:val="auto"/>
          <w:highlight w:val="none"/>
        </w:rPr>
        <w:t>四、健全全民行动与文化宣传体系</w:t>
      </w:r>
      <w:bookmarkEnd w:id="246"/>
      <w:bookmarkEnd w:id="247"/>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（一）构建全民参与机制</w:t>
      </w:r>
    </w:p>
    <w:p>
      <w:pPr>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传承弘扬优秀生态文化，培育生态文明主流价值观，增强全民节约意识、环保意识、生态意识，将习近平生态文明思想、“两山”理念融入公共文化宣传，通过社区讲座、校园课程、新媒体传播等形式，加快形成全民生态自觉。持续推动生活垃圾源头减量，提升垃圾分类管理水平，深入推进“光盘行动”，倡导简约适度、绿色低碳、文明健康的生活理念和消费方式，让绿色消费、绿色出行、节水节电等成为习惯，深入开展绿色家庭、绿色学校、绿色社区创建。</w:t>
      </w:r>
    </w:p>
    <w:p>
      <w:pPr>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深入挖掘延庆长城文化、冬奥遗产中的生态元素，以及传统农耕文明中的生态智慧，依托长城文化带建设，推进历史文化保护与生态环境保护互融互促。鼓励文化艺术界人士参与生态文化产品创作，推动生态文化繁荣发展，创作生态主题文学、影视、美术作品，推进野鸭湖湿地、世园公园等特色生态文化资源活化利用，打造“美丽延庆”文化IP。加强生态文明宣传教育，将生态环保内容纳入党政领导干部培训必修课程，推进自然教育，提升全民生态素养。</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（二）拓宽公众参与渠道</w:t>
      </w:r>
    </w:p>
    <w:p>
      <w:pPr>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推进环保设施向公众开放，定期组织污水处理厂、环境监测站等设施开展公众开放日活动，邀请市民、学生实地参观，增进对生态环保工作的理解与支持。建立健全重大环境决策公众参与制度，对涉及群众切身利益的建设项目，通过听证会、问卷调查、网络征求意见等方式，广泛听取公众意见，保障公众知情权、参与权、监督权。完善“碳普惠”等公众参与机制，健全生态环境志愿服务体系，组建专业化志愿服务队伍，开展垃圾分类宣传、湿地巡护、野生动物保护等志愿活动，建立志愿服务积分制度，激励公众长期参与。</w:t>
      </w:r>
    </w:p>
    <w:p>
      <w:pPr>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完善公众生态环境监督和举报反馈机制。发挥群团组织和行业协会作用，畅通举报渠道，及时回应公众诉求。深入开展“美丽中国，我是行动者”系列活动，办好全国生态日、环境日及北京生态环境文化周等活动，宣传美丽延庆建设成效，展现绿色魅力，凝聚全民参与合力。</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248" w:name="_Toc211871767"/>
      <w:bookmarkStart w:id="249" w:name="_Toc28779"/>
      <w:r>
        <w:rPr>
          <w:rFonts w:hint="eastAsia" w:ascii="黑体" w:hAnsi="黑体" w:cs="黑体"/>
          <w:b w:val="0"/>
          <w:bCs/>
          <w:color w:val="auto"/>
          <w:highlight w:val="none"/>
        </w:rPr>
        <w:t>五、健全科技创新与国际交流体系</w:t>
      </w:r>
      <w:bookmarkEnd w:id="248"/>
      <w:bookmarkEnd w:id="249"/>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（一）强化科技创新驱动</w:t>
      </w:r>
    </w:p>
    <w:p>
      <w:pPr>
        <w:adjustRightInd w:val="0"/>
        <w:snapToGrid w:val="0"/>
        <w:spacing w:line="560" w:lineRule="exact"/>
        <w:ind w:firstLine="643"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构建绿色低碳科技创新体系。</w:t>
      </w:r>
      <w:r>
        <w:rPr>
          <w:rFonts w:hint="eastAsia" w:ascii="仿宋_GB2312" w:hAnsi="仿宋_GB2312" w:eastAsia="仿宋_GB2312" w:cs="仿宋_GB2312"/>
          <w:bCs/>
          <w:color w:val="auto"/>
          <w:sz w:val="32"/>
          <w:szCs w:val="32"/>
          <w:highlight w:val="none"/>
        </w:rPr>
        <w:t>加大美丽延庆建设科技创新投入，构建多主体融合、多渠道汇集的科技创新格局。聚焦减污降碳、应对气候变化、生态修复、生态产品价值转化、新能源开发与利用、生物多样性保护等重点领域，联合高校、科研院所开展技术攻关，突破关键技术，强化关键技术研究与科技成果转化应用和推广。</w:t>
      </w:r>
    </w:p>
    <w:p>
      <w:pPr>
        <w:adjustRightInd w:val="0"/>
        <w:snapToGrid w:val="0"/>
        <w:spacing w:line="560" w:lineRule="exact"/>
        <w:ind w:firstLine="643"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实施科技创新产学研用深度融合。</w:t>
      </w:r>
      <w:r>
        <w:rPr>
          <w:rFonts w:hint="eastAsia" w:ascii="仿宋_GB2312" w:hAnsi="仿宋_GB2312" w:eastAsia="仿宋_GB2312" w:cs="仿宋_GB2312"/>
          <w:bCs/>
          <w:color w:val="auto"/>
          <w:sz w:val="32"/>
          <w:szCs w:val="32"/>
          <w:highlight w:val="none"/>
        </w:rPr>
        <w:t>支持中关村延庆园无人机与科研机构共建实验室、中试基地，加速科技成果在生态环境领域应用；在生态修复、智慧环保等领域布局一批示范项目，以技术创新带动生态治理能力提升。深化人工智能、大数据、区块链等技术应用，加强数据资源集成共享和综合利用，提升生态环境数智化水平。完善生态环境数据资源体系，充分整合挖掘环境数据统计分析、共享利用、智能决策等功能，保障数据时效性、准确性和规范性；完善智慧调度平台，形成智能感知、智能识别、智能分析、智慧决策的全链条智慧化技术支撑体系。</w:t>
      </w:r>
    </w:p>
    <w:p>
      <w:pPr>
        <w:adjustRightInd w:val="0"/>
        <w:snapToGrid w:val="0"/>
        <w:spacing w:line="560" w:lineRule="exact"/>
        <w:ind w:firstLine="643"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提升生态环境监测能力。</w:t>
      </w:r>
      <w:r>
        <w:rPr>
          <w:rFonts w:hint="eastAsia" w:ascii="仿宋_GB2312" w:hAnsi="仿宋_GB2312" w:eastAsia="仿宋_GB2312" w:cs="仿宋_GB2312"/>
          <w:bCs/>
          <w:color w:val="auto"/>
          <w:sz w:val="32"/>
          <w:szCs w:val="32"/>
          <w:highlight w:val="none"/>
        </w:rPr>
        <w:t>建立现代化生态环境监测体系，进一步整合卫星遥感、地面监测站、移动监测车数据，构建“天-空-地”一体化监测网络，实施污染天气提级应对。推广普及非现场执法模式，完善跨部门协同治理平台，升级“七部门联动”监管机制，通过区块链技术实现执法记录整改情况的全流程上链，确保各部门责任可追溯、数据不可篡改。拓展、提升餐饮油烟等重点管控行业企业在线监控，扩大汽修行业等VOCs在线监控覆盖范围，拓展监控指标；梳理重点工业源清单，继续推进工况监控和能耗监控安装和联网，在重点点位安装机动车尾气遥测设备及柴油车黑烟抓拍识别设备，精确识别超标排放车辆，完善利用高空视频</w:t>
      </w:r>
      <w:r>
        <w:rPr>
          <w:rFonts w:hint="eastAsia" w:ascii="微软雅黑" w:hAnsi="微软雅黑" w:eastAsia="微软雅黑" w:cs="微软雅黑"/>
          <w:bCs/>
          <w:color w:val="auto"/>
          <w:sz w:val="32"/>
          <w:szCs w:val="32"/>
          <w:highlight w:val="none"/>
        </w:rPr>
        <w:t>瞭</w:t>
      </w:r>
      <w:r>
        <w:rPr>
          <w:rFonts w:hint="eastAsia" w:ascii="仿宋_GB2312" w:hAnsi="仿宋_GB2312" w:eastAsia="仿宋_GB2312" w:cs="仿宋_GB2312"/>
          <w:bCs/>
          <w:color w:val="auto"/>
          <w:sz w:val="32"/>
          <w:szCs w:val="32"/>
          <w:highlight w:val="none"/>
        </w:rPr>
        <w:t>望设备，实现对施工源扬尘等在线监控；在考核断面、出入境断面、入河排口、饮用水源地等建立水质、水量在线监测以及视频监控；针对声功能区和考核点位开展声环境监测。提升生态监测能力建设，加强对生态保护红线、自然保护地、重要生态系统、生物多样性等方面的生态质量监测能力，建立野生动物动态监测网络，定期开展生物分类、生态调查等技能培训，培养一批本土技术骨干。</w:t>
      </w:r>
    </w:p>
    <w:p>
      <w:pPr>
        <w:adjustRightInd w:val="0"/>
        <w:snapToGrid w:val="0"/>
        <w:spacing w:line="560" w:lineRule="exact"/>
        <w:ind w:firstLine="643"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科技支撑新时代环境执法能力。</w:t>
      </w:r>
      <w:r>
        <w:rPr>
          <w:rFonts w:hint="eastAsia" w:ascii="仿宋_GB2312" w:hAnsi="仿宋_GB2312" w:eastAsia="仿宋_GB2312" w:cs="仿宋_GB2312"/>
          <w:bCs/>
          <w:color w:val="auto"/>
          <w:sz w:val="32"/>
          <w:szCs w:val="32"/>
          <w:highlight w:val="none"/>
        </w:rPr>
        <w:t>推广无人机巡查、走航车监测等非现场执法手段，着力提升生态环境执法效能。强化低空技术支撑环境管理工作，积极开拓无人机在生态环境领域的多元应用，利用无人机开展重点区域水源地、排污口、工业园区、施工工地、裸地、自然保护区、风景名胜区、小微水体常态化巡查监管，探索推广利用无人机开展土方工地洒水作业、环境监测取样、突发污染事件快速勘察、非现场执法取证等工作。</w:t>
      </w:r>
    </w:p>
    <w:p>
      <w:pPr>
        <w:adjustRightInd w:val="0"/>
        <w:snapToGrid w:val="0"/>
        <w:spacing w:line="560" w:lineRule="exact"/>
        <w:ind w:firstLine="643"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rPr>
        <w:t>加强生态文明领域智库建设。</w:t>
      </w:r>
      <w:r>
        <w:rPr>
          <w:rFonts w:hint="eastAsia" w:ascii="仿宋_GB2312" w:hAnsi="仿宋_GB2312" w:eastAsia="仿宋_GB2312" w:cs="仿宋_GB2312"/>
          <w:bCs/>
          <w:color w:val="auto"/>
          <w:sz w:val="32"/>
          <w:szCs w:val="32"/>
          <w:highlight w:val="none"/>
        </w:rPr>
        <w:t>聘请生态环境、绿色经济等领域专家组建顾问团队，为美丽延庆建设提供决策咨询；培养造就一支高水平生态环境人才队伍，通过人才引进、在职培训、校企合作等方式，壮大生态监测、环境执法、生态经济等专业人才力量。</w:t>
      </w:r>
    </w:p>
    <w:p>
      <w:pPr>
        <w:pStyle w:val="6"/>
        <w:keepNext w:val="0"/>
        <w:keepLines w:val="0"/>
        <w:widowControl/>
        <w:shd w:val="clear" w:color="auto" w:fill="FFFFFF"/>
        <w:adjustRightInd w:val="0"/>
        <w:snapToGrid w:val="0"/>
        <w:spacing w:before="0" w:after="0" w:line="560"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（二）打造国际交流传播窗口</w:t>
      </w:r>
    </w:p>
    <w:p>
      <w:pPr>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积极争取应对气候变化、生物多样性保护、生态产品价值实现等领域国际合作，依托延庆冬奥遗产、野鸭湖国际重要湿地、生态产品价值实现试点等平台，承办国内国际论坛、气候变化研讨会等活动，分享生态产品价值实现、低碳城市建设等“延庆经验”。深入开展习近平生态文明思想研究阐释与宣传展示，提升区域生态品牌国际影响力。深化生态环境领域国际交流合作，积极宣传国际一流的冬奥城建设成效。</w:t>
      </w:r>
    </w:p>
    <w:p>
      <w:pPr>
        <w:adjustRightInd w:val="0"/>
        <w:snapToGrid w:val="0"/>
        <w:spacing w:line="560" w:lineRule="exact"/>
        <w:ind w:firstLine="640" w:firstLineChars="200"/>
        <w:rPr>
          <w:rFonts w:hint="eastAsia" w:ascii="仿宋_GB2312" w:hAnsi="仿宋_GB2312" w:eastAsia="仿宋_GB2312" w:cs="仿宋_GB2312"/>
          <w:bCs/>
          <w:color w:val="auto"/>
          <w:sz w:val="32"/>
          <w:szCs w:val="32"/>
          <w:highlight w:val="none"/>
        </w:rPr>
      </w:pPr>
    </w:p>
    <w:p>
      <w:pPr>
        <w:rPr>
          <w:rFonts w:hint="eastAsia"/>
          <w:color w:val="auto"/>
          <w:highlight w:val="none"/>
        </w:rPr>
      </w:pPr>
      <w:bookmarkStart w:id="250" w:name="_Toc206336533"/>
    </w:p>
    <w:bookmarkEnd w:id="250"/>
    <w:p>
      <w:pPr>
        <w:rPr>
          <w:rFonts w:hint="eastAsia"/>
          <w:color w:val="auto"/>
          <w:sz w:val="24"/>
          <w:szCs w:val="32"/>
          <w:highlight w:val="none"/>
        </w:rPr>
        <w:sectPr>
          <w:pgSz w:w="11906" w:h="16838"/>
          <w:pgMar w:top="1440" w:right="1800" w:bottom="1440" w:left="1800" w:header="851" w:footer="992" w:gutter="0"/>
          <w:pgNumType w:fmt="numberInDash"/>
          <w:cols w:space="425" w:num="1"/>
          <w:docGrid w:type="lines" w:linePitch="312" w:charSpace="0"/>
        </w:sectPr>
      </w:pPr>
    </w:p>
    <w:p>
      <w:pPr>
        <w:pStyle w:val="3"/>
        <w:keepNext w:val="0"/>
        <w:keepLines w:val="0"/>
        <w:adjustRightInd w:val="0"/>
        <w:snapToGrid w:val="0"/>
        <w:spacing w:before="0" w:after="0" w:line="560" w:lineRule="exact"/>
        <w:jc w:val="center"/>
        <w:rPr>
          <w:rFonts w:hint="eastAsia" w:ascii="方正小标宋简体" w:hAnsi="方正小标宋简体" w:eastAsia="方正小标宋简体" w:cs="方正小标宋简体"/>
          <w:bCs/>
          <w:color w:val="auto"/>
          <w:kern w:val="44"/>
          <w:sz w:val="44"/>
          <w:szCs w:val="44"/>
          <w:highlight w:val="none"/>
        </w:rPr>
      </w:pPr>
      <w:bookmarkStart w:id="251" w:name="_Toc204014716"/>
      <w:bookmarkStart w:id="252" w:name="_Toc206336539"/>
      <w:bookmarkStart w:id="253" w:name="_Toc211871768"/>
      <w:bookmarkStart w:id="254" w:name="_Toc203635614"/>
      <w:bookmarkStart w:id="255" w:name="_Toc30770"/>
      <w:r>
        <w:rPr>
          <w:rFonts w:hint="eastAsia" w:ascii="方正小标宋简体" w:hAnsi="方正小标宋简体" w:eastAsia="方正小标宋简体" w:cs="方正小标宋简体"/>
          <w:bCs/>
          <w:color w:val="auto"/>
          <w:kern w:val="44"/>
          <w:sz w:val="44"/>
          <w:szCs w:val="44"/>
          <w:highlight w:val="none"/>
        </w:rPr>
        <w:t>第十章 保障措施</w:t>
      </w:r>
      <w:bookmarkEnd w:id="251"/>
      <w:bookmarkEnd w:id="252"/>
      <w:bookmarkEnd w:id="253"/>
      <w:bookmarkEnd w:id="254"/>
      <w:bookmarkEnd w:id="255"/>
    </w:p>
    <w:p>
      <w:pPr>
        <w:pStyle w:val="63"/>
        <w:adjustRightInd w:val="0"/>
        <w:snapToGrid w:val="0"/>
        <w:spacing w:line="560" w:lineRule="exact"/>
        <w:ind w:firstLine="640"/>
        <w:rPr>
          <w:rFonts w:hint="eastAsia" w:ascii="仿宋_GB2312" w:hAnsi="仿宋_GB2312" w:eastAsia="仿宋_GB2312" w:cs="仿宋_GB2312"/>
          <w:color w:val="auto"/>
          <w:sz w:val="32"/>
          <w:szCs w:val="32"/>
          <w:highlight w:val="none"/>
        </w:rPr>
      </w:pPr>
      <w:bookmarkStart w:id="256" w:name="_Toc9022"/>
      <w:bookmarkStart w:id="257" w:name="_Toc13989"/>
      <w:bookmarkStart w:id="258" w:name="_Toc3523"/>
      <w:bookmarkStart w:id="259" w:name="_Toc12138"/>
      <w:bookmarkStart w:id="260" w:name="_Toc26610"/>
      <w:bookmarkStart w:id="261" w:name="_Toc89678078"/>
      <w:bookmarkStart w:id="262" w:name="_Toc12145"/>
      <w:bookmarkStart w:id="263" w:name="_Toc25939"/>
      <w:bookmarkStart w:id="264" w:name="_Toc21095"/>
      <w:bookmarkStart w:id="265" w:name="_Toc17924"/>
      <w:bookmarkStart w:id="266" w:name="_Toc123242760"/>
      <w:bookmarkStart w:id="267" w:name="_Toc206336540"/>
      <w:bookmarkStart w:id="268" w:name="_Toc12009"/>
      <w:bookmarkStart w:id="269" w:name="_Toc3894"/>
      <w:bookmarkStart w:id="270" w:name="_Toc18714"/>
      <w:bookmarkStart w:id="271" w:name="_Toc10100"/>
      <w:bookmarkStart w:id="272" w:name="_Toc204014717"/>
      <w:bookmarkStart w:id="273" w:name="_Toc17681"/>
      <w:bookmarkStart w:id="274" w:name="_Toc20254"/>
      <w:bookmarkStart w:id="275" w:name="_Toc203635615"/>
      <w:bookmarkStart w:id="276" w:name="_Toc29797"/>
      <w:bookmarkStart w:id="277" w:name="_Toc24269"/>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278" w:name="_Toc211871769"/>
      <w:bookmarkStart w:id="279" w:name="_Toc12020"/>
      <w:r>
        <w:rPr>
          <w:rFonts w:hint="eastAsia" w:ascii="黑体" w:hAnsi="黑体" w:cs="黑体"/>
          <w:b w:val="0"/>
          <w:bCs/>
          <w:color w:val="auto"/>
          <w:highlight w:val="none"/>
        </w:rPr>
        <w:t>一、</w:t>
      </w:r>
      <w:bookmarkEnd w:id="256"/>
      <w:bookmarkEnd w:id="257"/>
      <w:bookmarkEnd w:id="258"/>
      <w:bookmarkEnd w:id="259"/>
      <w:bookmarkEnd w:id="260"/>
      <w:bookmarkEnd w:id="261"/>
      <w:bookmarkEnd w:id="262"/>
      <w:bookmarkEnd w:id="263"/>
      <w:bookmarkEnd w:id="264"/>
      <w:bookmarkEnd w:id="265"/>
      <w:r>
        <w:rPr>
          <w:rFonts w:hint="eastAsia" w:ascii="黑体" w:hAnsi="黑体" w:cs="黑体"/>
          <w:b w:val="0"/>
          <w:bCs/>
          <w:color w:val="auto"/>
          <w:highlight w:val="none"/>
        </w:rPr>
        <w:t>加强组织领导</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adjustRightInd w:val="0"/>
        <w:snapToGrid w:val="0"/>
        <w:spacing w:line="560" w:lineRule="exact"/>
        <w:ind w:firstLine="640" w:firstLineChars="200"/>
        <w:rPr>
          <w:rFonts w:hint="eastAsia"/>
          <w:color w:val="auto"/>
          <w:sz w:val="32"/>
          <w:szCs w:val="32"/>
          <w:highlight w:val="none"/>
        </w:rPr>
      </w:pPr>
      <w:r>
        <w:rPr>
          <w:rFonts w:hint="eastAsia" w:ascii="仿宋_GB2312" w:eastAsia="仿宋_GB2312"/>
          <w:color w:val="auto"/>
          <w:sz w:val="32"/>
          <w:szCs w:val="32"/>
          <w:highlight w:val="none"/>
        </w:rPr>
        <w:t>坚持党的集中统一领导，落实生态环境保护“党政同责、一岗双责”，及时研究解决重大问题。明确规划实施管理部门，完善多部门协作机制，明晰任务，协同推进规划实施。责任单位各负其责，依法依规有序推进项目实施。</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280" w:name="_Toc26881"/>
      <w:bookmarkStart w:id="281" w:name="_Toc204014718"/>
      <w:bookmarkStart w:id="282" w:name="_Toc30900"/>
      <w:bookmarkStart w:id="283" w:name="_Toc123242761"/>
      <w:bookmarkStart w:id="284" w:name="_Toc5272"/>
      <w:bookmarkStart w:id="285" w:name="_Toc13285"/>
      <w:bookmarkStart w:id="286" w:name="_Toc206336541"/>
      <w:bookmarkStart w:id="287" w:name="_Toc2063"/>
      <w:bookmarkStart w:id="288" w:name="_Toc203635616"/>
      <w:bookmarkStart w:id="289" w:name="_Toc10501"/>
      <w:bookmarkStart w:id="290" w:name="_Toc9316"/>
      <w:bookmarkStart w:id="291" w:name="_Toc11821"/>
      <w:bookmarkStart w:id="292" w:name="_Toc8836"/>
      <w:bookmarkStart w:id="293" w:name="_Toc32681"/>
      <w:bookmarkStart w:id="294" w:name="_Toc29294"/>
      <w:bookmarkStart w:id="295" w:name="_Toc20816"/>
      <w:bookmarkStart w:id="296" w:name="_Toc8508"/>
      <w:bookmarkStart w:id="297" w:name="_Toc89678082"/>
      <w:bookmarkStart w:id="298" w:name="_Toc19530"/>
      <w:bookmarkStart w:id="299" w:name="_Toc32104"/>
      <w:bookmarkStart w:id="300" w:name="_Toc10555"/>
      <w:bookmarkStart w:id="301" w:name="_Toc2657"/>
      <w:bookmarkStart w:id="302" w:name="_Toc211871770"/>
      <w:bookmarkStart w:id="303" w:name="_Toc14110"/>
      <w:r>
        <w:rPr>
          <w:rFonts w:hint="eastAsia" w:ascii="黑体" w:hAnsi="黑体" w:cs="黑体"/>
          <w:b w:val="0"/>
          <w:bCs/>
          <w:color w:val="auto"/>
          <w:highlight w:val="none"/>
        </w:rPr>
        <w:t>二、强化监督评估</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adjustRightInd w:val="0"/>
        <w:snapToGrid w:val="0"/>
        <w:spacing w:line="560" w:lineRule="exact"/>
        <w:ind w:firstLine="640" w:firstLineChars="200"/>
        <w:rPr>
          <w:rFonts w:hint="eastAsia"/>
          <w:color w:val="auto"/>
          <w:sz w:val="32"/>
          <w:szCs w:val="32"/>
          <w:highlight w:val="none"/>
        </w:rPr>
      </w:pPr>
      <w:r>
        <w:rPr>
          <w:rFonts w:hint="eastAsia" w:ascii="仿宋_GB2312" w:eastAsia="仿宋_GB2312"/>
          <w:color w:val="auto"/>
          <w:sz w:val="32"/>
          <w:szCs w:val="32"/>
          <w:highlight w:val="none"/>
        </w:rPr>
        <w:t>做好美丽北京建设成效考核制度实施切换工作，考核结果作为领导班子和有关领导干部综合考核评价、奖惩任免的重要参考。落实生态环境损害赔偿及领导干部自然资源资产离任审计等制度。深化生态环保督察，强化责任落实与考核评价。依托污染防治攻坚战、环境质量目标约束、碳排放控制目标约束等平台，推动规划有效实施。加强对规划实施情况的监督检查、跟踪分析和评估考核，保障规划落实落地。</w:t>
      </w:r>
    </w:p>
    <w:p>
      <w:pPr>
        <w:pStyle w:val="61"/>
        <w:adjustRightInd w:val="0"/>
        <w:snapToGrid w:val="0"/>
        <w:spacing w:beforeLines="0" w:afterLines="0" w:line="560" w:lineRule="exact"/>
        <w:ind w:firstLine="640" w:firstLineChars="200"/>
        <w:rPr>
          <w:rFonts w:hint="eastAsia" w:ascii="黑体" w:hAnsi="黑体" w:cs="黑体"/>
          <w:b w:val="0"/>
          <w:bCs/>
          <w:color w:val="auto"/>
          <w:highlight w:val="none"/>
        </w:rPr>
      </w:pPr>
      <w:bookmarkStart w:id="304" w:name="_Toc28853"/>
      <w:bookmarkStart w:id="305" w:name="_Toc89678085"/>
      <w:bookmarkStart w:id="306" w:name="_Toc3817"/>
      <w:bookmarkStart w:id="307" w:name="_Toc4430"/>
      <w:bookmarkStart w:id="308" w:name="_Toc3473"/>
      <w:bookmarkStart w:id="309" w:name="_Toc16651"/>
      <w:bookmarkStart w:id="310" w:name="_Toc29217"/>
      <w:bookmarkStart w:id="311" w:name="_Toc27222"/>
      <w:bookmarkStart w:id="312" w:name="_Toc27372"/>
      <w:bookmarkStart w:id="313" w:name="_Toc17656"/>
      <w:bookmarkStart w:id="314" w:name="_Toc6994"/>
      <w:bookmarkStart w:id="315" w:name="_Toc5657"/>
      <w:bookmarkStart w:id="316" w:name="_Toc48223344"/>
      <w:bookmarkStart w:id="317" w:name="_Toc206336542"/>
      <w:bookmarkStart w:id="318" w:name="_Toc8725"/>
      <w:bookmarkStart w:id="319" w:name="_Toc12354"/>
      <w:bookmarkStart w:id="320" w:name="_Toc204014719"/>
      <w:bookmarkStart w:id="321" w:name="_Toc123242762"/>
      <w:bookmarkStart w:id="322" w:name="_Toc22994"/>
      <w:bookmarkStart w:id="323" w:name="_Toc8989"/>
      <w:bookmarkStart w:id="324" w:name="_Toc211871771"/>
      <w:bookmarkStart w:id="325" w:name="_Toc5445"/>
      <w:bookmarkStart w:id="326" w:name="_Toc22786"/>
      <w:bookmarkStart w:id="327" w:name="_Toc29284"/>
      <w:bookmarkStart w:id="328" w:name="_Toc31684"/>
      <w:bookmarkStart w:id="329" w:name="_Toc203635617"/>
      <w:bookmarkStart w:id="330" w:name="_Toc16902"/>
      <w:r>
        <w:rPr>
          <w:rFonts w:hint="eastAsia" w:ascii="黑体" w:hAnsi="黑体" w:cs="黑体"/>
          <w:b w:val="0"/>
          <w:bCs/>
          <w:color w:val="auto"/>
          <w:highlight w:val="none"/>
        </w:rPr>
        <w:t>三、</w:t>
      </w:r>
      <w:bookmarkEnd w:id="304"/>
      <w:bookmarkEnd w:id="305"/>
      <w:bookmarkEnd w:id="306"/>
      <w:bookmarkEnd w:id="307"/>
      <w:bookmarkEnd w:id="308"/>
      <w:bookmarkEnd w:id="309"/>
      <w:bookmarkEnd w:id="310"/>
      <w:bookmarkEnd w:id="311"/>
      <w:bookmarkEnd w:id="312"/>
      <w:bookmarkEnd w:id="313"/>
      <w:bookmarkEnd w:id="314"/>
      <w:bookmarkEnd w:id="315"/>
      <w:bookmarkEnd w:id="316"/>
      <w:r>
        <w:rPr>
          <w:rFonts w:hint="eastAsia" w:ascii="黑体" w:hAnsi="黑体" w:cs="黑体"/>
          <w:b w:val="0"/>
          <w:bCs/>
          <w:color w:val="auto"/>
          <w:highlight w:val="none"/>
        </w:rPr>
        <w:t>加大资金投入</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adjustRightInd w:val="0"/>
        <w:snapToGrid w:val="0"/>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增加政府资金投入，积极争取市级资金支撑。依法合规拓宽融资渠道，通过社会资金、贷款、基金、债券等方式，探索绿色发展资金筹措新模式。加强环境保护税、污水处理费、垃圾处理费征收使用管理。探索建立综合性生态补偿机制，完善市场化、多元化生态补偿。</w:t>
      </w:r>
      <w:bookmarkEnd w:id="238"/>
    </w:p>
    <w:p>
      <w:pPr>
        <w:adjustRightInd w:val="0"/>
        <w:snapToGrid w:val="0"/>
        <w:spacing w:line="560" w:lineRule="exact"/>
        <w:ind w:firstLine="640" w:firstLineChars="200"/>
        <w:rPr>
          <w:rFonts w:hint="eastAsia" w:ascii="仿宋_GB2312" w:eastAsia="仿宋_GB2312"/>
          <w:color w:val="auto"/>
          <w:sz w:val="32"/>
          <w:szCs w:val="32"/>
          <w:highlight w:val="none"/>
        </w:rPr>
      </w:pPr>
    </w:p>
    <w:p>
      <w:pPr>
        <w:adjustRightInd w:val="0"/>
        <w:snapToGrid w:val="0"/>
        <w:spacing w:line="560" w:lineRule="exact"/>
        <w:ind w:firstLine="640" w:firstLineChars="200"/>
        <w:rPr>
          <w:rFonts w:hint="eastAsia" w:ascii="仿宋_GB2312" w:eastAsia="仿宋_GB2312"/>
          <w:color w:val="auto"/>
          <w:sz w:val="32"/>
          <w:szCs w:val="32"/>
          <w:highlight w:val="none"/>
        </w:rPr>
      </w:pPr>
    </w:p>
    <w:p>
      <w:pPr>
        <w:adjustRightInd w:val="0"/>
        <w:snapToGrid w:val="0"/>
        <w:spacing w:line="560" w:lineRule="exact"/>
        <w:ind w:firstLine="800" w:firstLineChars="200"/>
        <w:rPr>
          <w:rFonts w:hint="eastAsia" w:ascii="仿宋_GB2312" w:hAnsi="仿宋_GB2312" w:eastAsia="仿宋_GB2312" w:cs="仿宋_GB2312"/>
          <w:color w:val="auto"/>
          <w:sz w:val="40"/>
          <w:szCs w:val="40"/>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eastAsia"/>
      </w:rPr>
    </w:pPr>
  </w:p>
  <w:p>
    <w:pPr>
      <w:pStyle w:val="2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73760414"/>
                          </w:sdtPr>
                          <w:sdtEndPr>
                            <w:rPr>
                              <w:rFonts w:hint="eastAsia" w:ascii="宋体" w:hAnsi="宋体" w:eastAsia="宋体" w:cs="宋体"/>
                              <w:sz w:val="28"/>
                              <w:szCs w:val="28"/>
                            </w:rPr>
                          </w:sdtEndPr>
                          <w:sdtContent>
                            <w:p>
                              <w:pPr>
                                <w:pStyle w:val="21"/>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673760414"/>
                    </w:sdtPr>
                    <w:sdtEndPr>
                      <w:rPr>
                        <w:rFonts w:hint="eastAsia" w:ascii="宋体" w:hAnsi="宋体" w:eastAsia="宋体" w:cs="宋体"/>
                        <w:sz w:val="28"/>
                        <w:szCs w:val="28"/>
                      </w:rPr>
                    </w:sdtEndPr>
                    <w:sdtContent>
                      <w:p>
                        <w:pPr>
                          <w:pStyle w:val="21"/>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rPr>
                        <w:rFonts w:hint="eastAsia"/>
                      </w:rPr>
                    </w:pPr>
                  </w:p>
                </w:txbxContent>
              </v:textbox>
            </v:shape>
          </w:pict>
        </mc:Fallback>
      </mc:AlternateContent>
    </w:r>
  </w:p>
  <w:p>
    <w:pPr>
      <w:pStyle w:val="2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15485112"/>
                          </w:sdtPr>
                          <w:sdtEndPr>
                            <w:rPr>
                              <w:rFonts w:hint="eastAsia" w:ascii="宋体" w:hAnsi="宋体" w:eastAsia="宋体" w:cs="宋体"/>
                              <w:sz w:val="28"/>
                              <w:szCs w:val="28"/>
                            </w:rPr>
                          </w:sdtEndPr>
                          <w:sdtContent>
                            <w:p>
                              <w:pPr>
                                <w:pStyle w:val="21"/>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415485112"/>
                    </w:sdtPr>
                    <w:sdtEndPr>
                      <w:rPr>
                        <w:rFonts w:hint="eastAsia" w:ascii="宋体" w:hAnsi="宋体" w:eastAsia="宋体" w:cs="宋体"/>
                        <w:sz w:val="28"/>
                        <w:szCs w:val="28"/>
                      </w:rPr>
                    </w:sdtEndPr>
                    <w:sdtContent>
                      <w:p>
                        <w:pPr>
                          <w:pStyle w:val="21"/>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rPr>
                        <w:rFonts w:hint="eastAsia"/>
                      </w:rPr>
                    </w:pPr>
                  </w:p>
                </w:txbxContent>
              </v:textbox>
            </v:shape>
          </w:pict>
        </mc:Fallback>
      </mc:AlternateContent>
    </w:r>
  </w:p>
  <w:p>
    <w:pPr>
      <w:pStyle w:val="2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56A"/>
    <w:rsid w:val="000024AD"/>
    <w:rsid w:val="00002C7C"/>
    <w:rsid w:val="000065EE"/>
    <w:rsid w:val="00007964"/>
    <w:rsid w:val="00013752"/>
    <w:rsid w:val="000154D1"/>
    <w:rsid w:val="00017896"/>
    <w:rsid w:val="00017CDA"/>
    <w:rsid w:val="00020E6F"/>
    <w:rsid w:val="000251B7"/>
    <w:rsid w:val="000255ED"/>
    <w:rsid w:val="00030530"/>
    <w:rsid w:val="00040C76"/>
    <w:rsid w:val="00054089"/>
    <w:rsid w:val="00055F2D"/>
    <w:rsid w:val="00062D60"/>
    <w:rsid w:val="00066A84"/>
    <w:rsid w:val="00071CCF"/>
    <w:rsid w:val="000736F1"/>
    <w:rsid w:val="00073B31"/>
    <w:rsid w:val="00073EAA"/>
    <w:rsid w:val="00087E36"/>
    <w:rsid w:val="00094441"/>
    <w:rsid w:val="000959C4"/>
    <w:rsid w:val="00096637"/>
    <w:rsid w:val="000A2570"/>
    <w:rsid w:val="000B40C5"/>
    <w:rsid w:val="000B7068"/>
    <w:rsid w:val="000C3808"/>
    <w:rsid w:val="000C6310"/>
    <w:rsid w:val="000C6AC5"/>
    <w:rsid w:val="000C7F03"/>
    <w:rsid w:val="000D5D36"/>
    <w:rsid w:val="000E0476"/>
    <w:rsid w:val="000E07B1"/>
    <w:rsid w:val="000E0CC2"/>
    <w:rsid w:val="000E26E7"/>
    <w:rsid w:val="000E6531"/>
    <w:rsid w:val="000F44BA"/>
    <w:rsid w:val="00101246"/>
    <w:rsid w:val="00104104"/>
    <w:rsid w:val="0011539A"/>
    <w:rsid w:val="001167F0"/>
    <w:rsid w:val="001220E1"/>
    <w:rsid w:val="001234D2"/>
    <w:rsid w:val="00124E3F"/>
    <w:rsid w:val="00127DAD"/>
    <w:rsid w:val="001326C4"/>
    <w:rsid w:val="001356BC"/>
    <w:rsid w:val="00135F40"/>
    <w:rsid w:val="0013620E"/>
    <w:rsid w:val="001410DB"/>
    <w:rsid w:val="00142DDB"/>
    <w:rsid w:val="00145D01"/>
    <w:rsid w:val="0014604F"/>
    <w:rsid w:val="001520F2"/>
    <w:rsid w:val="00154E0F"/>
    <w:rsid w:val="00161974"/>
    <w:rsid w:val="00161E04"/>
    <w:rsid w:val="00162BBB"/>
    <w:rsid w:val="00166DCC"/>
    <w:rsid w:val="00174F36"/>
    <w:rsid w:val="001757C0"/>
    <w:rsid w:val="00177531"/>
    <w:rsid w:val="00183586"/>
    <w:rsid w:val="001905F7"/>
    <w:rsid w:val="001929D3"/>
    <w:rsid w:val="00195026"/>
    <w:rsid w:val="00195FFC"/>
    <w:rsid w:val="001A0108"/>
    <w:rsid w:val="001A338B"/>
    <w:rsid w:val="001A4BB6"/>
    <w:rsid w:val="001B1196"/>
    <w:rsid w:val="001B1203"/>
    <w:rsid w:val="001B16F9"/>
    <w:rsid w:val="001B5E10"/>
    <w:rsid w:val="001C2A51"/>
    <w:rsid w:val="001C44FA"/>
    <w:rsid w:val="001C7A02"/>
    <w:rsid w:val="001E06C8"/>
    <w:rsid w:val="001E3C45"/>
    <w:rsid w:val="001E5066"/>
    <w:rsid w:val="001F4902"/>
    <w:rsid w:val="0020005F"/>
    <w:rsid w:val="00201E0C"/>
    <w:rsid w:val="00201EE3"/>
    <w:rsid w:val="00206273"/>
    <w:rsid w:val="0021361A"/>
    <w:rsid w:val="002328AE"/>
    <w:rsid w:val="00236250"/>
    <w:rsid w:val="00246CA0"/>
    <w:rsid w:val="00246DA1"/>
    <w:rsid w:val="0025574D"/>
    <w:rsid w:val="00267210"/>
    <w:rsid w:val="00270E65"/>
    <w:rsid w:val="002801EF"/>
    <w:rsid w:val="00283AE0"/>
    <w:rsid w:val="002853F9"/>
    <w:rsid w:val="0028544A"/>
    <w:rsid w:val="00290020"/>
    <w:rsid w:val="00293C14"/>
    <w:rsid w:val="002A0C29"/>
    <w:rsid w:val="002A230D"/>
    <w:rsid w:val="002A4BD3"/>
    <w:rsid w:val="002A7D5E"/>
    <w:rsid w:val="002B27C0"/>
    <w:rsid w:val="002B4A45"/>
    <w:rsid w:val="002B4FA9"/>
    <w:rsid w:val="002C061B"/>
    <w:rsid w:val="002C1926"/>
    <w:rsid w:val="002C4EDB"/>
    <w:rsid w:val="002C5397"/>
    <w:rsid w:val="002C59DA"/>
    <w:rsid w:val="002D2DCB"/>
    <w:rsid w:val="002D314D"/>
    <w:rsid w:val="002D466C"/>
    <w:rsid w:val="002D59B5"/>
    <w:rsid w:val="002D785A"/>
    <w:rsid w:val="002E0338"/>
    <w:rsid w:val="002E1929"/>
    <w:rsid w:val="002E4097"/>
    <w:rsid w:val="002F02B3"/>
    <w:rsid w:val="002F02D0"/>
    <w:rsid w:val="002F3B72"/>
    <w:rsid w:val="002F59DD"/>
    <w:rsid w:val="00305378"/>
    <w:rsid w:val="00314FDA"/>
    <w:rsid w:val="0031678F"/>
    <w:rsid w:val="00317FCB"/>
    <w:rsid w:val="00321311"/>
    <w:rsid w:val="003228CE"/>
    <w:rsid w:val="00324B4B"/>
    <w:rsid w:val="00326CD0"/>
    <w:rsid w:val="0033170D"/>
    <w:rsid w:val="00332F94"/>
    <w:rsid w:val="00335D1E"/>
    <w:rsid w:val="0034075C"/>
    <w:rsid w:val="00350453"/>
    <w:rsid w:val="00363D27"/>
    <w:rsid w:val="00364CC2"/>
    <w:rsid w:val="003750F8"/>
    <w:rsid w:val="00376C2E"/>
    <w:rsid w:val="00383653"/>
    <w:rsid w:val="003842DD"/>
    <w:rsid w:val="0039077F"/>
    <w:rsid w:val="0039151D"/>
    <w:rsid w:val="003918E6"/>
    <w:rsid w:val="00391B29"/>
    <w:rsid w:val="0039416A"/>
    <w:rsid w:val="00394255"/>
    <w:rsid w:val="00396B5F"/>
    <w:rsid w:val="00396E9B"/>
    <w:rsid w:val="003A0067"/>
    <w:rsid w:val="003B0571"/>
    <w:rsid w:val="003B3FCA"/>
    <w:rsid w:val="003C2CDE"/>
    <w:rsid w:val="003C34A6"/>
    <w:rsid w:val="003C5B43"/>
    <w:rsid w:val="003C5F2B"/>
    <w:rsid w:val="003D1172"/>
    <w:rsid w:val="003D5559"/>
    <w:rsid w:val="003D7079"/>
    <w:rsid w:val="003E44F1"/>
    <w:rsid w:val="004006F1"/>
    <w:rsid w:val="00400A4A"/>
    <w:rsid w:val="00400EA0"/>
    <w:rsid w:val="00401868"/>
    <w:rsid w:val="00403A86"/>
    <w:rsid w:val="00406F2A"/>
    <w:rsid w:val="00410F21"/>
    <w:rsid w:val="0041314A"/>
    <w:rsid w:val="00415A05"/>
    <w:rsid w:val="00421485"/>
    <w:rsid w:val="004223EC"/>
    <w:rsid w:val="00424B2E"/>
    <w:rsid w:val="004352BB"/>
    <w:rsid w:val="00436C89"/>
    <w:rsid w:val="0043740A"/>
    <w:rsid w:val="00442A14"/>
    <w:rsid w:val="00455680"/>
    <w:rsid w:val="0046420F"/>
    <w:rsid w:val="00473136"/>
    <w:rsid w:val="0048170B"/>
    <w:rsid w:val="00481A2C"/>
    <w:rsid w:val="0048586C"/>
    <w:rsid w:val="00491746"/>
    <w:rsid w:val="00493036"/>
    <w:rsid w:val="00497A82"/>
    <w:rsid w:val="004A5DBE"/>
    <w:rsid w:val="004A6D3A"/>
    <w:rsid w:val="004A74DC"/>
    <w:rsid w:val="004B3A79"/>
    <w:rsid w:val="004B6A69"/>
    <w:rsid w:val="004C6CBB"/>
    <w:rsid w:val="004D2A71"/>
    <w:rsid w:val="004D320D"/>
    <w:rsid w:val="004D66F1"/>
    <w:rsid w:val="004E1324"/>
    <w:rsid w:val="004E35F9"/>
    <w:rsid w:val="004E405D"/>
    <w:rsid w:val="004E529E"/>
    <w:rsid w:val="004E719C"/>
    <w:rsid w:val="004F2553"/>
    <w:rsid w:val="004F531D"/>
    <w:rsid w:val="00511E08"/>
    <w:rsid w:val="005131EF"/>
    <w:rsid w:val="00515307"/>
    <w:rsid w:val="00515646"/>
    <w:rsid w:val="00515883"/>
    <w:rsid w:val="00516873"/>
    <w:rsid w:val="00522EF4"/>
    <w:rsid w:val="00524ED2"/>
    <w:rsid w:val="0052523E"/>
    <w:rsid w:val="0052572A"/>
    <w:rsid w:val="005277AD"/>
    <w:rsid w:val="00530DBD"/>
    <w:rsid w:val="005334BA"/>
    <w:rsid w:val="005359FF"/>
    <w:rsid w:val="005443C5"/>
    <w:rsid w:val="00547DC7"/>
    <w:rsid w:val="00551029"/>
    <w:rsid w:val="00552B39"/>
    <w:rsid w:val="0055725C"/>
    <w:rsid w:val="005578AE"/>
    <w:rsid w:val="00562042"/>
    <w:rsid w:val="00570E3E"/>
    <w:rsid w:val="005762E3"/>
    <w:rsid w:val="0057707B"/>
    <w:rsid w:val="00577C1E"/>
    <w:rsid w:val="00587474"/>
    <w:rsid w:val="0059069A"/>
    <w:rsid w:val="00590EF3"/>
    <w:rsid w:val="005920C7"/>
    <w:rsid w:val="00596839"/>
    <w:rsid w:val="005973CB"/>
    <w:rsid w:val="00597795"/>
    <w:rsid w:val="005A4692"/>
    <w:rsid w:val="005A5188"/>
    <w:rsid w:val="005A643C"/>
    <w:rsid w:val="005B0C83"/>
    <w:rsid w:val="005B0DEA"/>
    <w:rsid w:val="005B0F17"/>
    <w:rsid w:val="005B7CF9"/>
    <w:rsid w:val="005C16A5"/>
    <w:rsid w:val="005C236B"/>
    <w:rsid w:val="005C6192"/>
    <w:rsid w:val="005D2BCF"/>
    <w:rsid w:val="005D5BDE"/>
    <w:rsid w:val="005E1F19"/>
    <w:rsid w:val="005E44D6"/>
    <w:rsid w:val="005F38AF"/>
    <w:rsid w:val="00600A6A"/>
    <w:rsid w:val="006016F4"/>
    <w:rsid w:val="0061024C"/>
    <w:rsid w:val="00611182"/>
    <w:rsid w:val="00613980"/>
    <w:rsid w:val="00616223"/>
    <w:rsid w:val="00616585"/>
    <w:rsid w:val="00622BC3"/>
    <w:rsid w:val="006243C8"/>
    <w:rsid w:val="006254D6"/>
    <w:rsid w:val="00634A11"/>
    <w:rsid w:val="00640C32"/>
    <w:rsid w:val="00640DE9"/>
    <w:rsid w:val="00641760"/>
    <w:rsid w:val="0064261F"/>
    <w:rsid w:val="00651324"/>
    <w:rsid w:val="0065146E"/>
    <w:rsid w:val="006544CB"/>
    <w:rsid w:val="00657088"/>
    <w:rsid w:val="0067430F"/>
    <w:rsid w:val="00676020"/>
    <w:rsid w:val="006766EB"/>
    <w:rsid w:val="006807CB"/>
    <w:rsid w:val="00682414"/>
    <w:rsid w:val="0068280E"/>
    <w:rsid w:val="00682A55"/>
    <w:rsid w:val="00683ACF"/>
    <w:rsid w:val="00684A38"/>
    <w:rsid w:val="006909FD"/>
    <w:rsid w:val="00693274"/>
    <w:rsid w:val="006A16C0"/>
    <w:rsid w:val="006A28C3"/>
    <w:rsid w:val="006B1F5D"/>
    <w:rsid w:val="006B322F"/>
    <w:rsid w:val="006B47B2"/>
    <w:rsid w:val="006B664C"/>
    <w:rsid w:val="006C3324"/>
    <w:rsid w:val="006C439D"/>
    <w:rsid w:val="006C6B39"/>
    <w:rsid w:val="006D0799"/>
    <w:rsid w:val="006D119B"/>
    <w:rsid w:val="006D2D20"/>
    <w:rsid w:val="006D5661"/>
    <w:rsid w:val="006E3696"/>
    <w:rsid w:val="006E7EF3"/>
    <w:rsid w:val="006F1256"/>
    <w:rsid w:val="006F13BA"/>
    <w:rsid w:val="006F1436"/>
    <w:rsid w:val="006F4802"/>
    <w:rsid w:val="006F487C"/>
    <w:rsid w:val="006F49A7"/>
    <w:rsid w:val="006F52B4"/>
    <w:rsid w:val="00705E7E"/>
    <w:rsid w:val="0071005D"/>
    <w:rsid w:val="00711116"/>
    <w:rsid w:val="00712535"/>
    <w:rsid w:val="007128BF"/>
    <w:rsid w:val="00712CD1"/>
    <w:rsid w:val="0071776B"/>
    <w:rsid w:val="007243BC"/>
    <w:rsid w:val="00727106"/>
    <w:rsid w:val="0072796C"/>
    <w:rsid w:val="00730E9A"/>
    <w:rsid w:val="00732078"/>
    <w:rsid w:val="00742B3C"/>
    <w:rsid w:val="0074336D"/>
    <w:rsid w:val="00744C8D"/>
    <w:rsid w:val="00747214"/>
    <w:rsid w:val="00747426"/>
    <w:rsid w:val="007563F7"/>
    <w:rsid w:val="00756404"/>
    <w:rsid w:val="007577C2"/>
    <w:rsid w:val="00760C9C"/>
    <w:rsid w:val="00762E98"/>
    <w:rsid w:val="007670DF"/>
    <w:rsid w:val="007762F7"/>
    <w:rsid w:val="00780BBD"/>
    <w:rsid w:val="0078115B"/>
    <w:rsid w:val="0079198A"/>
    <w:rsid w:val="007933F0"/>
    <w:rsid w:val="00793414"/>
    <w:rsid w:val="00794AE8"/>
    <w:rsid w:val="00794D3B"/>
    <w:rsid w:val="00794FDE"/>
    <w:rsid w:val="00795DD9"/>
    <w:rsid w:val="007970B6"/>
    <w:rsid w:val="007A78CC"/>
    <w:rsid w:val="007B20F9"/>
    <w:rsid w:val="007B21CA"/>
    <w:rsid w:val="007B5685"/>
    <w:rsid w:val="007C0809"/>
    <w:rsid w:val="007C1DEE"/>
    <w:rsid w:val="007C3271"/>
    <w:rsid w:val="007C44D4"/>
    <w:rsid w:val="007D3241"/>
    <w:rsid w:val="007D3255"/>
    <w:rsid w:val="007D5441"/>
    <w:rsid w:val="007D5D0F"/>
    <w:rsid w:val="007D7D1A"/>
    <w:rsid w:val="007E3D9C"/>
    <w:rsid w:val="007F0167"/>
    <w:rsid w:val="007F3236"/>
    <w:rsid w:val="007F6A69"/>
    <w:rsid w:val="008048FE"/>
    <w:rsid w:val="00810374"/>
    <w:rsid w:val="00813AB6"/>
    <w:rsid w:val="00813C37"/>
    <w:rsid w:val="00816E75"/>
    <w:rsid w:val="00816F8F"/>
    <w:rsid w:val="00822BFE"/>
    <w:rsid w:val="00833D33"/>
    <w:rsid w:val="008368A0"/>
    <w:rsid w:val="0084436F"/>
    <w:rsid w:val="00844759"/>
    <w:rsid w:val="00846B16"/>
    <w:rsid w:val="00847D5A"/>
    <w:rsid w:val="008508E9"/>
    <w:rsid w:val="008520BB"/>
    <w:rsid w:val="008530BD"/>
    <w:rsid w:val="00853461"/>
    <w:rsid w:val="0085665C"/>
    <w:rsid w:val="008576EE"/>
    <w:rsid w:val="00872C65"/>
    <w:rsid w:val="00873D4E"/>
    <w:rsid w:val="00874ECD"/>
    <w:rsid w:val="008769A7"/>
    <w:rsid w:val="00883523"/>
    <w:rsid w:val="00884633"/>
    <w:rsid w:val="00884A7F"/>
    <w:rsid w:val="00891752"/>
    <w:rsid w:val="0089293B"/>
    <w:rsid w:val="00894756"/>
    <w:rsid w:val="008960C6"/>
    <w:rsid w:val="00896821"/>
    <w:rsid w:val="008A51D8"/>
    <w:rsid w:val="008A5EBB"/>
    <w:rsid w:val="008B0F9A"/>
    <w:rsid w:val="008B39BE"/>
    <w:rsid w:val="008B721E"/>
    <w:rsid w:val="008B75C9"/>
    <w:rsid w:val="008C0558"/>
    <w:rsid w:val="008C11A2"/>
    <w:rsid w:val="008C4A11"/>
    <w:rsid w:val="008C4CB6"/>
    <w:rsid w:val="008C52DD"/>
    <w:rsid w:val="008C5B56"/>
    <w:rsid w:val="008C6BA0"/>
    <w:rsid w:val="008C733A"/>
    <w:rsid w:val="008C7E60"/>
    <w:rsid w:val="008C7F1E"/>
    <w:rsid w:val="008D0E9D"/>
    <w:rsid w:val="008D525B"/>
    <w:rsid w:val="008D5D8A"/>
    <w:rsid w:val="008D6AAF"/>
    <w:rsid w:val="008E3D32"/>
    <w:rsid w:val="008E475F"/>
    <w:rsid w:val="008E60B9"/>
    <w:rsid w:val="008E62F6"/>
    <w:rsid w:val="008F31EB"/>
    <w:rsid w:val="008F5185"/>
    <w:rsid w:val="00901043"/>
    <w:rsid w:val="009068FD"/>
    <w:rsid w:val="00910FC2"/>
    <w:rsid w:val="009117D9"/>
    <w:rsid w:val="00914588"/>
    <w:rsid w:val="00916999"/>
    <w:rsid w:val="00916FBA"/>
    <w:rsid w:val="00921D65"/>
    <w:rsid w:val="00924055"/>
    <w:rsid w:val="009275D7"/>
    <w:rsid w:val="00927B6B"/>
    <w:rsid w:val="00931045"/>
    <w:rsid w:val="00937B86"/>
    <w:rsid w:val="00937DFF"/>
    <w:rsid w:val="00941D35"/>
    <w:rsid w:val="00944904"/>
    <w:rsid w:val="009454F9"/>
    <w:rsid w:val="00945C74"/>
    <w:rsid w:val="00947192"/>
    <w:rsid w:val="009545F9"/>
    <w:rsid w:val="00954C4D"/>
    <w:rsid w:val="00955E50"/>
    <w:rsid w:val="00963991"/>
    <w:rsid w:val="009669C2"/>
    <w:rsid w:val="00971FE3"/>
    <w:rsid w:val="009743EE"/>
    <w:rsid w:val="00974E3D"/>
    <w:rsid w:val="00985622"/>
    <w:rsid w:val="009940DB"/>
    <w:rsid w:val="009A20CE"/>
    <w:rsid w:val="009A32ED"/>
    <w:rsid w:val="009A49E9"/>
    <w:rsid w:val="009B5D31"/>
    <w:rsid w:val="009C038E"/>
    <w:rsid w:val="009C07E3"/>
    <w:rsid w:val="009C3E8B"/>
    <w:rsid w:val="009D22BF"/>
    <w:rsid w:val="009D275E"/>
    <w:rsid w:val="009E0D11"/>
    <w:rsid w:val="009E6CAA"/>
    <w:rsid w:val="009F170A"/>
    <w:rsid w:val="009F31FD"/>
    <w:rsid w:val="009F4627"/>
    <w:rsid w:val="009F78CE"/>
    <w:rsid w:val="00A0041D"/>
    <w:rsid w:val="00A03224"/>
    <w:rsid w:val="00A05144"/>
    <w:rsid w:val="00A0764D"/>
    <w:rsid w:val="00A101DB"/>
    <w:rsid w:val="00A1140C"/>
    <w:rsid w:val="00A22E46"/>
    <w:rsid w:val="00A27469"/>
    <w:rsid w:val="00A27D8E"/>
    <w:rsid w:val="00A31EA9"/>
    <w:rsid w:val="00A34DE6"/>
    <w:rsid w:val="00A34F4B"/>
    <w:rsid w:val="00A423F3"/>
    <w:rsid w:val="00A434F8"/>
    <w:rsid w:val="00A50E43"/>
    <w:rsid w:val="00A533F5"/>
    <w:rsid w:val="00A55CF3"/>
    <w:rsid w:val="00A61AAB"/>
    <w:rsid w:val="00A61DC8"/>
    <w:rsid w:val="00A6455C"/>
    <w:rsid w:val="00A650BE"/>
    <w:rsid w:val="00A705F9"/>
    <w:rsid w:val="00A72385"/>
    <w:rsid w:val="00A73019"/>
    <w:rsid w:val="00A80AEC"/>
    <w:rsid w:val="00A86443"/>
    <w:rsid w:val="00A870A6"/>
    <w:rsid w:val="00A87891"/>
    <w:rsid w:val="00A93DCA"/>
    <w:rsid w:val="00AA6C8F"/>
    <w:rsid w:val="00AA7663"/>
    <w:rsid w:val="00AB177D"/>
    <w:rsid w:val="00AB317B"/>
    <w:rsid w:val="00AB31D7"/>
    <w:rsid w:val="00AB4A59"/>
    <w:rsid w:val="00AB4B34"/>
    <w:rsid w:val="00AB50BD"/>
    <w:rsid w:val="00AC378B"/>
    <w:rsid w:val="00AC7F6F"/>
    <w:rsid w:val="00AD51BD"/>
    <w:rsid w:val="00AE080D"/>
    <w:rsid w:val="00AE396D"/>
    <w:rsid w:val="00AE73E8"/>
    <w:rsid w:val="00AE7828"/>
    <w:rsid w:val="00AF0C77"/>
    <w:rsid w:val="00AF641B"/>
    <w:rsid w:val="00AF6A15"/>
    <w:rsid w:val="00AF6FB0"/>
    <w:rsid w:val="00B032A5"/>
    <w:rsid w:val="00B04EA2"/>
    <w:rsid w:val="00B05296"/>
    <w:rsid w:val="00B11F9D"/>
    <w:rsid w:val="00B12A40"/>
    <w:rsid w:val="00B15A58"/>
    <w:rsid w:val="00B235A5"/>
    <w:rsid w:val="00B27EC4"/>
    <w:rsid w:val="00B307A5"/>
    <w:rsid w:val="00B3211B"/>
    <w:rsid w:val="00B330F4"/>
    <w:rsid w:val="00B35309"/>
    <w:rsid w:val="00B36060"/>
    <w:rsid w:val="00B736B9"/>
    <w:rsid w:val="00B74B97"/>
    <w:rsid w:val="00B779BC"/>
    <w:rsid w:val="00B8056E"/>
    <w:rsid w:val="00B8347B"/>
    <w:rsid w:val="00B83EF2"/>
    <w:rsid w:val="00B96FA8"/>
    <w:rsid w:val="00BA646F"/>
    <w:rsid w:val="00BA7885"/>
    <w:rsid w:val="00BB0475"/>
    <w:rsid w:val="00BB12BD"/>
    <w:rsid w:val="00BB1F94"/>
    <w:rsid w:val="00BC2EEA"/>
    <w:rsid w:val="00BD31E2"/>
    <w:rsid w:val="00BE3280"/>
    <w:rsid w:val="00BE39DC"/>
    <w:rsid w:val="00BE695F"/>
    <w:rsid w:val="00BE7958"/>
    <w:rsid w:val="00BF4531"/>
    <w:rsid w:val="00BF4A5D"/>
    <w:rsid w:val="00C07B76"/>
    <w:rsid w:val="00C13A95"/>
    <w:rsid w:val="00C145B3"/>
    <w:rsid w:val="00C1571F"/>
    <w:rsid w:val="00C21315"/>
    <w:rsid w:val="00C27567"/>
    <w:rsid w:val="00C37501"/>
    <w:rsid w:val="00C42A27"/>
    <w:rsid w:val="00C44A38"/>
    <w:rsid w:val="00C469C0"/>
    <w:rsid w:val="00C46E45"/>
    <w:rsid w:val="00C47A40"/>
    <w:rsid w:val="00C513F2"/>
    <w:rsid w:val="00C53C80"/>
    <w:rsid w:val="00C53FC4"/>
    <w:rsid w:val="00C56818"/>
    <w:rsid w:val="00C61EEA"/>
    <w:rsid w:val="00C65D46"/>
    <w:rsid w:val="00C66981"/>
    <w:rsid w:val="00C72E0A"/>
    <w:rsid w:val="00C77D5B"/>
    <w:rsid w:val="00C80B53"/>
    <w:rsid w:val="00C872AC"/>
    <w:rsid w:val="00C90DBC"/>
    <w:rsid w:val="00C91441"/>
    <w:rsid w:val="00C97726"/>
    <w:rsid w:val="00CA10BD"/>
    <w:rsid w:val="00CA31B3"/>
    <w:rsid w:val="00CA5702"/>
    <w:rsid w:val="00CB137D"/>
    <w:rsid w:val="00CB138B"/>
    <w:rsid w:val="00CB1728"/>
    <w:rsid w:val="00CB3C58"/>
    <w:rsid w:val="00CB4307"/>
    <w:rsid w:val="00CB4ABC"/>
    <w:rsid w:val="00CB6EDA"/>
    <w:rsid w:val="00CB714F"/>
    <w:rsid w:val="00CC1D3D"/>
    <w:rsid w:val="00CC6F52"/>
    <w:rsid w:val="00CD00B8"/>
    <w:rsid w:val="00CD05E0"/>
    <w:rsid w:val="00CD1E6E"/>
    <w:rsid w:val="00CD3BCB"/>
    <w:rsid w:val="00CD5574"/>
    <w:rsid w:val="00CE381F"/>
    <w:rsid w:val="00CE5533"/>
    <w:rsid w:val="00CE6312"/>
    <w:rsid w:val="00CE65E3"/>
    <w:rsid w:val="00CF3B80"/>
    <w:rsid w:val="00CF6C4C"/>
    <w:rsid w:val="00D02F4C"/>
    <w:rsid w:val="00D0474A"/>
    <w:rsid w:val="00D12F88"/>
    <w:rsid w:val="00D14A89"/>
    <w:rsid w:val="00D1579E"/>
    <w:rsid w:val="00D17B55"/>
    <w:rsid w:val="00D2214C"/>
    <w:rsid w:val="00D27E27"/>
    <w:rsid w:val="00D34C96"/>
    <w:rsid w:val="00D542FB"/>
    <w:rsid w:val="00D54FD1"/>
    <w:rsid w:val="00D561D2"/>
    <w:rsid w:val="00D60112"/>
    <w:rsid w:val="00D61631"/>
    <w:rsid w:val="00D6436D"/>
    <w:rsid w:val="00D64FC6"/>
    <w:rsid w:val="00D72293"/>
    <w:rsid w:val="00D72D6D"/>
    <w:rsid w:val="00D80FC4"/>
    <w:rsid w:val="00D82F4D"/>
    <w:rsid w:val="00D82FE4"/>
    <w:rsid w:val="00D8372E"/>
    <w:rsid w:val="00D8580C"/>
    <w:rsid w:val="00D85C9E"/>
    <w:rsid w:val="00D91629"/>
    <w:rsid w:val="00D95DD3"/>
    <w:rsid w:val="00D973FC"/>
    <w:rsid w:val="00DA08EE"/>
    <w:rsid w:val="00DA21EA"/>
    <w:rsid w:val="00DB3B4B"/>
    <w:rsid w:val="00DB5803"/>
    <w:rsid w:val="00DD3C1E"/>
    <w:rsid w:val="00DD6210"/>
    <w:rsid w:val="00DD7B9D"/>
    <w:rsid w:val="00DE02A0"/>
    <w:rsid w:val="00DE6495"/>
    <w:rsid w:val="00DE756A"/>
    <w:rsid w:val="00DF08BD"/>
    <w:rsid w:val="00DF5299"/>
    <w:rsid w:val="00E024F5"/>
    <w:rsid w:val="00E05F91"/>
    <w:rsid w:val="00E10AB2"/>
    <w:rsid w:val="00E1437D"/>
    <w:rsid w:val="00E15D6E"/>
    <w:rsid w:val="00E21546"/>
    <w:rsid w:val="00E22F03"/>
    <w:rsid w:val="00E243BB"/>
    <w:rsid w:val="00E302A5"/>
    <w:rsid w:val="00E31CCF"/>
    <w:rsid w:val="00E35BFC"/>
    <w:rsid w:val="00E35E7E"/>
    <w:rsid w:val="00E42E77"/>
    <w:rsid w:val="00E45667"/>
    <w:rsid w:val="00E47CE7"/>
    <w:rsid w:val="00E53415"/>
    <w:rsid w:val="00E57165"/>
    <w:rsid w:val="00E71380"/>
    <w:rsid w:val="00E71B22"/>
    <w:rsid w:val="00E758E2"/>
    <w:rsid w:val="00E76D14"/>
    <w:rsid w:val="00E9112D"/>
    <w:rsid w:val="00EA094B"/>
    <w:rsid w:val="00EA3BC3"/>
    <w:rsid w:val="00EA6284"/>
    <w:rsid w:val="00EB301E"/>
    <w:rsid w:val="00EB7E42"/>
    <w:rsid w:val="00ED3D19"/>
    <w:rsid w:val="00EE1B26"/>
    <w:rsid w:val="00EE21C4"/>
    <w:rsid w:val="00EE5CCA"/>
    <w:rsid w:val="00EE6190"/>
    <w:rsid w:val="00EE63BF"/>
    <w:rsid w:val="00EE7E0D"/>
    <w:rsid w:val="00EF4541"/>
    <w:rsid w:val="00EF4C49"/>
    <w:rsid w:val="00EF6C2B"/>
    <w:rsid w:val="00EF7663"/>
    <w:rsid w:val="00EF7BD5"/>
    <w:rsid w:val="00EF7F17"/>
    <w:rsid w:val="00F0089F"/>
    <w:rsid w:val="00F00980"/>
    <w:rsid w:val="00F04ACC"/>
    <w:rsid w:val="00F06F16"/>
    <w:rsid w:val="00F14A0C"/>
    <w:rsid w:val="00F16F2F"/>
    <w:rsid w:val="00F21190"/>
    <w:rsid w:val="00F21598"/>
    <w:rsid w:val="00F25C8A"/>
    <w:rsid w:val="00F260EA"/>
    <w:rsid w:val="00F26F6B"/>
    <w:rsid w:val="00F3402B"/>
    <w:rsid w:val="00F34E50"/>
    <w:rsid w:val="00F35283"/>
    <w:rsid w:val="00F35FDB"/>
    <w:rsid w:val="00F40229"/>
    <w:rsid w:val="00F450A4"/>
    <w:rsid w:val="00F45D60"/>
    <w:rsid w:val="00F46C25"/>
    <w:rsid w:val="00F47892"/>
    <w:rsid w:val="00F52455"/>
    <w:rsid w:val="00F601B8"/>
    <w:rsid w:val="00F613D3"/>
    <w:rsid w:val="00F63DFF"/>
    <w:rsid w:val="00F644C6"/>
    <w:rsid w:val="00F65076"/>
    <w:rsid w:val="00F71B4D"/>
    <w:rsid w:val="00F71D1F"/>
    <w:rsid w:val="00F7320E"/>
    <w:rsid w:val="00F73F71"/>
    <w:rsid w:val="00F762CD"/>
    <w:rsid w:val="00F83530"/>
    <w:rsid w:val="00F85019"/>
    <w:rsid w:val="00F87DB0"/>
    <w:rsid w:val="00F908A1"/>
    <w:rsid w:val="00F920C2"/>
    <w:rsid w:val="00F93234"/>
    <w:rsid w:val="00F953EA"/>
    <w:rsid w:val="00F96DE8"/>
    <w:rsid w:val="00FA0787"/>
    <w:rsid w:val="00FA10EF"/>
    <w:rsid w:val="00FA7216"/>
    <w:rsid w:val="00FA75BC"/>
    <w:rsid w:val="00FB5EC6"/>
    <w:rsid w:val="00FB6178"/>
    <w:rsid w:val="00FB788D"/>
    <w:rsid w:val="00FC11FB"/>
    <w:rsid w:val="00FC42FD"/>
    <w:rsid w:val="00FC4945"/>
    <w:rsid w:val="00FD0786"/>
    <w:rsid w:val="00FD10AA"/>
    <w:rsid w:val="00FD3EA2"/>
    <w:rsid w:val="00FE3500"/>
    <w:rsid w:val="00FE38EA"/>
    <w:rsid w:val="00FE7C0B"/>
    <w:rsid w:val="00FF2ECC"/>
    <w:rsid w:val="015974C0"/>
    <w:rsid w:val="02D2242F"/>
    <w:rsid w:val="02F87261"/>
    <w:rsid w:val="03231E05"/>
    <w:rsid w:val="032862F6"/>
    <w:rsid w:val="039E422F"/>
    <w:rsid w:val="04296FBF"/>
    <w:rsid w:val="04711C42"/>
    <w:rsid w:val="04882AE9"/>
    <w:rsid w:val="04EF31CB"/>
    <w:rsid w:val="052D30E5"/>
    <w:rsid w:val="054975EE"/>
    <w:rsid w:val="05CA098C"/>
    <w:rsid w:val="05FC40E4"/>
    <w:rsid w:val="06420E66"/>
    <w:rsid w:val="06AB4C49"/>
    <w:rsid w:val="07367F58"/>
    <w:rsid w:val="07DB525C"/>
    <w:rsid w:val="0907537F"/>
    <w:rsid w:val="09103098"/>
    <w:rsid w:val="095B4567"/>
    <w:rsid w:val="09FD04CD"/>
    <w:rsid w:val="0A1861F5"/>
    <w:rsid w:val="0A470684"/>
    <w:rsid w:val="0A8E15FF"/>
    <w:rsid w:val="0B360141"/>
    <w:rsid w:val="0B5F011A"/>
    <w:rsid w:val="0BB008C2"/>
    <w:rsid w:val="0BDC6D23"/>
    <w:rsid w:val="0C0441E3"/>
    <w:rsid w:val="0C350462"/>
    <w:rsid w:val="0C7A6D03"/>
    <w:rsid w:val="0CAB171D"/>
    <w:rsid w:val="0CBD339B"/>
    <w:rsid w:val="0D181D62"/>
    <w:rsid w:val="0D1F2C01"/>
    <w:rsid w:val="0D357A98"/>
    <w:rsid w:val="0D4C7E4E"/>
    <w:rsid w:val="0D505C1B"/>
    <w:rsid w:val="0D5A4838"/>
    <w:rsid w:val="0D6A0C80"/>
    <w:rsid w:val="0DEE3F9B"/>
    <w:rsid w:val="0E32112F"/>
    <w:rsid w:val="0EE36785"/>
    <w:rsid w:val="0FB01A87"/>
    <w:rsid w:val="0FC1070A"/>
    <w:rsid w:val="10174785"/>
    <w:rsid w:val="109951E3"/>
    <w:rsid w:val="10C009C2"/>
    <w:rsid w:val="10F13271"/>
    <w:rsid w:val="117B52CE"/>
    <w:rsid w:val="11903E55"/>
    <w:rsid w:val="12217276"/>
    <w:rsid w:val="1237652F"/>
    <w:rsid w:val="12762FAD"/>
    <w:rsid w:val="127759F8"/>
    <w:rsid w:val="141D4520"/>
    <w:rsid w:val="15031E6A"/>
    <w:rsid w:val="15300742"/>
    <w:rsid w:val="157D3826"/>
    <w:rsid w:val="158A50A3"/>
    <w:rsid w:val="16047C1C"/>
    <w:rsid w:val="16967318"/>
    <w:rsid w:val="177E5132"/>
    <w:rsid w:val="17FE040D"/>
    <w:rsid w:val="18F338FE"/>
    <w:rsid w:val="195F05E0"/>
    <w:rsid w:val="197E58BE"/>
    <w:rsid w:val="198E64B4"/>
    <w:rsid w:val="19F80594"/>
    <w:rsid w:val="1A663C06"/>
    <w:rsid w:val="1A9133CF"/>
    <w:rsid w:val="1AB63096"/>
    <w:rsid w:val="1C543548"/>
    <w:rsid w:val="1CEC31D1"/>
    <w:rsid w:val="1D00259D"/>
    <w:rsid w:val="1D144CB9"/>
    <w:rsid w:val="1D365351"/>
    <w:rsid w:val="1D47157C"/>
    <w:rsid w:val="1D841D00"/>
    <w:rsid w:val="1D8B2357"/>
    <w:rsid w:val="1DE63A32"/>
    <w:rsid w:val="1F004C76"/>
    <w:rsid w:val="1F9813D5"/>
    <w:rsid w:val="202E345C"/>
    <w:rsid w:val="202F4D29"/>
    <w:rsid w:val="20872AE2"/>
    <w:rsid w:val="20A96320"/>
    <w:rsid w:val="20F91157"/>
    <w:rsid w:val="224F332B"/>
    <w:rsid w:val="22A965BD"/>
    <w:rsid w:val="22AA6108"/>
    <w:rsid w:val="22EF5314"/>
    <w:rsid w:val="230E5534"/>
    <w:rsid w:val="232A0820"/>
    <w:rsid w:val="233B7723"/>
    <w:rsid w:val="236B7850"/>
    <w:rsid w:val="238E6189"/>
    <w:rsid w:val="23FA75FB"/>
    <w:rsid w:val="241E380E"/>
    <w:rsid w:val="24540968"/>
    <w:rsid w:val="24663CDC"/>
    <w:rsid w:val="249702E8"/>
    <w:rsid w:val="24BF069A"/>
    <w:rsid w:val="25294570"/>
    <w:rsid w:val="2549470B"/>
    <w:rsid w:val="257007B0"/>
    <w:rsid w:val="265419A7"/>
    <w:rsid w:val="26A03949"/>
    <w:rsid w:val="27711F42"/>
    <w:rsid w:val="279E4C40"/>
    <w:rsid w:val="2805449E"/>
    <w:rsid w:val="28B07116"/>
    <w:rsid w:val="294376AC"/>
    <w:rsid w:val="296F2CAD"/>
    <w:rsid w:val="299B3783"/>
    <w:rsid w:val="2A247498"/>
    <w:rsid w:val="2A5A6082"/>
    <w:rsid w:val="2AAD1B5F"/>
    <w:rsid w:val="2B9C1F9D"/>
    <w:rsid w:val="2BBA1A6A"/>
    <w:rsid w:val="2C6E5E84"/>
    <w:rsid w:val="2C723637"/>
    <w:rsid w:val="2CAD2DA8"/>
    <w:rsid w:val="2D1C121E"/>
    <w:rsid w:val="2D1C7E32"/>
    <w:rsid w:val="2E24350F"/>
    <w:rsid w:val="2EA2521C"/>
    <w:rsid w:val="2ED51684"/>
    <w:rsid w:val="2F8A06C1"/>
    <w:rsid w:val="303062E7"/>
    <w:rsid w:val="30B54498"/>
    <w:rsid w:val="3103281A"/>
    <w:rsid w:val="310F5CC4"/>
    <w:rsid w:val="311C7F30"/>
    <w:rsid w:val="312D2CA4"/>
    <w:rsid w:val="3151049F"/>
    <w:rsid w:val="31A844BB"/>
    <w:rsid w:val="322C69D0"/>
    <w:rsid w:val="324A5AC2"/>
    <w:rsid w:val="3280476D"/>
    <w:rsid w:val="329125B9"/>
    <w:rsid w:val="32C84810"/>
    <w:rsid w:val="32DA6E4D"/>
    <w:rsid w:val="330E4C95"/>
    <w:rsid w:val="34473024"/>
    <w:rsid w:val="35287598"/>
    <w:rsid w:val="358D29CF"/>
    <w:rsid w:val="359506AA"/>
    <w:rsid w:val="361E1B63"/>
    <w:rsid w:val="36447283"/>
    <w:rsid w:val="36454D5A"/>
    <w:rsid w:val="367B2A2A"/>
    <w:rsid w:val="369C5E21"/>
    <w:rsid w:val="37045311"/>
    <w:rsid w:val="37177ADF"/>
    <w:rsid w:val="37263AAA"/>
    <w:rsid w:val="37B61F3D"/>
    <w:rsid w:val="37C547FB"/>
    <w:rsid w:val="37E1109A"/>
    <w:rsid w:val="38167728"/>
    <w:rsid w:val="38A96B8C"/>
    <w:rsid w:val="38B433A9"/>
    <w:rsid w:val="38D00E75"/>
    <w:rsid w:val="391A180A"/>
    <w:rsid w:val="39280BEC"/>
    <w:rsid w:val="3A371459"/>
    <w:rsid w:val="3ACA78AC"/>
    <w:rsid w:val="3AF47336"/>
    <w:rsid w:val="3B2F683E"/>
    <w:rsid w:val="3B4C2DCE"/>
    <w:rsid w:val="3B520BA7"/>
    <w:rsid w:val="3B572FC4"/>
    <w:rsid w:val="3B9A44C4"/>
    <w:rsid w:val="3B9E7D0D"/>
    <w:rsid w:val="3BA32B03"/>
    <w:rsid w:val="3C407D47"/>
    <w:rsid w:val="3D95323F"/>
    <w:rsid w:val="3DB86D41"/>
    <w:rsid w:val="3DD16C51"/>
    <w:rsid w:val="3DFC6C2D"/>
    <w:rsid w:val="3EA87D6A"/>
    <w:rsid w:val="3F0F109A"/>
    <w:rsid w:val="3F1E5978"/>
    <w:rsid w:val="3F2025B9"/>
    <w:rsid w:val="40207D82"/>
    <w:rsid w:val="405B01F9"/>
    <w:rsid w:val="40CB51C7"/>
    <w:rsid w:val="40E95C36"/>
    <w:rsid w:val="40FE0D59"/>
    <w:rsid w:val="41805B52"/>
    <w:rsid w:val="419A5500"/>
    <w:rsid w:val="41BD4B91"/>
    <w:rsid w:val="41EF2605"/>
    <w:rsid w:val="41F26053"/>
    <w:rsid w:val="43397FDC"/>
    <w:rsid w:val="437C0F7F"/>
    <w:rsid w:val="439348DD"/>
    <w:rsid w:val="43B532A6"/>
    <w:rsid w:val="44476729"/>
    <w:rsid w:val="4472660D"/>
    <w:rsid w:val="44834AC2"/>
    <w:rsid w:val="449D1547"/>
    <w:rsid w:val="45223B52"/>
    <w:rsid w:val="45401A15"/>
    <w:rsid w:val="45426230"/>
    <w:rsid w:val="459C0CF6"/>
    <w:rsid w:val="45A332C3"/>
    <w:rsid w:val="462F2124"/>
    <w:rsid w:val="4632526A"/>
    <w:rsid w:val="46B66E96"/>
    <w:rsid w:val="46D9062B"/>
    <w:rsid w:val="46DD3BE7"/>
    <w:rsid w:val="46E00D96"/>
    <w:rsid w:val="46F10EE9"/>
    <w:rsid w:val="476465AE"/>
    <w:rsid w:val="476F0470"/>
    <w:rsid w:val="48355A09"/>
    <w:rsid w:val="48A3662A"/>
    <w:rsid w:val="48AE6761"/>
    <w:rsid w:val="490E02A2"/>
    <w:rsid w:val="49DC432A"/>
    <w:rsid w:val="49F85BB8"/>
    <w:rsid w:val="4A1F00B4"/>
    <w:rsid w:val="4A6C6EE9"/>
    <w:rsid w:val="4ABC11CE"/>
    <w:rsid w:val="4B3029A5"/>
    <w:rsid w:val="4B3906A3"/>
    <w:rsid w:val="4B74042D"/>
    <w:rsid w:val="4B9D410D"/>
    <w:rsid w:val="4BA50C27"/>
    <w:rsid w:val="4C0575F5"/>
    <w:rsid w:val="4C2008A8"/>
    <w:rsid w:val="4C526103"/>
    <w:rsid w:val="4D01794F"/>
    <w:rsid w:val="4D1F46E6"/>
    <w:rsid w:val="4DA96B1D"/>
    <w:rsid w:val="4E0E7EA0"/>
    <w:rsid w:val="4E36719A"/>
    <w:rsid w:val="4E423E15"/>
    <w:rsid w:val="4F0C0058"/>
    <w:rsid w:val="4F342EFA"/>
    <w:rsid w:val="4F430664"/>
    <w:rsid w:val="4F7769ED"/>
    <w:rsid w:val="4FC74BC1"/>
    <w:rsid w:val="4FF121E8"/>
    <w:rsid w:val="4FFF2EF7"/>
    <w:rsid w:val="500C1D2A"/>
    <w:rsid w:val="50645371"/>
    <w:rsid w:val="51282437"/>
    <w:rsid w:val="512D1491"/>
    <w:rsid w:val="51693F89"/>
    <w:rsid w:val="524A6E21"/>
    <w:rsid w:val="528B2681"/>
    <w:rsid w:val="52A24B1F"/>
    <w:rsid w:val="52E55CB2"/>
    <w:rsid w:val="53A2028F"/>
    <w:rsid w:val="53B43383"/>
    <w:rsid w:val="53BB4A3D"/>
    <w:rsid w:val="53C265B8"/>
    <w:rsid w:val="53D35263"/>
    <w:rsid w:val="54843081"/>
    <w:rsid w:val="551F0841"/>
    <w:rsid w:val="55825994"/>
    <w:rsid w:val="55865BB8"/>
    <w:rsid w:val="56476B59"/>
    <w:rsid w:val="57541992"/>
    <w:rsid w:val="57967C0E"/>
    <w:rsid w:val="579B705F"/>
    <w:rsid w:val="57DD15ED"/>
    <w:rsid w:val="57F15098"/>
    <w:rsid w:val="57FC2A44"/>
    <w:rsid w:val="58195017"/>
    <w:rsid w:val="58484BFA"/>
    <w:rsid w:val="59274905"/>
    <w:rsid w:val="594A4684"/>
    <w:rsid w:val="59F20069"/>
    <w:rsid w:val="5A5D4225"/>
    <w:rsid w:val="5AFF7905"/>
    <w:rsid w:val="5B143D68"/>
    <w:rsid w:val="5B2F606E"/>
    <w:rsid w:val="5B3B7C49"/>
    <w:rsid w:val="5BC97D5E"/>
    <w:rsid w:val="5BD82B86"/>
    <w:rsid w:val="5BE23D06"/>
    <w:rsid w:val="5C766CBB"/>
    <w:rsid w:val="5C9B7C30"/>
    <w:rsid w:val="5D094A6B"/>
    <w:rsid w:val="5D162D29"/>
    <w:rsid w:val="5D607D6F"/>
    <w:rsid w:val="5D6D25E5"/>
    <w:rsid w:val="5DBC3A32"/>
    <w:rsid w:val="5E254872"/>
    <w:rsid w:val="5E9C6705"/>
    <w:rsid w:val="5FBF7663"/>
    <w:rsid w:val="60340051"/>
    <w:rsid w:val="60587509"/>
    <w:rsid w:val="60785CB5"/>
    <w:rsid w:val="6081791E"/>
    <w:rsid w:val="60C6268B"/>
    <w:rsid w:val="60E311B2"/>
    <w:rsid w:val="612A2F4D"/>
    <w:rsid w:val="61347CC7"/>
    <w:rsid w:val="613505A5"/>
    <w:rsid w:val="61401CBB"/>
    <w:rsid w:val="614B11AE"/>
    <w:rsid w:val="616711BA"/>
    <w:rsid w:val="617C2D6E"/>
    <w:rsid w:val="618F4F4E"/>
    <w:rsid w:val="61CC468D"/>
    <w:rsid w:val="620A60E3"/>
    <w:rsid w:val="62271CD0"/>
    <w:rsid w:val="62BC7E8A"/>
    <w:rsid w:val="636C18B0"/>
    <w:rsid w:val="6391197A"/>
    <w:rsid w:val="63D124E5"/>
    <w:rsid w:val="6421781B"/>
    <w:rsid w:val="65730006"/>
    <w:rsid w:val="658D745D"/>
    <w:rsid w:val="65BD2897"/>
    <w:rsid w:val="65D008D1"/>
    <w:rsid w:val="65D36584"/>
    <w:rsid w:val="66072AED"/>
    <w:rsid w:val="66136427"/>
    <w:rsid w:val="66FF4226"/>
    <w:rsid w:val="673F30A9"/>
    <w:rsid w:val="67751C73"/>
    <w:rsid w:val="67813834"/>
    <w:rsid w:val="68466718"/>
    <w:rsid w:val="686B67C7"/>
    <w:rsid w:val="687C07E7"/>
    <w:rsid w:val="68911E4A"/>
    <w:rsid w:val="68B00BE6"/>
    <w:rsid w:val="695C2242"/>
    <w:rsid w:val="69B15812"/>
    <w:rsid w:val="69DD47C9"/>
    <w:rsid w:val="69EA7C16"/>
    <w:rsid w:val="6A0A476D"/>
    <w:rsid w:val="6A505DEB"/>
    <w:rsid w:val="6A7744C6"/>
    <w:rsid w:val="6AEA1ED1"/>
    <w:rsid w:val="6B113469"/>
    <w:rsid w:val="6B3408DF"/>
    <w:rsid w:val="6B712159"/>
    <w:rsid w:val="6B892DF5"/>
    <w:rsid w:val="6BA9787E"/>
    <w:rsid w:val="6BCC6A8E"/>
    <w:rsid w:val="6BDA38F8"/>
    <w:rsid w:val="6BE34F44"/>
    <w:rsid w:val="6BFB38C5"/>
    <w:rsid w:val="6C45037D"/>
    <w:rsid w:val="6C5E3FF7"/>
    <w:rsid w:val="6CB3494F"/>
    <w:rsid w:val="6CE956E4"/>
    <w:rsid w:val="6CEC0F16"/>
    <w:rsid w:val="6E643467"/>
    <w:rsid w:val="6F7474D2"/>
    <w:rsid w:val="7034758C"/>
    <w:rsid w:val="70EE7DA8"/>
    <w:rsid w:val="70F02356"/>
    <w:rsid w:val="714D4ACF"/>
    <w:rsid w:val="718745AD"/>
    <w:rsid w:val="71F54074"/>
    <w:rsid w:val="72702724"/>
    <w:rsid w:val="72B925D9"/>
    <w:rsid w:val="72DB02C2"/>
    <w:rsid w:val="734C383B"/>
    <w:rsid w:val="735F4A9E"/>
    <w:rsid w:val="736A1020"/>
    <w:rsid w:val="744949FB"/>
    <w:rsid w:val="74577768"/>
    <w:rsid w:val="746A5998"/>
    <w:rsid w:val="74A92964"/>
    <w:rsid w:val="74AFDB71"/>
    <w:rsid w:val="74DB7BD5"/>
    <w:rsid w:val="74EF449E"/>
    <w:rsid w:val="7533663B"/>
    <w:rsid w:val="75422CFC"/>
    <w:rsid w:val="755756DB"/>
    <w:rsid w:val="756C7ABB"/>
    <w:rsid w:val="76212A92"/>
    <w:rsid w:val="765246A4"/>
    <w:rsid w:val="76585E38"/>
    <w:rsid w:val="76602C03"/>
    <w:rsid w:val="768077CE"/>
    <w:rsid w:val="76870813"/>
    <w:rsid w:val="770F621B"/>
    <w:rsid w:val="77967E0F"/>
    <w:rsid w:val="77C6037B"/>
    <w:rsid w:val="77E50E3F"/>
    <w:rsid w:val="77EA33BC"/>
    <w:rsid w:val="780879A1"/>
    <w:rsid w:val="789B5939"/>
    <w:rsid w:val="78AE679B"/>
    <w:rsid w:val="790D0B51"/>
    <w:rsid w:val="79585C17"/>
    <w:rsid w:val="7988066E"/>
    <w:rsid w:val="79A14A3E"/>
    <w:rsid w:val="79CF3337"/>
    <w:rsid w:val="79D070F1"/>
    <w:rsid w:val="7A444FFB"/>
    <w:rsid w:val="7AB40CC6"/>
    <w:rsid w:val="7B5829EE"/>
    <w:rsid w:val="7B692441"/>
    <w:rsid w:val="7B900E97"/>
    <w:rsid w:val="7B9B890C"/>
    <w:rsid w:val="7BBD6F40"/>
    <w:rsid w:val="7BCC6FAE"/>
    <w:rsid w:val="7C7F2A4C"/>
    <w:rsid w:val="7D7533C5"/>
    <w:rsid w:val="7D783176"/>
    <w:rsid w:val="7DA95C76"/>
    <w:rsid w:val="7DAF522C"/>
    <w:rsid w:val="7DB2849A"/>
    <w:rsid w:val="7E074CC8"/>
    <w:rsid w:val="7E566A20"/>
    <w:rsid w:val="7E7C69F3"/>
    <w:rsid w:val="7EB3503B"/>
    <w:rsid w:val="7EC033A9"/>
    <w:rsid w:val="7F356DEB"/>
    <w:rsid w:val="7F832585"/>
    <w:rsid w:val="CFBFC60F"/>
    <w:rsid w:val="CFF5EBC0"/>
    <w:rsid w:val="FAFD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9"/>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2"/>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3"/>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4"/>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71"/>
    <w:unhideWhenUsed/>
    <w:qFormat/>
    <w:uiPriority w:val="0"/>
    <w:rPr>
      <w:rFonts w:hAnsi="Courier New" w:cs="Courier New" w:asciiTheme="minorEastAsia"/>
      <w:szCs w:val="22"/>
    </w:rPr>
  </w:style>
  <w:style w:type="paragraph" w:styleId="12">
    <w:name w:val="toc 7"/>
    <w:basedOn w:val="1"/>
    <w:next w:val="1"/>
    <w:unhideWhenUsed/>
    <w:qFormat/>
    <w:uiPriority w:val="39"/>
    <w:pPr>
      <w:spacing w:after="160" w:line="278" w:lineRule="auto"/>
      <w:ind w:left="2520" w:leftChars="1200"/>
      <w:jc w:val="left"/>
    </w:pPr>
    <w:rPr>
      <w:sz w:val="22"/>
      <w14:ligatures w14:val="standardContextual"/>
    </w:rPr>
  </w:style>
  <w:style w:type="paragraph" w:styleId="13">
    <w:name w:val="Normal Indent"/>
    <w:basedOn w:val="1"/>
    <w:unhideWhenUsed/>
    <w:qFormat/>
    <w:uiPriority w:val="0"/>
    <w:pPr>
      <w:ind w:firstLine="420"/>
    </w:pPr>
    <w:rPr>
      <w:rFonts w:ascii="Calibri" w:hAnsi="Calibri" w:eastAsia="宋体" w:cs="Times New Roman"/>
    </w:rPr>
  </w:style>
  <w:style w:type="paragraph" w:styleId="14">
    <w:name w:val="annotation text"/>
    <w:basedOn w:val="1"/>
    <w:link w:val="69"/>
    <w:unhideWhenUsed/>
    <w:qFormat/>
    <w:uiPriority w:val="99"/>
    <w:pPr>
      <w:jc w:val="left"/>
    </w:pPr>
  </w:style>
  <w:style w:type="paragraph" w:styleId="15">
    <w:name w:val="Body Text"/>
    <w:basedOn w:val="1"/>
    <w:next w:val="16"/>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16">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7">
    <w:name w:val="Body Text Indent"/>
    <w:basedOn w:val="1"/>
    <w:unhideWhenUsed/>
    <w:qFormat/>
    <w:uiPriority w:val="99"/>
    <w:pPr>
      <w:spacing w:after="120"/>
      <w:ind w:left="420" w:leftChars="200"/>
    </w:pPr>
  </w:style>
  <w:style w:type="paragraph" w:styleId="18">
    <w:name w:val="toc 5"/>
    <w:basedOn w:val="1"/>
    <w:next w:val="1"/>
    <w:unhideWhenUsed/>
    <w:qFormat/>
    <w:uiPriority w:val="39"/>
    <w:pPr>
      <w:spacing w:after="160" w:line="278" w:lineRule="auto"/>
      <w:ind w:left="1680" w:leftChars="800"/>
      <w:jc w:val="left"/>
    </w:pPr>
    <w:rPr>
      <w:sz w:val="22"/>
      <w14:ligatures w14:val="standardContextual"/>
    </w:rPr>
  </w:style>
  <w:style w:type="paragraph" w:styleId="19">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20">
    <w:name w:val="toc 8"/>
    <w:basedOn w:val="1"/>
    <w:next w:val="1"/>
    <w:unhideWhenUsed/>
    <w:qFormat/>
    <w:uiPriority w:val="39"/>
    <w:pPr>
      <w:spacing w:after="160" w:line="278" w:lineRule="auto"/>
      <w:ind w:left="2940" w:leftChars="1400"/>
      <w:jc w:val="left"/>
    </w:pPr>
    <w:rPr>
      <w:sz w:val="22"/>
      <w14:ligatures w14:val="standardContextual"/>
    </w:rPr>
  </w:style>
  <w:style w:type="paragraph" w:styleId="21">
    <w:name w:val="footer"/>
    <w:basedOn w:val="1"/>
    <w:link w:val="58"/>
    <w:unhideWhenUsed/>
    <w:qFormat/>
    <w:uiPriority w:val="99"/>
    <w:pPr>
      <w:tabs>
        <w:tab w:val="center" w:pos="4153"/>
        <w:tab w:val="right" w:pos="8306"/>
      </w:tabs>
      <w:snapToGrid w:val="0"/>
      <w:jc w:val="left"/>
    </w:pPr>
    <w:rPr>
      <w:sz w:val="18"/>
      <w:szCs w:val="18"/>
    </w:rPr>
  </w:style>
  <w:style w:type="paragraph" w:styleId="22">
    <w:name w:val="header"/>
    <w:basedOn w:val="1"/>
    <w:link w:val="57"/>
    <w:unhideWhenUsed/>
    <w:qFormat/>
    <w:uiPriority w:val="99"/>
    <w:pPr>
      <w:tabs>
        <w:tab w:val="center" w:pos="4153"/>
        <w:tab w:val="right" w:pos="8306"/>
      </w:tabs>
      <w:snapToGrid w:val="0"/>
      <w:jc w:val="center"/>
    </w:pPr>
    <w:rPr>
      <w:sz w:val="18"/>
      <w:szCs w:val="18"/>
    </w:rPr>
  </w:style>
  <w:style w:type="paragraph" w:styleId="23">
    <w:name w:val="toc 1"/>
    <w:basedOn w:val="1"/>
    <w:next w:val="1"/>
    <w:unhideWhenUsed/>
    <w:qFormat/>
    <w:uiPriority w:val="39"/>
    <w:rPr>
      <w:rFonts w:ascii="Calibri" w:hAnsi="Calibri" w:eastAsia="宋体" w:cs="Times New Roman"/>
    </w:rPr>
  </w:style>
  <w:style w:type="paragraph" w:styleId="24">
    <w:name w:val="toc 4"/>
    <w:basedOn w:val="1"/>
    <w:next w:val="1"/>
    <w:unhideWhenUsed/>
    <w:qFormat/>
    <w:uiPriority w:val="39"/>
    <w:pPr>
      <w:ind w:left="1260" w:leftChars="600"/>
    </w:pPr>
  </w:style>
  <w:style w:type="paragraph" w:styleId="25">
    <w:name w:val="Subtitle"/>
    <w:basedOn w:val="1"/>
    <w:next w:val="1"/>
    <w:link w:val="4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toc 6"/>
    <w:basedOn w:val="1"/>
    <w:next w:val="1"/>
    <w:unhideWhenUsed/>
    <w:qFormat/>
    <w:uiPriority w:val="39"/>
    <w:pPr>
      <w:spacing w:after="160" w:line="278" w:lineRule="auto"/>
      <w:ind w:left="2100" w:leftChars="1000"/>
      <w:jc w:val="left"/>
    </w:pPr>
    <w:rPr>
      <w:sz w:val="22"/>
      <w14:ligatures w14:val="standardContextual"/>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spacing w:after="160" w:line="278" w:lineRule="auto"/>
      <w:ind w:left="3360" w:leftChars="1600"/>
      <w:jc w:val="left"/>
    </w:pPr>
    <w:rPr>
      <w:sz w:val="22"/>
      <w14:ligatures w14:val="standardContextual"/>
    </w:rPr>
  </w:style>
  <w:style w:type="paragraph" w:styleId="29">
    <w:name w:val="Normal (Web)"/>
    <w:basedOn w:val="1"/>
    <w:semiHidden/>
    <w:unhideWhenUsed/>
    <w:qFormat/>
    <w:uiPriority w:val="99"/>
    <w:rPr>
      <w:rFonts w:ascii="Times New Roman" w:hAnsi="Times New Roman" w:cs="Times New Roman"/>
      <w:sz w:val="24"/>
    </w:rPr>
  </w:style>
  <w:style w:type="paragraph" w:styleId="30">
    <w:name w:val="Title"/>
    <w:basedOn w:val="1"/>
    <w:next w:val="1"/>
    <w:link w:val="4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4"/>
    <w:next w:val="14"/>
    <w:link w:val="70"/>
    <w:semiHidden/>
    <w:unhideWhenUsed/>
    <w:qFormat/>
    <w:uiPriority w:val="99"/>
    <w:rPr>
      <w:b/>
      <w:bCs/>
    </w:rPr>
  </w:style>
  <w:style w:type="paragraph" w:styleId="32">
    <w:name w:val="Body Text First Indent 2"/>
    <w:basedOn w:val="17"/>
    <w:qFormat/>
    <w:uiPriority w:val="0"/>
    <w:pPr>
      <w:ind w:firstLine="420" w:firstLineChars="20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rPr>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basedOn w:val="35"/>
    <w:unhideWhenUsed/>
    <w:qFormat/>
    <w:uiPriority w:val="99"/>
    <w:rPr>
      <w:sz w:val="21"/>
      <w:szCs w:val="21"/>
    </w:rPr>
  </w:style>
  <w:style w:type="character" w:customStyle="1" w:styleId="39">
    <w:name w:val="标题 1 字符"/>
    <w:basedOn w:val="35"/>
    <w:link w:val="3"/>
    <w:qFormat/>
    <w:uiPriority w:val="0"/>
    <w:rPr>
      <w:rFonts w:asciiTheme="majorHAnsi" w:hAnsiTheme="majorHAnsi" w:eastAsiaTheme="majorEastAsia" w:cstheme="majorBidi"/>
      <w:color w:val="2F5597" w:themeColor="accent1" w:themeShade="BF"/>
      <w:sz w:val="48"/>
      <w:szCs w:val="48"/>
    </w:rPr>
  </w:style>
  <w:style w:type="character" w:customStyle="1" w:styleId="40">
    <w:name w:val="标题 2 字符"/>
    <w:basedOn w:val="35"/>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1">
    <w:name w:val="标题 3 字符"/>
    <w:basedOn w:val="35"/>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2">
    <w:name w:val="标题 4 字符"/>
    <w:basedOn w:val="35"/>
    <w:link w:val="6"/>
    <w:qFormat/>
    <w:uiPriority w:val="9"/>
    <w:rPr>
      <w:rFonts w:cstheme="majorBidi"/>
      <w:color w:val="2F5597" w:themeColor="accent1" w:themeShade="BF"/>
      <w:sz w:val="28"/>
      <w:szCs w:val="28"/>
    </w:rPr>
  </w:style>
  <w:style w:type="character" w:customStyle="1" w:styleId="43">
    <w:name w:val="标题 5 字符"/>
    <w:basedOn w:val="35"/>
    <w:link w:val="7"/>
    <w:semiHidden/>
    <w:qFormat/>
    <w:uiPriority w:val="9"/>
    <w:rPr>
      <w:rFonts w:cstheme="majorBidi"/>
      <w:color w:val="2F5597" w:themeColor="accent1" w:themeShade="BF"/>
      <w:sz w:val="24"/>
    </w:rPr>
  </w:style>
  <w:style w:type="character" w:customStyle="1" w:styleId="44">
    <w:name w:val="标题 6 字符"/>
    <w:basedOn w:val="35"/>
    <w:link w:val="8"/>
    <w:semiHidden/>
    <w:qFormat/>
    <w:uiPriority w:val="9"/>
    <w:rPr>
      <w:rFonts w:cstheme="majorBidi"/>
      <w:b/>
      <w:bCs/>
      <w:color w:val="2F5597" w:themeColor="accent1" w:themeShade="BF"/>
    </w:rPr>
  </w:style>
  <w:style w:type="character" w:customStyle="1" w:styleId="45">
    <w:name w:val="标题 7 字符"/>
    <w:basedOn w:val="35"/>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6">
    <w:name w:val="标题 8 字符"/>
    <w:basedOn w:val="35"/>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7">
    <w:name w:val="标题 9 字符"/>
    <w:basedOn w:val="35"/>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8">
    <w:name w:val="标题 字符"/>
    <w:basedOn w:val="35"/>
    <w:link w:val="30"/>
    <w:qFormat/>
    <w:uiPriority w:val="10"/>
    <w:rPr>
      <w:rFonts w:asciiTheme="majorHAnsi" w:hAnsiTheme="majorHAnsi" w:eastAsiaTheme="majorEastAsia" w:cstheme="majorBidi"/>
      <w:spacing w:val="-10"/>
      <w:kern w:val="28"/>
      <w:sz w:val="56"/>
      <w:szCs w:val="56"/>
    </w:rPr>
  </w:style>
  <w:style w:type="character" w:customStyle="1" w:styleId="49">
    <w:name w:val="副标题 字符"/>
    <w:basedOn w:val="35"/>
    <w:link w:val="2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0">
    <w:name w:val="Quote"/>
    <w:basedOn w:val="1"/>
    <w:next w:val="1"/>
    <w:link w:val="5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1">
    <w:name w:val="引用 字符"/>
    <w:basedOn w:val="35"/>
    <w:link w:val="50"/>
    <w:qFormat/>
    <w:uiPriority w:val="29"/>
    <w:rPr>
      <w:i/>
      <w:iCs/>
      <w:color w:val="404040" w:themeColor="text1" w:themeTint="BF"/>
      <w14:textFill>
        <w14:solidFill>
          <w14:schemeClr w14:val="tx1">
            <w14:lumMod w14:val="75000"/>
            <w14:lumOff w14:val="25000"/>
          </w14:schemeClr>
        </w14:solidFill>
      </w14:textFill>
    </w:rPr>
  </w:style>
  <w:style w:type="paragraph" w:styleId="52">
    <w:name w:val="List Paragraph"/>
    <w:basedOn w:val="1"/>
    <w:qFormat/>
    <w:uiPriority w:val="34"/>
    <w:pPr>
      <w:ind w:left="720"/>
      <w:contextualSpacing/>
    </w:pPr>
  </w:style>
  <w:style w:type="character" w:customStyle="1" w:styleId="53">
    <w:name w:val="明显强调1"/>
    <w:basedOn w:val="35"/>
    <w:qFormat/>
    <w:uiPriority w:val="21"/>
    <w:rPr>
      <w:i/>
      <w:iCs/>
      <w:color w:val="2F5597" w:themeColor="accent1" w:themeShade="BF"/>
    </w:rPr>
  </w:style>
  <w:style w:type="paragraph" w:styleId="54">
    <w:name w:val="Intense Quote"/>
    <w:basedOn w:val="1"/>
    <w:next w:val="1"/>
    <w:link w:val="5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5">
    <w:name w:val="明显引用 字符"/>
    <w:basedOn w:val="35"/>
    <w:link w:val="54"/>
    <w:qFormat/>
    <w:uiPriority w:val="30"/>
    <w:rPr>
      <w:i/>
      <w:iCs/>
      <w:color w:val="2F5597" w:themeColor="accent1" w:themeShade="BF"/>
    </w:rPr>
  </w:style>
  <w:style w:type="character" w:customStyle="1" w:styleId="56">
    <w:name w:val="明显参考1"/>
    <w:basedOn w:val="35"/>
    <w:qFormat/>
    <w:uiPriority w:val="32"/>
    <w:rPr>
      <w:b/>
      <w:bCs/>
      <w:smallCaps/>
      <w:color w:val="2F5597" w:themeColor="accent1" w:themeShade="BF"/>
      <w:spacing w:val="5"/>
    </w:rPr>
  </w:style>
  <w:style w:type="character" w:customStyle="1" w:styleId="57">
    <w:name w:val="页眉 字符"/>
    <w:basedOn w:val="35"/>
    <w:link w:val="22"/>
    <w:qFormat/>
    <w:uiPriority w:val="99"/>
    <w:rPr>
      <w:sz w:val="18"/>
      <w:szCs w:val="18"/>
      <w14:ligatures w14:val="none"/>
    </w:rPr>
  </w:style>
  <w:style w:type="character" w:customStyle="1" w:styleId="58">
    <w:name w:val="页脚 字符"/>
    <w:basedOn w:val="35"/>
    <w:link w:val="21"/>
    <w:qFormat/>
    <w:uiPriority w:val="99"/>
    <w:rPr>
      <w:sz w:val="18"/>
      <w:szCs w:val="18"/>
      <w14:ligatures w14:val="none"/>
    </w:rPr>
  </w:style>
  <w:style w:type="paragraph" w:customStyle="1" w:styleId="59">
    <w:name w:val="3.一级标题 黑"/>
    <w:basedOn w:val="1"/>
    <w:qFormat/>
    <w:uiPriority w:val="0"/>
    <w:pPr>
      <w:snapToGrid w:val="0"/>
      <w:spacing w:line="600" w:lineRule="atLeast"/>
      <w:ind w:firstLine="420"/>
      <w:outlineLvl w:val="0"/>
    </w:pPr>
    <w:rPr>
      <w:rFonts w:ascii="黑体" w:hAnsi="黑体" w:eastAsia="黑体" w:cs="黑体"/>
      <w:color w:val="000000"/>
      <w:sz w:val="32"/>
    </w:rPr>
  </w:style>
  <w:style w:type="paragraph" w:customStyle="1" w:styleId="60">
    <w:name w:val="（二）级楷体"/>
    <w:basedOn w:val="1"/>
    <w:qFormat/>
    <w:uiPriority w:val="0"/>
    <w:pPr>
      <w:snapToGrid w:val="0"/>
      <w:spacing w:line="600" w:lineRule="exact"/>
      <w:ind w:firstLine="880"/>
      <w:outlineLvl w:val="1"/>
    </w:pPr>
    <w:rPr>
      <w:rFonts w:ascii="楷体_GB2312" w:hAnsi="楷体_GB2312" w:eastAsia="楷体_GB2312" w:cs="楷体_GB2312"/>
      <w:color w:val="000000"/>
      <w:sz w:val="32"/>
    </w:rPr>
  </w:style>
  <w:style w:type="paragraph" w:customStyle="1" w:styleId="61">
    <w:name w:val="标题2"/>
    <w:basedOn w:val="1"/>
    <w:next w:val="1"/>
    <w:link w:val="62"/>
    <w:qFormat/>
    <w:uiPriority w:val="0"/>
    <w:pPr>
      <w:spacing w:beforeLines="20" w:afterLines="20" w:line="360" w:lineRule="auto"/>
      <w:outlineLvl w:val="1"/>
    </w:pPr>
    <w:rPr>
      <w:rFonts w:ascii="Times New Roman" w:hAnsi="Times New Roman" w:eastAsia="黑体" w:cs="Times New Roman"/>
      <w:b/>
      <w:sz w:val="32"/>
      <w:szCs w:val="32"/>
    </w:rPr>
  </w:style>
  <w:style w:type="character" w:customStyle="1" w:styleId="62">
    <w:name w:val="标题2 Char"/>
    <w:link w:val="61"/>
    <w:qFormat/>
    <w:uiPriority w:val="0"/>
    <w:rPr>
      <w:rFonts w:ascii="Times New Roman" w:hAnsi="Times New Roman" w:eastAsia="黑体" w:cs="Times New Roman"/>
      <w:b/>
      <w:sz w:val="32"/>
      <w:szCs w:val="32"/>
      <w14:ligatures w14:val="none"/>
    </w:rPr>
  </w:style>
  <w:style w:type="paragraph" w:customStyle="1" w:styleId="63">
    <w:name w:val="段落"/>
    <w:basedOn w:val="1"/>
    <w:next w:val="1"/>
    <w:link w:val="64"/>
    <w:qFormat/>
    <w:uiPriority w:val="0"/>
    <w:pPr>
      <w:spacing w:line="360" w:lineRule="auto"/>
      <w:ind w:firstLine="480" w:firstLineChars="200"/>
    </w:pPr>
    <w:rPr>
      <w:rFonts w:ascii="Times New Roman" w:hAnsi="Times New Roman" w:eastAsia="宋体" w:cs="Times New Roman"/>
      <w:sz w:val="24"/>
      <w:szCs w:val="22"/>
    </w:rPr>
  </w:style>
  <w:style w:type="character" w:customStyle="1" w:styleId="64">
    <w:name w:val="段落 Char"/>
    <w:link w:val="63"/>
    <w:qFormat/>
    <w:uiPriority w:val="0"/>
    <w:rPr>
      <w:rFonts w:ascii="Times New Roman" w:hAnsi="Times New Roman" w:eastAsia="宋体" w:cs="Times New Roman"/>
      <w:sz w:val="24"/>
      <w:szCs w:val="22"/>
      <w14:ligatures w14:val="none"/>
    </w:rPr>
  </w:style>
  <w:style w:type="character" w:customStyle="1" w:styleId="65">
    <w:name w:val="图表标题及表头 Char"/>
    <w:link w:val="66"/>
    <w:qFormat/>
    <w:uiPriority w:val="0"/>
    <w:rPr>
      <w:rFonts w:ascii="Times New Roman" w:hAnsi="Times New Roman" w:eastAsia="宋体" w:cs="Times New Roman"/>
      <w:b/>
      <w:szCs w:val="21"/>
    </w:rPr>
  </w:style>
  <w:style w:type="paragraph" w:customStyle="1" w:styleId="66">
    <w:name w:val="图表标题及表头"/>
    <w:basedOn w:val="1"/>
    <w:link w:val="65"/>
    <w:qFormat/>
    <w:uiPriority w:val="0"/>
    <w:pPr>
      <w:spacing w:line="360" w:lineRule="auto"/>
      <w:jc w:val="center"/>
    </w:pPr>
    <w:rPr>
      <w:rFonts w:ascii="Times New Roman" w:hAnsi="Times New Roman" w:eastAsia="宋体" w:cs="Times New Roman"/>
      <w:b/>
      <w:sz w:val="22"/>
      <w:szCs w:val="21"/>
      <w14:ligatures w14:val="standardContextual"/>
    </w:rPr>
  </w:style>
  <w:style w:type="paragraph" w:customStyle="1" w:styleId="67">
    <w:name w:val="TOC 标题1"/>
    <w:basedOn w:val="3"/>
    <w:next w:val="1"/>
    <w:unhideWhenUsed/>
    <w:qFormat/>
    <w:uiPriority w:val="39"/>
    <w:pPr>
      <w:widowControl/>
      <w:spacing w:before="240" w:after="0" w:line="259" w:lineRule="auto"/>
      <w:jc w:val="left"/>
      <w:outlineLvl w:val="9"/>
    </w:pPr>
    <w:rPr>
      <w:kern w:val="0"/>
      <w:sz w:val="32"/>
      <w:szCs w:val="32"/>
    </w:rPr>
  </w:style>
  <w:style w:type="paragraph" w:customStyle="1" w:styleId="68">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69">
    <w:name w:val="批注文字 字符"/>
    <w:basedOn w:val="35"/>
    <w:link w:val="14"/>
    <w:qFormat/>
    <w:uiPriority w:val="99"/>
    <w:rPr>
      <w:sz w:val="21"/>
      <w14:ligatures w14:val="none"/>
    </w:rPr>
  </w:style>
  <w:style w:type="character" w:customStyle="1" w:styleId="70">
    <w:name w:val="批注主题 字符"/>
    <w:basedOn w:val="69"/>
    <w:link w:val="31"/>
    <w:semiHidden/>
    <w:qFormat/>
    <w:uiPriority w:val="99"/>
    <w:rPr>
      <w:b/>
      <w:bCs/>
      <w:sz w:val="21"/>
      <w14:ligatures w14:val="none"/>
    </w:rPr>
  </w:style>
  <w:style w:type="character" w:customStyle="1" w:styleId="71">
    <w:name w:val="纯文本 字符"/>
    <w:basedOn w:val="35"/>
    <w:link w:val="2"/>
    <w:qFormat/>
    <w:uiPriority w:val="0"/>
    <w:rPr>
      <w:rFonts w:hAnsi="Courier New" w:cs="Courier New" w:asciiTheme="minorEastAsia"/>
      <w:sz w:val="21"/>
      <w:szCs w:val="22"/>
      <w14:ligatures w14:val="none"/>
    </w:rPr>
  </w:style>
  <w:style w:type="character" w:customStyle="1" w:styleId="72">
    <w:name w:val="未处理的提及1"/>
    <w:basedOn w:val="35"/>
    <w:semiHidden/>
    <w:unhideWhenUsed/>
    <w:qFormat/>
    <w:uiPriority w:val="99"/>
    <w:rPr>
      <w:color w:val="605E5C"/>
      <w:shd w:val="clear" w:color="auto" w:fill="E1DFDD"/>
    </w:rPr>
  </w:style>
  <w:style w:type="paragraph" w:customStyle="1" w:styleId="73">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74">
    <w:name w:val="！正文"/>
    <w:basedOn w:val="1"/>
    <w:qFormat/>
    <w:uiPriority w:val="0"/>
    <w:pPr>
      <w:spacing w:line="360" w:lineRule="auto"/>
      <w:ind w:firstLine="560" w:firstLineChars="200"/>
      <w:jc w:val="left"/>
    </w:pPr>
    <w:rPr>
      <w:rFonts w:ascii="Times New Roman" w:hAnsi="Times New Roman" w:eastAsia="宋体" w:cs="Times New Roman"/>
      <w:kern w:val="0"/>
      <w:sz w:val="24"/>
      <w:szCs w:val="28"/>
      <w:lang w:val="zh-CN"/>
    </w:rPr>
  </w:style>
  <w:style w:type="paragraph" w:customStyle="1" w:styleId="75">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76">
    <w:name w:val="TOC 标题2"/>
    <w:basedOn w:val="3"/>
    <w:next w:val="1"/>
    <w:unhideWhenUsed/>
    <w:qFormat/>
    <w:uiPriority w:val="39"/>
    <w:pPr>
      <w:widowControl/>
      <w:spacing w:before="240" w:after="0" w:line="259" w:lineRule="auto"/>
      <w:jc w:val="left"/>
      <w:outlineLvl w:val="9"/>
    </w:pPr>
    <w:rPr>
      <w:kern w:val="0"/>
      <w:sz w:val="32"/>
      <w:szCs w:val="32"/>
    </w:rPr>
  </w:style>
  <w:style w:type="paragraph" w:customStyle="1" w:styleId="77">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78">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79">
    <w:name w:val="Revision"/>
    <w:hidden/>
    <w:unhideWhenUsed/>
    <w:uiPriority w:val="99"/>
    <w:rPr>
      <w:rFonts w:asciiTheme="minorHAnsi" w:hAnsiTheme="minorHAnsi" w:eastAsiaTheme="minorEastAsia" w:cstheme="minorBidi"/>
      <w:kern w:val="2"/>
      <w:sz w:val="21"/>
      <w:szCs w:val="24"/>
      <w:lang w:val="en-US" w:eastAsia="zh-CN" w:bidi="ar-SA"/>
    </w:rPr>
  </w:style>
  <w:style w:type="paragraph" w:customStyle="1" w:styleId="80">
    <w:name w:val="BodyText"/>
    <w:basedOn w:val="1"/>
    <w:qFormat/>
    <w:uiPriority w:val="0"/>
    <w:pPr>
      <w:jc w:val="center"/>
      <w:textAlignment w:val="baseline"/>
    </w:pPr>
    <w:rPr>
      <w:rFonts w:ascii="华文中宋" w:hAnsi="宋体" w:eastAsia="华文中宋" w:cs="Times New Roman"/>
      <w:b/>
      <w:bCs/>
      <w:color w:val="000000"/>
      <w:sz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3FAC4-EBDD-4200-A1C2-F5AF6317298A}">
  <ds:schemaRefs/>
</ds:datastoreItem>
</file>

<file path=docProps/app.xml><?xml version="1.0" encoding="utf-8"?>
<Properties xmlns="http://schemas.openxmlformats.org/officeDocument/2006/extended-properties" xmlns:vt="http://schemas.openxmlformats.org/officeDocument/2006/docPropsVTypes">
  <Template>Normal</Template>
  <Pages>74</Pages>
  <Words>37069</Words>
  <Characters>38035</Characters>
  <Lines>1731</Lines>
  <Paragraphs>1163</Paragraphs>
  <TotalTime>39</TotalTime>
  <ScaleCrop>false</ScaleCrop>
  <LinksUpToDate>false</LinksUpToDate>
  <CharactersWithSpaces>45305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2025-12-28T01:18:00Z</dcterms:created>
  <dc:creator>大军 程</dc:creator>
  <cp:lastModifiedBy>Administrator</cp:lastModifiedBy>
  <cp:lastPrinted>2025-09-17T10:44:00Z</cp:lastPrinted>
  <dcterms:modified xsi:type="dcterms:W3CDTF">2025-12-29T01:03:50Z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eyJoZGlkIjoiNjE2YTNiNmZmYzUzM2RhY2IxYTNhZGU4YzkxN2NmZjUiLCJ1c2VySWQiOiI3NDM0Mzc4MjEifQ==</vt:lpwstr>
  </property>
  <property fmtid="{D5CDD505-2E9C-101B-9397-08002B2CF9AE}" pid="3" name="KSOProductBuildVer">
    <vt:lpwstr>2052-11.8.2.10972</vt:lpwstr>
  </property>
  <property fmtid="{D5CDD505-2E9C-101B-9397-08002B2CF9AE}" pid="4" name="ICV">
    <vt:lpwstr>5001CA96532545849F7FEF194DBBF1ED</vt:lpwstr>
  </property>
</Properties>
</file>