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仿宋_GB2312" w:hAnsi="仿宋_GB2312" w:eastAsia="方正小标宋简体" w:cs="仿宋_GB2312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仿宋_GB2312" w:hAnsi="仿宋_GB2312" w:eastAsia="方正小标宋简体" w:cs="仿宋_GB2312"/>
          <w:color w:val="auto"/>
          <w:sz w:val="44"/>
          <w:szCs w:val="44"/>
          <w:highlight w:val="none"/>
          <w:lang w:val="en-US" w:eastAsia="zh-CN"/>
        </w:rPr>
        <w:t>昌平区促进</w:t>
      </w:r>
      <w:r>
        <w:rPr>
          <w:rFonts w:hint="eastAsia" w:ascii="仿宋_GB2312" w:hAnsi="仿宋_GB2312" w:eastAsia="方正小标宋简体" w:cs="仿宋_GB2312"/>
          <w:color w:val="auto"/>
          <w:sz w:val="44"/>
          <w:szCs w:val="44"/>
          <w:highlight w:val="none"/>
          <w:lang w:val="en-US" w:eastAsia="zh-CN"/>
        </w:rPr>
        <w:t>文娱行业</w:t>
      </w:r>
      <w:r>
        <w:rPr>
          <w:rFonts w:hint="default" w:ascii="仿宋_GB2312" w:hAnsi="仿宋_GB2312" w:eastAsia="方正小标宋简体" w:cs="仿宋_GB2312"/>
          <w:color w:val="auto"/>
          <w:sz w:val="44"/>
          <w:szCs w:val="44"/>
          <w:highlight w:val="none"/>
          <w:lang w:val="en-US" w:eastAsia="zh-CN"/>
        </w:rPr>
        <w:t>高质量发展的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仿宋_GB2312" w:hAnsi="仿宋_GB2312" w:eastAsia="方正小标宋简体" w:cs="仿宋_GB2312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仿宋_GB2312" w:hAnsi="仿宋_GB2312" w:eastAsia="方正小标宋简体" w:cs="仿宋_GB2312"/>
          <w:color w:val="auto"/>
          <w:sz w:val="44"/>
          <w:szCs w:val="44"/>
          <w:highlight w:val="none"/>
          <w:lang w:val="en-US" w:eastAsia="zh-CN"/>
        </w:rPr>
        <w:t>支持办法（征求意见稿）</w:t>
      </w:r>
    </w:p>
    <w:bookmarkEnd w:id="0"/>
    <w:p>
      <w:pPr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  <w14:ligatures w14:val="none"/>
        </w:rPr>
        <w:t>2025年12月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  <w14:ligatures w14:val="none"/>
        </w:rPr>
        <w:t>）</w:t>
      </w:r>
    </w:p>
    <w:p>
      <w:pPr>
        <w:keepNext/>
        <w:keepLines/>
        <w:widowControl w:val="0"/>
        <w:adjustRightInd w:val="0"/>
        <w:snapToGrid w:val="0"/>
        <w:spacing w:before="0" w:after="0" w:line="560" w:lineRule="exact"/>
        <w:ind w:firstLine="0" w:firstLineChars="0"/>
        <w:jc w:val="center"/>
        <w:outlineLvl w:val="0"/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adjustRightInd w:val="0"/>
        <w:snapToGrid w:val="0"/>
        <w:spacing w:before="0" w:after="0" w:line="560" w:lineRule="exact"/>
        <w:ind w:firstLine="0" w:firstLineChars="0"/>
        <w:jc w:val="center"/>
        <w:outlineLvl w:val="0"/>
        <w:rPr>
          <w:rFonts w:ascii="楷体_GB2312" w:hAnsi="楷体_GB2312" w:eastAsia="楷体_GB2312" w:cs="楷体_GB2312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en-US" w:eastAsia="zh-CN" w:bidi="ar-SA"/>
        </w:rPr>
        <w:t>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0"/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第一章  总则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为贯彻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落实《国务院办公厅关于推动文化高质量发展的若干经济政策》《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北京市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关于培育新型文化业态大力发展文化新质生产力的若干措施》《昌平区推进文化产业高质量发展若干措施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试行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》等文件精神，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充分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发挥文化赋能作用，聚焦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文娱行业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供给侧结构性改革，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昌平区文娱行业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高质量发展，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制定本办法。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本办法所称文娱行业，是指以文化内容为核心，通过创意、生产、服务、传播等环节，为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消费者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提供娱乐体验的产业集合，涵盖范围包括但不限于演艺、动漫、影视、游戏、电竞等多个领域。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本办法所称文娱产业园区，是指经过国家、市、区级相关部门认定的，以文娱行业为核心，集聚一定规模相关企业与机构，具备稳定运营能力，能产生显著经济效益与社会效益，并对区域文娱及相关产业发展具有示范、引领和辐射带动作用的文化产业园区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本办法适用于依法完成相关登记注册手续，且无安全生产事故、未产生重大负面舆情、无严重失信行为的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文娱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领域相关企业。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color w:val="auto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支持方式。设立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文娱行业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发展专项资金，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事后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奖励、补助等方式给予支持。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0"/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 xml:space="preserve">章  </w:t>
      </w:r>
      <w:r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推动文娱行业能级提升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鼓励打造与运营优质IP。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培育优质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IP。着力打造一批传播力强、文化底蕴深、用户黏性高、商业适配广的精品IP。对在阅读量或播放量等流量数据、行业影响力、文化价值、IP受欢迎程度、商业拓展能力及长效运营成效等方面表现突出的IP创作企业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，经专家综合评审，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给予最高50万元的一次性奖励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支持优质IP全链路开发。鼓励以优质IP为核心，推动其在演出、影视、游戏、衍生品及文旅等产业链环节实现一体化开发与转化。产业链上游依托原创内容平台，持续孵化文学、动漫等优质IP；中游推进影视、综艺、游戏、音乐等多种内容形态的开发与联动；下游拓展至线下演出、衍生品、主题乐园等多元消费场景。对在IP影响力、开发完整性、市场价值及运营效果等方面表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突出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的企业，经专家综合评审，给予最高50万元的一次性奖励。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构建平台化发展模式。培育一体化平台企业。鼓励企业整合影视、文学、音乐、票务及游戏等多元业态，构建涵盖内容生产、宣传发行与商业变现的综合性文娱产品矩阵，推动线上内容赋能线下体验、线下活动反哺线上热度的良性循环。对年营业收入超过1亿元，并且在带动文旅消费、社会效益等方面成效显著的平台企业，经专家综合评审，给予最高50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鼓励提升用户体验。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用户内容共创。支持平台推动用户使用文字、图片、视频等形态参与内容二次创作，实现从消费者向共创者转变。对用户创作量、内容播放量、互动量（包括评论、转发、点赞等）等方面数据表现优异的平台企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给予最高10万元的一次性奖励。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推动分众化内容运营。鼓励企业针对不同圈层开发专属内容形态，例如面向女性群体的互动剧与情感播客、面向二次元受众的虚拟偶像直播、面向Z世代的短视频挑战赛。对在圈层运营形式、年度原创内容产出量、粉丝规模、社会效益和经济效益等方面表现优秀的企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给予最高20万元的一次性奖励。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鼓励引进优质文娱资源。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一）鼓励邀请知名度高、商业号召力强的明星艺人提升本区演艺市场影响力。对成功邀请在知名度、作品质量、市场号召力等方面具有显著影响力的国际或国内艺人（含演员、歌手、乐团、舞团等）的演出主办方，由专家根据作品质量、艺术水准、票房收入、媒体曝光量、公众关注度等进行综合评审，给予主办团队最高100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二）鼓励头部导演进行内容创作创新。对知名导演在昌平进行影视、戏剧、音乐、舞蹈等多种艺术形式创作、展演，根据演出内容在主题深度、艺术表达、技术创新或市场表现等方面的表现，由专家根据其创新性、经济贡献、艺术价值、上座率等进行综合评审，给予导演及创作团队最高100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三）鼓励打造优质直播电商基地。支持建设具备全球影响力与行业引领力的直播电商基地，聚焦优质内容创作、网红品牌孵化、网红达人培育三大核心方向，由专家根据其经济贡献、带货销售额、社会效益等进行综合评审，给予直播电商基地最高20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四）加大互联网优质内容创作者的引进力度。鼓励以直播带货的形式带动昌平当地产品销售，对于单个直播账号年带货销售额超过1000万、2000万及3000万的运营公司，可作为申报主体，由专家根据其销售额、退货率、社会效益等进行综合评审，给予运营公司最高20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0"/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 xml:space="preserve">章  </w:t>
      </w:r>
      <w:r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深化文娱行业融合创新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跨业态协同发展。鼓励整合全产业链文娱业态，联动音乐、演出、影视、短剧、直播电商、票务以及游戏等领域，构建涵盖创作、宣发、演出和衍生品开发在内的完整产业链。对在业态覆盖完整度、用户流转效率、协同运营机制和商业闭环建设等方面表现突出的企业，经专家综合评审，给予最高50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动多元场景融合发展。鼓励文娱市场主体融合创意零售、特色餐饮、文化展览等多元业态，积极探索融合创新模式，如打造演艺集聚区、演艺中心商圈等“演艺+”新场景，构建集内容生产、技术试验、空间融合、消费体验四位一体的新型场景经济体系。对在业态创新性、市场运营效益、二次消费率及消费者满意度等方面表现突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企业，经专家综合评审，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给予最高50万元的一次性奖励。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IP跨界联名。支持企业与国内外知名品牌开展对接合作，推动IP实现跨业态联名，深化内容消费与实物消费融合，构建跨业态、跨场景、跨技术的消费系统。对在IP联名成效、消费场景多元性、带动上下游企业数量及经济效益等方面表现突出的企业，经专家综合评审，给予最高50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0"/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章</w:t>
      </w:r>
      <w:r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 xml:space="preserve">  加速产业园区转型升级</w:t>
      </w:r>
    </w:p>
    <w:p>
      <w:pPr>
        <w:numPr>
          <w:ilvl w:val="1"/>
          <w:numId w:val="1"/>
        </w:numPr>
        <w:spacing w:line="560" w:lineRule="exact"/>
        <w:ind w:firstLine="640" w:firstLineChars="200"/>
        <w:outlineLvl w:val="1"/>
        <w:rPr>
          <w:rFonts w:hint="eastAsia" w:ascii="DejaVu Sans" w:hAnsi="DejaVu Sans" w:eastAsia="方正书宋_GBK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支持企业入驻园区。鼓励园区引进优质企业，并根据其引进企业在技术创新、经济贡献、发展潜力等方面的综合表现，对引进工作成效显著的产业园，经专家综合评审，给予最高30万元的一次性奖励。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DejaVu Sans" w:hAnsi="DejaVu Sans" w:eastAsia="方正书宋_GBK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产业园区提供共享服务与国际化服务。支持园区为企业提供共享法务、技术支持、资源库、联合采购、跨境资金结算、海外平台对接及国际IP合作资源等专业化服务。对在集群化与国际化发展水平、经济效益和社会效益等方面表现突出的产业园区，经专家综合评审，给予最高30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数字科技展厅建设。鼓励产业园区建设数字科技展厅，集中展示园区及入驻企业技术实力，呈现包括VR、AR、MR、动捕、数字人、AI智能交互体验等前沿科技与应用成果。对固定资产投资规模较大、社会效益显著的数字展厅，经专家综合评审，给予最高50万元的一次性补贴。</w:t>
      </w:r>
    </w:p>
    <w:p>
      <w:pPr>
        <w:numPr>
          <w:ilvl w:val="1"/>
          <w:numId w:val="1"/>
        </w:num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支持产业园区参与评级认定。鼓励产业园区积极申报国家级、市级文化产业示范园区等称号。对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获评相应资质、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经济效益和社会效益突出，且无重大安全事故、环保违法、群体性事件等记录的产业园区，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分别给予国家级50万元、市级30万元一次性资金支持。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支持引入与培育上市企业。鼓励产业园区积极引入已上市企业，或培育园区企业在境内外证券交易所完成首次公开发行并成功上市，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对在引进上市企业、服务企业上市进程、形成示范带动效应等方面成效显著的产业园区，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给予最高50万元的一次性补贴。</w:t>
      </w:r>
    </w:p>
    <w:p>
      <w:pPr>
        <w:numPr>
          <w:ilvl w:val="1"/>
          <w:numId w:val="1"/>
        </w:numPr>
        <w:spacing w:line="560" w:lineRule="exact"/>
        <w:ind w:firstLine="640" w:firstLineChars="200"/>
        <w:outlineLvl w:val="1"/>
        <w:rPr>
          <w:rFonts w:hint="eastAsia" w:ascii="DejaVu Sans" w:hAnsi="DejaVu Sans" w:eastAsia="方正书宋_GBK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产学研协同创新。鼓励企业与高校、科研院所共建研发中心、实验室及人才培养基地，通过技术沙龙、成果转化等多种形式，开展产学研合作，推动校企资源共享与协同育人。对在人才培育成效、社会效益和经济效益表现突出的企业，经专家综合评审，给予最高10万元的一次性运营经费补贴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加强运营与人才保障。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园区提升运营服务能力。对文娱企业集聚度高、产业生态良好、服务体系健全、具有显著辐射带动效应，且在经济效益和社会效益表现突出的产业园区，经专家综合评审，给予最高30万元的一次性运营经费补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园区加强人才引进与服务。对年营业收入超过1亿元、成长性良好的产业园区，支持为入园重点企业的核心人才提供居住证、户籍办理、住房保障、子女入学等方面服务。对社会效益和经济效益表现突出的产业园区，经专家综合评审，给予相应政策倾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高成长产业园区。鼓励产业园区通过高标准规划、设施配套与服务创新，提升专业运营服务水平，吸引产业链上下游企业集聚，构建高成长性产业聚集区。对无重大安全事故、环保违法、群体性事件等记录且成长性好的产业园区，在经济实力、创新能力、企业结构等方面表现突出的，经专家综合评审，对产业园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给予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场地租金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20%的补贴，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每年最高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50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0"/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>第五章  打造核心业态竞争优势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焕发演艺市场发展活力。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鼓励发展音乐节、演唱会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在《昌平区促进文旅农商体融合发展的支持办法》第九条已明确按票房等因素予以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奖励的基础上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，强化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基础设施、环境卫生、公共服务等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配套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保障，确保活动安全有序开展，提升观众体验与活动口碑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，助力培育地区性音乐节品牌。同一品牌年度组织3场以上、每场1万人以上的系列音乐节，对视听技术、观众体验、可持续运营、社会效益和经济效益等方面表现突出的音乐节主办方，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给予30万元的一次性奖励。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鼓励提升创作技术水平。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优化舞美设计。鼓励音乐节、演唱会等演艺场地硬件采用国际级设计与技术，对舞台设计荣获国内外权威舞台设计赛事奖项，或在舞台表现形式上具有独创性、传播广泛、口碑良好，且经济效益和社会效益较为突出的主办方，经专家综合评审，每家企业每年给予最高30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升级视听技术。鼓励通过前沿技术赋能舞美设计、上座率预测、现场互动及高清直播，支持采用沉浸式叙事和剧情化串场方式，以主线故事串联演出，借助XR技术实现场景随剧情递进，增强观众情绪体验。对在总票房、口碑、观看人数、社会互动量等方面表现突出的音乐节、演唱会活动主办方，经专家综合评审，每家企业每年给予最高30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融合沉浸式技术。鼓励音乐节、演唱会应用影视级LED屏、裸眼3D悬浮装置等先进技术实现多场景秒级切换。推动XR、AI、互动技术、叙事设计、运营系统等技术展示。对能够构建“现场沉浸、线上云享、后续衍生”的全周期沉浸体验，并取得显著社会效益和经济效益的活动主办方，经专家综合评审，每家企业每年给予最高30万元的一次性奖励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演艺产业融合消费，发展票根经济。在《昌平区促进文旅农商体融合发展的支持办法》第九条已对企业优惠金额予以奖励的基础上，对能够进一步提供景区门票、餐饮折扣、交通接驳等增值服务，并有效提升游客满意度与酒店入住率的企业，对持票根参与旅游景区优惠的消费者较多；或凭票根优惠入住酒店及民宿间夜数较多，且社会效益与经济效益突出的经营主体，经专家综合评审，给予最高10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支持打造戏剧精品。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鼓励精品戏剧演出。对拥有固定文化场地并持续开展高质量剧目演出，演出频次达标、运营规范，且社会效益与经济效益突出的演艺主体，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，给予最高10万元的一次性奖励。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国际合作与展演奖励。对区内团队与国际及港澳台地区机构合作，在昌平成功举办符合区域文化定位、具有社会关注度或行业影响力的演出项目、戏剧演出季或戏剧节；或原创演艺作品参加国际戏剧节展演，且社会效益与经济效益突出的合作或参演主体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每家企业每年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给予最高10万元的一次性奖励。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激活动漫行业发展动能。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鼓励动漫优秀内容创作与传播。对当年热播的动漫（动画片、电影等）进行奖励，对于年度正片有效播放量高，主流社交平台真实评分高，社交平台热度较高的动漫创作企业，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每家企业每年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给予最高50万元的一次性奖励。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鼓励动漫产业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应用高新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从手工密集型升级为算法驱动型，推动AIGC成为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文娱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产业提升创作效率、优化视觉风格与升级文化表达的重要引擎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覆盖动漫创作过程中角色设计、场景构建、动作生成等环节，提升效率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、降低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成本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。对AIGC视听产业平台服务多家文娱企业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、年度服务项目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较多、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AI创作渗透率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较高、经济效益和社会效益表现突出的经营主体，经专家综合评审，给予最高50万元的一次性奖励。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动漫影视IP衍生开发。支持企业依托电商生态开发动漫影视IP的玩具、服装、游戏游艺设备等多种衍生品类，实现从内容到消费品的全链路变现。对于入驻电商平台，衍生品年度营业收入较高且成功打造爆款产品的企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给予最高50万元的一次性奖励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引领影视行业迭代升级。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电影、电视剧、网剧、微短剧、综艺等影视精品创作。鼓励以非遗、明文化、穿越等热门元素和昌平区域特色资源创作的影视作品。对成功公开上演或院线上映，播放量高，且社会效益与经济效益突出的创作主体，经专家综合评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每家企业每年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给予最高20万元的一次性奖励。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优秀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作品与参演人员入围奖项。剧目、影视剧本等成功入围国内外重要文化奖项（如中宣部“五个一工程”奖、中国电影华表奖、金鸡奖综合奖项、大众电影百花奖最佳影片或优秀影片、飞天奖优秀电视剧、金鹰奖最佳电视剧等），或相关参演人员入围对应奖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经济效益和社会效益表现突出的经营主体，经专家综合评审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，分别给予制作单位10万元、参演人员2万元的奖励，年度最高不超过30万元。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网剧平台发展。通过政府补贴、行业协会与平台协同联动，构建健康有序的网剧平台。（1）政务服务支持。开通微短剧备案即报即审通道，压缩备案审查时限；设立评审专家站，快速出具剧本或完成片审核意见，降低内容合规风险。（2）金融支持。统筹多层级资金，专项投向网剧、微短剧、动漫项目，提供低息视听贷专项金融支持。（3）分账收入奖励。对平台内网剧、微短剧分账收入实施区级直补。对非遗传承、科技科普等稀缺题材作品，提供优先宣推渠道。（4）每年开展优秀微短剧剧本评选，并建立共享剧本库，降低原创门槛。（5）鼓励平台企业的网剧、微短剧版权海外交易。（6）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举办具有影响力的微短剧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动漫等内容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交易会、行业论坛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实拍影棚建设。在《昌平区促进文旅农商体融合发展的支持办法》第八条已对影棚投资额予以奖励的基础上，对经备案，投资建设影视、影棚拍摄场地的企业，建筑面积不低于1000平方米的，能够带动本地就业，影棚正常投入使用后，由专家对经济效益和社会效益进行综合评审，给予最高20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支持搭建虚拟影棚。重点支持LED显示系统、动作捕捉设备、实时渲染引擎、数字资产库等核心软硬件及配套建设。对虚拟影棚形成的标准化流程、年度服务项目、经济效益和社会效益等方面表现突出的企业，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给予最高50万元的一次性奖励。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支持游戏产业创新发展。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培育优秀原创游戏作品。支持开发符合社会主义核心价值观、弘扬中华优秀传统文化的优质游戏产品。对于上一年度获批版号并正式出版发行的优秀原创作品，每个游戏作品予以10万元的一次性补贴。对上年度获得The Games Awards、金摇杆奖、游戏开发者优选奖（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GDCA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等行业国际大奖、中国音数协游戏十强年度榜等国内大奖的企业，按国际奖20万元、国内奖10万元的标准给予一次性奖励，每家企业或机构每年累计奖励最高50万元。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关键技术研发。鼓励游戏制作环节关键技术与工具软件的自主研发和解码开发；推动构建适用于场景构建、内容创作、画面渲染等行业垂直领域的大模型；支持国产游戏主机、AR/VR/MR智能眼镜等游戏体验设备，数字虚拟影棚、3D结构光学摄影棚等游戏开发硬件设备的研发。对产品开发中研发费用合计达到50万元以上的，经济效益和社会效益表现突出的企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给予最高30万元的一次性奖励。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构建电竞产业发展体系。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支持培育电竞俱乐部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发展。在《昌平区促进文旅农商体融合发展的支持办法》第十一条已按获奖级别对电竞俱乐部予以奖励的基础上，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对于参加国际性、全国性顶级赛事获得过前三名的电竞俱乐部主场新落户，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给予最高50万元的一次性补贴。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鼓励举办“电竞+”融合活动赛事。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鼓励举办“电竞+”融合产业活动。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支持行业协会、专业机构和企业举办游戏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“电竞+”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产业展会、大会等产业活动，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活动赛事级别、规模、影响力等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方面表现突出的活动主办方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经专家综合评审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的奖励，每家企业每年累计奖励最高50万元。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推动电竞与文娱业态深度融合打造消费新场景。推动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电竞与演唱会、酒店、文旅等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文娱业态深度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融合，打造沉浸式消费新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场景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活动参与人数达到一定规模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的企业，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经济效益和社会效益表现突出的经营主体，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经专家综合评审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给予最高10万元的一次性奖励，每家企业每年累计奖励最高30万元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0"/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方正黑体_GBK" w:cs="仿宋_GB2312"/>
          <w:color w:val="auto"/>
          <w:sz w:val="32"/>
          <w:szCs w:val="32"/>
          <w:highlight w:val="none"/>
          <w:lang w:val="en-US" w:eastAsia="zh-CN"/>
        </w:rPr>
        <w:t xml:space="preserve">第八章  </w:t>
      </w:r>
      <w:r>
        <w:rPr>
          <w:rFonts w:hint="default" w:ascii="仿宋_GB2312" w:hAnsi="仿宋_GB2312" w:eastAsia="方正黑体_GBK" w:cs="仿宋_GB2312"/>
          <w:color w:val="auto"/>
          <w:sz w:val="32"/>
          <w:szCs w:val="32"/>
          <w:highlight w:val="none"/>
        </w:rPr>
        <w:t>附则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同一项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目或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同一事项，符合北京市市级其他扶持政策规定的，可申请同时享受市、区两级政策支持，另有规定的除外。申报主体已享受区级其他政策奖励的，不再重复支持。本措施原则上采取依申请申报“后奖励”的方式，对企业、机构上一年度事项予以资金支持。同一年度、同一奖励领域不予重复奖励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申报单位应自觉接受有关部门的检查、监督、审计。对以提供虚假资料等手段骗取、冒领补贴的申报单位，将追回所拨资金，涉及违法犯罪的，移交有关部门处理。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本措施由昌平区文化和旅游局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组织项目申报、评审等实施工作和资金兑现，保障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项目评审工作公开、公平、公正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default" w:ascii="DejaVu Sans" w:hAnsi="DejaVu Sans" w:eastAsia="方正书宋_GBK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本措施由昌平区文化和旅游局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解释，仅限于北京市昌平区适用，自印发之日起实施，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试行期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3年。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试行期间如遇国家及北京市相关政策变动将相应调整。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02E448"/>
    <w:multiLevelType w:val="singleLevel"/>
    <w:tmpl w:val="8202E4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567B71F"/>
    <w:multiLevelType w:val="singleLevel"/>
    <w:tmpl w:val="8567B7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4DD7FC3"/>
    <w:multiLevelType w:val="singleLevel"/>
    <w:tmpl w:val="B4DD7FC3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0411DF0"/>
    <w:multiLevelType w:val="singleLevel"/>
    <w:tmpl w:val="10411DF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A0B7746"/>
    <w:multiLevelType w:val="multilevel"/>
    <w:tmpl w:val="2A0B7746"/>
    <w:lvl w:ilvl="0" w:tentative="0">
      <w:start w:val="1"/>
      <w:numFmt w:val="chineseCounting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第%2条  "/>
      <w:lvlJc w:val="left"/>
      <w:pPr>
        <w:tabs>
          <w:tab w:val="left" w:pos="0"/>
        </w:tabs>
        <w:ind w:left="0" w:firstLine="402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5">
    <w:nsid w:val="2F425D00"/>
    <w:multiLevelType w:val="singleLevel"/>
    <w:tmpl w:val="2F425D0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3134EB44"/>
    <w:multiLevelType w:val="singleLevel"/>
    <w:tmpl w:val="3134EB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190DF55"/>
    <w:multiLevelType w:val="singleLevel"/>
    <w:tmpl w:val="3190DF5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3AD719B4"/>
    <w:multiLevelType w:val="singleLevel"/>
    <w:tmpl w:val="3AD719B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4ACA6B03"/>
    <w:multiLevelType w:val="singleLevel"/>
    <w:tmpl w:val="4ACA6B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6FD84B8A"/>
    <w:multiLevelType w:val="singleLevel"/>
    <w:tmpl w:val="6FD84B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43AD3"/>
    <w:rsid w:val="7B74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jaVu Sans" w:hAnsi="DejaVu Sans" w:eastAsia="方正书宋_GBK" w:cs="仿宋_GB2312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2025-12-24T13:24:00Z</dcterms:created>
  <dc:creator>Administrator</dc:creator>
  <cp:lastModifiedBy>Administrator</cp:lastModifiedBy>
  <dcterms:modified xsi:type="dcterms:W3CDTF">2025-12-24T13:25:32Z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