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9BF0B">
      <w:pPr>
        <w:pStyle w:val="11"/>
        <w:keepNext w:val="0"/>
        <w:keepLines w:val="0"/>
        <w:pageBreakBefore w:val="0"/>
        <w:widowControl w:val="0"/>
        <w:tabs>
          <w:tab w:val="right" w:leader="dot" w:pos="8296"/>
        </w:tabs>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方正小标宋简体" w:hAnsi="方正小标宋简体" w:eastAsia="方正小标宋简体" w:cs="方正小标宋简体"/>
          <w:b w:val="0"/>
          <w:bCs/>
          <w:color w:val="auto"/>
          <w:sz w:val="44"/>
          <w:szCs w:val="44"/>
          <w:highlight w:val="none"/>
        </w:rPr>
      </w:pPr>
    </w:p>
    <w:p w14:paraId="6DFF1DB6">
      <w:pPr>
        <w:pStyle w:val="11"/>
        <w:keepNext w:val="0"/>
        <w:keepLines w:val="0"/>
        <w:pageBreakBefore w:val="0"/>
        <w:widowControl w:val="0"/>
        <w:tabs>
          <w:tab w:val="right" w:leader="dot" w:pos="8296"/>
        </w:tabs>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rPr>
        <w:t>延庆区</w:t>
      </w:r>
      <w:r>
        <w:rPr>
          <w:rFonts w:hint="eastAsia" w:ascii="方正小标宋简体" w:hAnsi="方正小标宋简体" w:eastAsia="方正小标宋简体" w:cs="方正小标宋简体"/>
          <w:b w:val="0"/>
          <w:bCs/>
          <w:color w:val="auto"/>
          <w:sz w:val="44"/>
          <w:szCs w:val="44"/>
          <w:highlight w:val="none"/>
          <w:lang w:eastAsia="zh-CN"/>
        </w:rPr>
        <w:t>“</w:t>
      </w:r>
      <w:r>
        <w:rPr>
          <w:rFonts w:hint="eastAsia" w:ascii="方正小标宋简体" w:hAnsi="方正小标宋简体" w:eastAsia="方正小标宋简体" w:cs="方正小标宋简体"/>
          <w:b w:val="0"/>
          <w:bCs/>
          <w:color w:val="auto"/>
          <w:sz w:val="44"/>
          <w:szCs w:val="44"/>
          <w:highlight w:val="none"/>
          <w:lang w:val="en-US" w:eastAsia="zh-CN"/>
        </w:rPr>
        <w:t>十五五</w:t>
      </w:r>
      <w:r>
        <w:rPr>
          <w:rFonts w:hint="eastAsia" w:ascii="方正小标宋简体" w:hAnsi="方正小标宋简体" w:eastAsia="方正小标宋简体" w:cs="方正小标宋简体"/>
          <w:b w:val="0"/>
          <w:bCs/>
          <w:color w:val="auto"/>
          <w:sz w:val="44"/>
          <w:szCs w:val="44"/>
          <w:highlight w:val="none"/>
          <w:lang w:eastAsia="zh-CN"/>
        </w:rPr>
        <w:t>”</w:t>
      </w:r>
      <w:r>
        <w:rPr>
          <w:rFonts w:hint="eastAsia" w:ascii="方正小标宋简体" w:hAnsi="方正小标宋简体" w:eastAsia="方正小标宋简体" w:cs="方正小标宋简体"/>
          <w:b w:val="0"/>
          <w:bCs/>
          <w:color w:val="auto"/>
          <w:sz w:val="44"/>
          <w:szCs w:val="44"/>
          <w:highlight w:val="none"/>
          <w:lang w:val="en-US" w:eastAsia="zh-CN"/>
        </w:rPr>
        <w:t>时期推进农业农村</w:t>
      </w:r>
    </w:p>
    <w:p w14:paraId="679A99E6">
      <w:pPr>
        <w:pStyle w:val="11"/>
        <w:keepNext w:val="0"/>
        <w:keepLines w:val="0"/>
        <w:pageBreakBefore w:val="0"/>
        <w:widowControl w:val="0"/>
        <w:tabs>
          <w:tab w:val="right" w:leader="dot" w:pos="8296"/>
        </w:tabs>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现代化</w:t>
      </w:r>
      <w:bookmarkStart w:id="196" w:name="_GoBack"/>
      <w:bookmarkEnd w:id="196"/>
      <w:r>
        <w:rPr>
          <w:rFonts w:hint="eastAsia" w:ascii="方正小标宋简体" w:hAnsi="方正小标宋简体" w:eastAsia="方正小标宋简体" w:cs="方正小标宋简体"/>
          <w:b w:val="0"/>
          <w:bCs/>
          <w:color w:val="auto"/>
          <w:sz w:val="44"/>
          <w:szCs w:val="44"/>
          <w:highlight w:val="none"/>
          <w:lang w:val="en-US" w:eastAsia="zh-CN"/>
        </w:rPr>
        <w:t>规划（征求意见）</w:t>
      </w:r>
    </w:p>
    <w:p w14:paraId="7E76A0D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textAlignment w:val="auto"/>
        <w:rPr>
          <w:color w:val="auto"/>
          <w:highlight w:val="none"/>
        </w:rPr>
      </w:pPr>
    </w:p>
    <w:p w14:paraId="1EFE0EA5">
      <w:pPr>
        <w:pStyle w:val="6"/>
        <w:rPr>
          <w:color w:val="auto"/>
          <w:highlight w:val="none"/>
        </w:rPr>
      </w:pPr>
    </w:p>
    <w:p w14:paraId="4347B089">
      <w:pPr>
        <w:rPr>
          <w:color w:val="auto"/>
          <w:highlight w:val="none"/>
        </w:rPr>
      </w:pPr>
    </w:p>
    <w:p w14:paraId="0928EB9D">
      <w:pPr>
        <w:pStyle w:val="6"/>
        <w:rPr>
          <w:color w:val="auto"/>
          <w:highlight w:val="none"/>
        </w:rPr>
      </w:pPr>
    </w:p>
    <w:p w14:paraId="5439A106">
      <w:pPr>
        <w:rPr>
          <w:color w:val="auto"/>
          <w:highlight w:val="none"/>
        </w:rPr>
      </w:pPr>
    </w:p>
    <w:p w14:paraId="55E376FA">
      <w:pPr>
        <w:pStyle w:val="6"/>
        <w:rPr>
          <w:color w:val="auto"/>
          <w:highlight w:val="none"/>
        </w:rPr>
      </w:pPr>
    </w:p>
    <w:p w14:paraId="06BD066A">
      <w:pPr>
        <w:rPr>
          <w:color w:val="auto"/>
          <w:highlight w:val="none"/>
        </w:rPr>
      </w:pPr>
    </w:p>
    <w:p w14:paraId="665B02B7">
      <w:pPr>
        <w:pStyle w:val="6"/>
        <w:rPr>
          <w:color w:val="auto"/>
          <w:highlight w:val="none"/>
        </w:rPr>
      </w:pPr>
    </w:p>
    <w:p w14:paraId="73956222">
      <w:pPr>
        <w:rPr>
          <w:color w:val="auto"/>
          <w:highlight w:val="none"/>
        </w:rPr>
      </w:pPr>
    </w:p>
    <w:p w14:paraId="181B6CB2">
      <w:pPr>
        <w:pStyle w:val="6"/>
        <w:rPr>
          <w:color w:val="auto"/>
          <w:highlight w:val="none"/>
        </w:rPr>
      </w:pPr>
    </w:p>
    <w:p w14:paraId="68C05D88">
      <w:pPr>
        <w:ind w:left="0" w:leftChars="0" w:firstLine="0" w:firstLineChars="0"/>
        <w:rPr>
          <w:rFonts w:hint="eastAsia" w:eastAsia="仿宋_GB2312"/>
          <w:color w:val="auto"/>
          <w:highlight w:val="none"/>
          <w:lang w:val="en-US" w:eastAsia="zh-CN"/>
        </w:rPr>
      </w:pPr>
    </w:p>
    <w:p w14:paraId="6FD02F86">
      <w:pPr>
        <w:pStyle w:val="6"/>
        <w:rPr>
          <w:color w:val="auto"/>
          <w:highlight w:val="none"/>
        </w:rPr>
      </w:pPr>
    </w:p>
    <w:p w14:paraId="601383F3">
      <w:pPr>
        <w:keepNext w:val="0"/>
        <w:keepLines w:val="0"/>
        <w:widowControl/>
        <w:suppressLineNumbers w:val="0"/>
        <w:ind w:left="0" w:leftChars="0" w:firstLine="0" w:firstLineChars="0"/>
        <w:jc w:val="center"/>
        <w:rPr>
          <w:rFonts w:ascii="华文仿宋" w:hAnsi="华文仿宋" w:eastAsia="华文仿宋" w:cs="华文仿宋"/>
          <w:color w:val="auto"/>
          <w:kern w:val="0"/>
          <w:sz w:val="30"/>
          <w:szCs w:val="30"/>
          <w:highlight w:val="none"/>
          <w:lang w:val="en-US" w:eastAsia="zh-CN" w:bidi="ar"/>
        </w:rPr>
      </w:pPr>
      <w:r>
        <w:rPr>
          <w:rFonts w:ascii="华文仿宋" w:hAnsi="华文仿宋" w:eastAsia="华文仿宋" w:cs="华文仿宋"/>
          <w:color w:val="auto"/>
          <w:kern w:val="0"/>
          <w:sz w:val="30"/>
          <w:szCs w:val="30"/>
          <w:highlight w:val="none"/>
          <w:lang w:val="en-US" w:eastAsia="zh-CN" w:bidi="ar"/>
        </w:rPr>
        <w:t>北京市延庆区人民政府</w:t>
      </w:r>
    </w:p>
    <w:p w14:paraId="429E01DC">
      <w:pPr>
        <w:pStyle w:val="6"/>
        <w:ind w:left="0" w:leftChars="0" w:firstLine="0" w:firstLineChars="0"/>
        <w:jc w:val="center"/>
        <w:rPr>
          <w:rFonts w:hint="default"/>
          <w:color w:val="auto"/>
          <w:highlight w:val="none"/>
          <w:lang w:val="en-US"/>
        </w:rPr>
      </w:pPr>
      <w:r>
        <w:rPr>
          <w:rFonts w:hint="eastAsia" w:ascii="华文仿宋" w:hAnsi="华文仿宋" w:eastAsia="华文仿宋" w:cs="华文仿宋"/>
          <w:color w:val="auto"/>
          <w:kern w:val="0"/>
          <w:sz w:val="30"/>
          <w:szCs w:val="30"/>
          <w:highlight w:val="none"/>
          <w:lang w:val="en-US" w:eastAsia="zh-CN" w:bidi="ar"/>
        </w:rPr>
        <w:t>2025年12月</w:t>
      </w:r>
    </w:p>
    <w:p w14:paraId="073C73E2">
      <w:pPr>
        <w:rPr>
          <w:color w:val="auto"/>
          <w:highlight w:val="none"/>
        </w:rPr>
      </w:pPr>
    </w:p>
    <w:p w14:paraId="08A0D668">
      <w:pPr>
        <w:rPr>
          <w:rFonts w:hint="eastAsia"/>
          <w:color w:val="auto"/>
          <w:highlight w:val="none"/>
          <w:lang w:val="en-US" w:eastAsia="zh-CN"/>
        </w:rPr>
      </w:pPr>
      <w:r>
        <w:rPr>
          <w:rFonts w:hint="eastAsia" w:ascii="黑体" w:hAnsi="黑体" w:eastAsia="黑体"/>
          <w:b w:val="0"/>
          <w:bCs/>
          <w:color w:val="auto"/>
          <w:sz w:val="32"/>
          <w:szCs w:val="32"/>
          <w:highlight w:val="none"/>
          <w:lang w:val="en-US" w:eastAsia="zh-CN"/>
        </w:rPr>
        <w:br w:type="page"/>
      </w:r>
    </w:p>
    <w:p w14:paraId="7C422C0F">
      <w:pPr>
        <w:pStyle w:val="11"/>
        <w:keepNext w:val="0"/>
        <w:keepLines w:val="0"/>
        <w:pageBreakBefore w:val="0"/>
        <w:widowControl w:val="0"/>
        <w:tabs>
          <w:tab w:val="right" w:leader="dot" w:pos="8296"/>
        </w:tabs>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ascii="黑体" w:hAnsi="黑体" w:eastAsia="黑体"/>
          <w:b w:val="0"/>
          <w:bCs/>
          <w:color w:val="auto"/>
          <w:sz w:val="32"/>
          <w:szCs w:val="32"/>
          <w:highlight w:val="none"/>
        </w:rPr>
      </w:pPr>
      <w:r>
        <w:rPr>
          <w:rFonts w:hint="eastAsia" w:ascii="黑体" w:hAnsi="黑体" w:eastAsia="黑体"/>
          <w:b w:val="0"/>
          <w:bCs/>
          <w:color w:val="auto"/>
          <w:sz w:val="32"/>
          <w:szCs w:val="32"/>
          <w:highlight w:val="none"/>
          <w:lang w:val="en-US" w:eastAsia="zh-CN"/>
        </w:rPr>
        <w:t>前</w:t>
      </w:r>
      <w:r>
        <w:rPr>
          <w:rFonts w:hint="eastAsia" w:ascii="黑体" w:hAnsi="黑体" w:eastAsia="黑体"/>
          <w:b w:val="0"/>
          <w:bCs/>
          <w:color w:val="auto"/>
          <w:sz w:val="32"/>
          <w:szCs w:val="32"/>
          <w:highlight w:val="none"/>
        </w:rPr>
        <w:t xml:space="preserve"> 言</w:t>
      </w:r>
    </w:p>
    <w:p w14:paraId="7392C3CE">
      <w:pPr>
        <w:bidi w:val="0"/>
        <w:rPr>
          <w:rFonts w:hint="default"/>
          <w:color w:val="auto"/>
          <w:highlight w:val="none"/>
          <w:lang w:val="en-US" w:eastAsia="zh-CN"/>
        </w:rPr>
      </w:pPr>
      <w:r>
        <w:rPr>
          <w:rFonts w:hint="eastAsia"/>
          <w:color w:val="auto"/>
          <w:highlight w:val="none"/>
          <w:lang w:val="en-US" w:eastAsia="zh-CN"/>
        </w:rPr>
        <w:t>“十五五”时期，是推进乡村全面振兴、加快农业农村现代化的第二个五年，也是北京市实施乡村全面振兴战略，不断深化农村改革，举全市之力推进北京率先基本实现农业农村现代化的重要五年。做好“十五五”时期首都“三农”工作，要坚持以习近平新时代中国特色社会主义思想为指导，深入贯彻党的二十大和二十届二中、三中全会精神，全面落实中央农村工作会议精神和市委十三届六次全会部署要求，坚持大城市带动大京郊、大京郊服务大城市，强化科技引领和改革赋能，大力发展都市型现代农业，促进农业增效益、农村增活力、农民增收入，扎实推进乡村全面振兴，为奋力谱写中国式现代化的北京篇章提供有力支撑。</w:t>
      </w:r>
    </w:p>
    <w:p w14:paraId="54A400AC">
      <w:pPr>
        <w:bidi w:val="0"/>
        <w:rPr>
          <w:rFonts w:hint="eastAsia"/>
          <w:color w:val="auto"/>
          <w:highlight w:val="none"/>
          <w:lang w:val="en-US" w:eastAsia="zh-CN"/>
        </w:rPr>
      </w:pPr>
      <w:r>
        <w:rPr>
          <w:rFonts w:hint="eastAsia"/>
          <w:color w:val="auto"/>
          <w:highlight w:val="none"/>
          <w:lang w:val="en-US" w:eastAsia="zh-CN"/>
        </w:rPr>
        <w:t>延庆区“十五五”时期推进农业农村现代化规划是本区与全市同步率先基本实现现代化承上启下的关键规划，是深入践行习近平总书记给八达岭镇石峡村乡亲们的重要回信精神，积极融入京津冀协同发展战略布局和新时代首都发展大局，立足首都生态涵养区功能定位，推进全面建设生态优先、绿色低碳的现代化农业体系，统筹城乡融合发展，强化科技赋能与制度创新，是推动农业产业提质增效与乡村全面振兴的重要基础。</w:t>
      </w:r>
    </w:p>
    <w:p w14:paraId="747DAD37">
      <w:pPr>
        <w:bidi w:val="0"/>
        <w:rPr>
          <w:rFonts w:hint="eastAsia"/>
          <w:color w:val="auto"/>
          <w:highlight w:val="none"/>
          <w:lang w:val="en-US" w:eastAsia="zh-CN"/>
        </w:rPr>
      </w:pPr>
      <w:r>
        <w:rPr>
          <w:rFonts w:hint="default"/>
          <w:color w:val="auto"/>
          <w:highlight w:val="none"/>
          <w:lang w:val="en-US" w:eastAsia="zh-CN"/>
        </w:rPr>
        <w:t>本规划贯彻</w:t>
      </w:r>
      <w:r>
        <w:rPr>
          <w:rFonts w:hint="eastAsia"/>
          <w:color w:val="auto"/>
          <w:highlight w:val="none"/>
          <w:lang w:val="en-US" w:eastAsia="zh-CN"/>
        </w:rPr>
        <w:t>国家和北京市各项文件</w:t>
      </w:r>
      <w:r>
        <w:rPr>
          <w:rFonts w:hint="default"/>
          <w:color w:val="auto"/>
          <w:highlight w:val="none"/>
          <w:lang w:val="en-US" w:eastAsia="zh-CN"/>
        </w:rPr>
        <w:t>要求，提出“十</w:t>
      </w:r>
      <w:r>
        <w:rPr>
          <w:rFonts w:hint="eastAsia"/>
          <w:color w:val="auto"/>
          <w:highlight w:val="none"/>
          <w:lang w:val="en-US" w:eastAsia="zh-CN"/>
        </w:rPr>
        <w:t>五</w:t>
      </w:r>
      <w:r>
        <w:rPr>
          <w:rFonts w:hint="default"/>
          <w:color w:val="auto"/>
          <w:highlight w:val="none"/>
          <w:lang w:val="en-US" w:eastAsia="zh-CN"/>
        </w:rPr>
        <w:t>五”时期</w:t>
      </w:r>
      <w:r>
        <w:rPr>
          <w:rFonts w:hint="eastAsia"/>
          <w:color w:val="auto"/>
          <w:highlight w:val="none"/>
          <w:lang w:val="en-US" w:eastAsia="zh-CN"/>
        </w:rPr>
        <w:t>推进农业农村现代化规划</w:t>
      </w:r>
      <w:r>
        <w:rPr>
          <w:rFonts w:hint="default"/>
          <w:color w:val="auto"/>
          <w:highlight w:val="none"/>
          <w:lang w:val="en-US" w:eastAsia="zh-CN"/>
        </w:rPr>
        <w:t>的总体思路、具体指标、主要任务和保障措施，具有战略性、指导性、可操作性，是各部门、各乡镇有序推进乡村振兴的重要依据。</w:t>
      </w:r>
      <w:r>
        <w:rPr>
          <w:rFonts w:hint="eastAsia"/>
          <w:color w:val="auto"/>
          <w:highlight w:val="none"/>
          <w:lang w:val="en-US" w:eastAsia="zh-CN"/>
        </w:rPr>
        <w:t>本规划编著主要依据如下：</w:t>
      </w:r>
    </w:p>
    <w:p w14:paraId="38D929F6">
      <w:pPr>
        <w:bidi w:val="0"/>
        <w:rPr>
          <w:rFonts w:hint="default"/>
          <w:color w:val="auto"/>
          <w:highlight w:val="none"/>
          <w:lang w:val="en-US" w:eastAsia="zh-CN"/>
        </w:rPr>
      </w:pPr>
      <w:r>
        <w:rPr>
          <w:rFonts w:hint="eastAsia"/>
          <w:color w:val="auto"/>
          <w:highlight w:val="none"/>
          <w:lang w:val="en-US" w:eastAsia="zh-CN"/>
        </w:rPr>
        <w:t>1.中共中央、国务院印发《</w:t>
      </w:r>
      <w:r>
        <w:rPr>
          <w:rFonts w:hint="default"/>
          <w:color w:val="auto"/>
          <w:highlight w:val="none"/>
          <w:lang w:val="en-US" w:eastAsia="zh-CN"/>
        </w:rPr>
        <w:t>乡村全面振兴规划（2024—2027年）》</w:t>
      </w:r>
    </w:p>
    <w:p w14:paraId="735589E6">
      <w:pPr>
        <w:bidi w:val="0"/>
        <w:rPr>
          <w:rFonts w:hint="default"/>
          <w:color w:val="auto"/>
          <w:highlight w:val="none"/>
          <w:lang w:val="en-US" w:eastAsia="zh-CN"/>
        </w:rPr>
      </w:pPr>
      <w:r>
        <w:rPr>
          <w:rFonts w:hint="eastAsia"/>
          <w:color w:val="auto"/>
          <w:highlight w:val="none"/>
          <w:lang w:val="en-US" w:eastAsia="zh-CN"/>
        </w:rPr>
        <w:t>2.中共中央、国务院印发《</w:t>
      </w:r>
      <w:r>
        <w:rPr>
          <w:rFonts w:hint="default"/>
          <w:color w:val="auto"/>
          <w:highlight w:val="none"/>
          <w:lang w:val="en-US" w:eastAsia="zh-CN"/>
        </w:rPr>
        <w:t>加快建设农业强国规划（2024－2035年）》</w:t>
      </w:r>
    </w:p>
    <w:p w14:paraId="6F029694">
      <w:pPr>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w:t>
      </w:r>
      <w:r>
        <w:rPr>
          <w:rFonts w:hint="eastAsia"/>
          <w:color w:val="auto"/>
          <w:highlight w:val="none"/>
          <w:lang w:val="en-US" w:eastAsia="zh-CN"/>
        </w:rPr>
        <w:t>2025年中央一号文件</w:t>
      </w:r>
      <w:r>
        <w:rPr>
          <w:rFonts w:hint="default"/>
          <w:color w:val="auto"/>
          <w:highlight w:val="none"/>
          <w:lang w:val="en-US" w:eastAsia="zh-CN"/>
        </w:rPr>
        <w:t>》</w:t>
      </w:r>
    </w:p>
    <w:p w14:paraId="2A5286F3">
      <w:pPr>
        <w:bidi w:val="0"/>
        <w:rPr>
          <w:rFonts w:hint="default"/>
          <w:color w:val="auto"/>
          <w:highlight w:val="none"/>
          <w:lang w:val="en-US" w:eastAsia="zh-CN"/>
        </w:rPr>
      </w:pPr>
      <w:r>
        <w:rPr>
          <w:rFonts w:hint="eastAsia"/>
          <w:color w:val="auto"/>
          <w:highlight w:val="none"/>
          <w:lang w:val="en-US" w:eastAsia="zh-CN"/>
        </w:rPr>
        <w:t>4.中共中央、国务院印发《关于学习运用“千村示范、万村整治”工程经验有力有效推进乡村全面振兴的意见》</w:t>
      </w:r>
    </w:p>
    <w:p w14:paraId="411AF76C">
      <w:pPr>
        <w:bidi w:val="0"/>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《北京城市总体规划（2016 年</w:t>
      </w:r>
      <w:r>
        <w:rPr>
          <w:rFonts w:hint="eastAsia"/>
          <w:color w:val="auto"/>
          <w:highlight w:val="none"/>
          <w:lang w:val="en-US" w:eastAsia="zh-CN"/>
        </w:rPr>
        <w:t>-</w:t>
      </w:r>
      <w:r>
        <w:rPr>
          <w:rFonts w:hint="default"/>
          <w:color w:val="auto"/>
          <w:highlight w:val="none"/>
          <w:lang w:val="en-US" w:eastAsia="zh-CN"/>
        </w:rPr>
        <w:t>2035 年）》</w:t>
      </w:r>
    </w:p>
    <w:p w14:paraId="026FD346">
      <w:pPr>
        <w:bidi w:val="0"/>
        <w:rPr>
          <w:rFonts w:hint="default"/>
          <w:color w:val="auto"/>
          <w:highlight w:val="none"/>
          <w:lang w:val="en-US" w:eastAsia="zh-CN"/>
        </w:rPr>
      </w:pPr>
      <w:r>
        <w:rPr>
          <w:rFonts w:hint="eastAsia"/>
          <w:color w:val="auto"/>
          <w:highlight w:val="none"/>
          <w:lang w:val="en-US" w:eastAsia="zh-CN"/>
        </w:rPr>
        <w:t>6.</w:t>
      </w:r>
      <w:r>
        <w:rPr>
          <w:rFonts w:hint="default"/>
          <w:color w:val="auto"/>
          <w:highlight w:val="none"/>
          <w:lang w:val="en-US" w:eastAsia="zh-CN"/>
        </w:rPr>
        <w:t>《中共北京市委关于制定北京市国民经济和社会发展第十</w:t>
      </w:r>
      <w:r>
        <w:rPr>
          <w:rFonts w:hint="eastAsia"/>
          <w:color w:val="auto"/>
          <w:highlight w:val="none"/>
          <w:lang w:val="en-US" w:eastAsia="zh-CN"/>
        </w:rPr>
        <w:t>五</w:t>
      </w:r>
      <w:r>
        <w:rPr>
          <w:rFonts w:hint="default"/>
          <w:color w:val="auto"/>
          <w:highlight w:val="none"/>
          <w:lang w:val="en-US" w:eastAsia="zh-CN"/>
        </w:rPr>
        <w:t>个五年规划和2035年远景目标的建议》</w:t>
      </w:r>
      <w:r>
        <w:rPr>
          <w:rFonts w:hint="eastAsia"/>
          <w:color w:val="auto"/>
          <w:highlight w:val="none"/>
          <w:lang w:val="en-US" w:eastAsia="zh-CN"/>
        </w:rPr>
        <w:t>（待发布）</w:t>
      </w:r>
    </w:p>
    <w:p w14:paraId="01352E37">
      <w:pPr>
        <w:bidi w:val="0"/>
        <w:rPr>
          <w:rFonts w:hint="default"/>
          <w:color w:val="auto"/>
          <w:highlight w:val="none"/>
          <w:lang w:val="en-US" w:eastAsia="zh-CN"/>
        </w:rPr>
      </w:pPr>
      <w:r>
        <w:rPr>
          <w:rFonts w:hint="eastAsia"/>
          <w:color w:val="auto"/>
          <w:highlight w:val="none"/>
          <w:lang w:val="en-US" w:eastAsia="zh-CN"/>
        </w:rPr>
        <w:t>7.中共北京市委、北京市人民政府印发《关于进一步深化农村改革扎实做好2025年乡村振兴重点工作的实施方案</w:t>
      </w:r>
      <w:r>
        <w:rPr>
          <w:rFonts w:hint="default"/>
          <w:color w:val="auto"/>
          <w:highlight w:val="none"/>
          <w:lang w:val="en-US" w:eastAsia="zh-CN"/>
        </w:rPr>
        <w:t>》</w:t>
      </w:r>
      <w:r>
        <w:rPr>
          <w:rFonts w:hint="eastAsia"/>
          <w:color w:val="auto"/>
          <w:highlight w:val="none"/>
          <w:lang w:val="en-US" w:eastAsia="zh-CN"/>
        </w:rPr>
        <w:t>的通知</w:t>
      </w:r>
    </w:p>
    <w:p w14:paraId="6350AD5E">
      <w:pPr>
        <w:bidi w:val="0"/>
        <w:rPr>
          <w:rFonts w:hint="default"/>
          <w:color w:val="auto"/>
          <w:highlight w:val="none"/>
          <w:lang w:val="en-US" w:eastAsia="zh-CN"/>
        </w:rPr>
      </w:pPr>
      <w:r>
        <w:rPr>
          <w:rFonts w:hint="eastAsia"/>
          <w:color w:val="auto"/>
          <w:highlight w:val="none"/>
          <w:lang w:val="en-US" w:eastAsia="zh-CN"/>
        </w:rPr>
        <w:t>8.</w:t>
      </w:r>
      <w:r>
        <w:rPr>
          <w:rFonts w:hint="default"/>
          <w:color w:val="auto"/>
          <w:highlight w:val="none"/>
          <w:lang w:val="en-US" w:eastAsia="zh-CN"/>
        </w:rPr>
        <w:t>北京市人民政府关于印发</w:t>
      </w:r>
      <w:r>
        <w:rPr>
          <w:rFonts w:hint="eastAsia"/>
          <w:color w:val="auto"/>
          <w:highlight w:val="none"/>
          <w:lang w:val="en-US" w:eastAsia="zh-CN"/>
        </w:rPr>
        <w:t>《</w:t>
      </w:r>
      <w:r>
        <w:rPr>
          <w:rFonts w:hint="default"/>
          <w:color w:val="auto"/>
          <w:highlight w:val="none"/>
          <w:lang w:val="en-US" w:eastAsia="zh-CN"/>
        </w:rPr>
        <w:t>北京市“十</w:t>
      </w:r>
      <w:r>
        <w:rPr>
          <w:rFonts w:hint="eastAsia"/>
          <w:color w:val="auto"/>
          <w:highlight w:val="none"/>
          <w:lang w:val="en-US" w:eastAsia="zh-CN"/>
        </w:rPr>
        <w:t>五</w:t>
      </w:r>
      <w:r>
        <w:rPr>
          <w:rFonts w:hint="default"/>
          <w:color w:val="auto"/>
          <w:highlight w:val="none"/>
          <w:lang w:val="en-US" w:eastAsia="zh-CN"/>
        </w:rPr>
        <w:t>五”时期乡村振兴战略实施规划》的通知</w:t>
      </w:r>
      <w:r>
        <w:rPr>
          <w:rFonts w:hint="eastAsia"/>
          <w:color w:val="auto"/>
          <w:highlight w:val="none"/>
          <w:lang w:val="en-US" w:eastAsia="zh-CN"/>
        </w:rPr>
        <w:t>（待发布）</w:t>
      </w:r>
    </w:p>
    <w:p w14:paraId="4920A99E">
      <w:pPr>
        <w:bidi w:val="0"/>
        <w:rPr>
          <w:rFonts w:hint="default"/>
          <w:color w:val="auto"/>
          <w:highlight w:val="none"/>
          <w:lang w:val="en-US" w:eastAsia="zh-CN"/>
        </w:rPr>
      </w:pPr>
      <w:r>
        <w:rPr>
          <w:rFonts w:hint="eastAsia"/>
          <w:color w:val="auto"/>
          <w:highlight w:val="none"/>
          <w:lang w:val="en-US" w:eastAsia="zh-CN"/>
        </w:rPr>
        <w:t>9.</w:t>
      </w:r>
      <w:r>
        <w:rPr>
          <w:rFonts w:hint="default"/>
          <w:color w:val="auto"/>
          <w:highlight w:val="none"/>
          <w:lang w:val="en-US" w:eastAsia="zh-CN"/>
        </w:rPr>
        <w:t>《</w:t>
      </w:r>
      <w:r>
        <w:rPr>
          <w:rFonts w:hint="eastAsia"/>
          <w:color w:val="auto"/>
          <w:highlight w:val="none"/>
          <w:lang w:val="en-US" w:eastAsia="zh-CN"/>
        </w:rPr>
        <w:t>延庆区</w:t>
      </w:r>
      <w:r>
        <w:rPr>
          <w:rFonts w:hint="default"/>
          <w:color w:val="auto"/>
          <w:highlight w:val="none"/>
          <w:lang w:val="en-US" w:eastAsia="zh-CN"/>
        </w:rPr>
        <w:t>分区规划（国土空间规划）（2017年—2035年）》</w:t>
      </w:r>
    </w:p>
    <w:p w14:paraId="639CCB29">
      <w:pPr>
        <w:bidi w:val="0"/>
        <w:rPr>
          <w:rFonts w:hint="eastAsia"/>
          <w:color w:val="auto"/>
          <w:highlight w:val="none"/>
          <w:lang w:val="en-US" w:eastAsia="zh-CN"/>
        </w:rPr>
      </w:pPr>
      <w:r>
        <w:rPr>
          <w:rFonts w:hint="eastAsia"/>
          <w:color w:val="auto"/>
          <w:highlight w:val="none"/>
          <w:lang w:val="en-US" w:eastAsia="zh-CN"/>
        </w:rPr>
        <w:t>10.</w:t>
      </w:r>
      <w:r>
        <w:rPr>
          <w:rFonts w:hint="default"/>
          <w:color w:val="auto"/>
          <w:highlight w:val="none"/>
          <w:lang w:val="en-US" w:eastAsia="zh-CN"/>
        </w:rPr>
        <w:t>《北京市</w:t>
      </w:r>
      <w:r>
        <w:rPr>
          <w:rFonts w:hint="eastAsia"/>
          <w:color w:val="auto"/>
          <w:highlight w:val="none"/>
          <w:lang w:val="en-US" w:eastAsia="zh-CN"/>
        </w:rPr>
        <w:t>延庆</w:t>
      </w:r>
      <w:r>
        <w:rPr>
          <w:rFonts w:hint="default"/>
          <w:color w:val="auto"/>
          <w:highlight w:val="none"/>
          <w:lang w:val="en-US" w:eastAsia="zh-CN"/>
        </w:rPr>
        <w:t>区国民经济和社会发展第十</w:t>
      </w:r>
      <w:r>
        <w:rPr>
          <w:rFonts w:hint="eastAsia"/>
          <w:color w:val="auto"/>
          <w:highlight w:val="none"/>
          <w:lang w:val="en-US" w:eastAsia="zh-CN"/>
        </w:rPr>
        <w:t>五</w:t>
      </w:r>
      <w:r>
        <w:rPr>
          <w:rFonts w:hint="default"/>
          <w:color w:val="auto"/>
          <w:highlight w:val="none"/>
          <w:lang w:val="en-US" w:eastAsia="zh-CN"/>
        </w:rPr>
        <w:t>个五年规划和2035年远景目标纲要》</w:t>
      </w:r>
      <w:r>
        <w:rPr>
          <w:rFonts w:hint="eastAsia"/>
          <w:color w:val="auto"/>
          <w:highlight w:val="none"/>
          <w:lang w:val="en-US" w:eastAsia="zh-CN"/>
        </w:rPr>
        <w:t>（待发布）</w:t>
      </w:r>
    </w:p>
    <w:p w14:paraId="32724B4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黑体" w:hAnsi="黑体" w:eastAsia="黑体" w:cs="黑体"/>
          <w:color w:val="auto"/>
          <w:sz w:val="32"/>
          <w:szCs w:val="32"/>
          <w:highlight w:val="none"/>
        </w:rPr>
      </w:pPr>
    </w:p>
    <w:p w14:paraId="2AFBC51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br w:type="column"/>
      </w:r>
      <w:r>
        <w:rPr>
          <w:rFonts w:hint="eastAsia" w:ascii="黑体" w:hAnsi="黑体" w:eastAsia="黑体" w:cs="黑体"/>
          <w:color w:val="auto"/>
          <w:sz w:val="32"/>
          <w:szCs w:val="32"/>
          <w:highlight w:val="none"/>
        </w:rPr>
        <w:t>目录</w:t>
      </w:r>
    </w:p>
    <w:p w14:paraId="6DD34A46">
      <w:pPr>
        <w:pStyle w:val="11"/>
        <w:tabs>
          <w:tab w:val="right" w:leader="dot" w:pos="8845"/>
        </w:tabs>
        <w:ind w:left="0" w:leftChars="0" w:firstLine="0" w:firstLineChars="0"/>
        <w:rPr>
          <w:color w:val="auto"/>
          <w:highlight w:val="none"/>
        </w:rPr>
      </w:pPr>
      <w:r>
        <w:rPr>
          <w:rFonts w:hint="eastAsia" w:asciiTheme="minorHAnsi" w:hAnsiTheme="minorHAnsi" w:eastAsiaTheme="minorEastAsia" w:cstheme="minorBidi"/>
          <w:color w:val="auto"/>
          <w:kern w:val="2"/>
          <w:sz w:val="32"/>
          <w:szCs w:val="32"/>
          <w:highlight w:val="none"/>
          <w:lang w:val="en-US" w:eastAsia="zh-CN" w:bidi="ar-SA"/>
        </w:rPr>
        <w:fldChar w:fldCharType="begin"/>
      </w:r>
      <w:r>
        <w:rPr>
          <w:rFonts w:hint="eastAsia" w:asciiTheme="minorHAnsi" w:hAnsiTheme="minorHAnsi" w:eastAsiaTheme="minorEastAsia" w:cstheme="minorBidi"/>
          <w:color w:val="auto"/>
          <w:kern w:val="2"/>
          <w:sz w:val="32"/>
          <w:szCs w:val="32"/>
          <w:highlight w:val="none"/>
          <w:lang w:val="en-US" w:eastAsia="zh-CN" w:bidi="ar-SA"/>
        </w:rPr>
        <w:instrText xml:space="preserve">TOC \o "1-3" \h \u </w:instrText>
      </w:r>
      <w:r>
        <w:rPr>
          <w:rFonts w:hint="eastAsia" w:asciiTheme="minorHAnsi" w:hAnsiTheme="minorHAnsi" w:eastAsiaTheme="minorEastAsia" w:cstheme="minorBidi"/>
          <w:color w:val="auto"/>
          <w:kern w:val="2"/>
          <w:sz w:val="32"/>
          <w:szCs w:val="32"/>
          <w:highlight w:val="none"/>
          <w:lang w:val="en-US" w:eastAsia="zh-CN" w:bidi="ar-SA"/>
        </w:rPr>
        <w:fldChar w:fldCharType="separate"/>
      </w: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_Toc4630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lang w:val="en-US" w:eastAsia="zh-CN"/>
        </w:rPr>
        <w:t>一、发展基础</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_Toc4630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8</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3F696D77">
      <w:pPr>
        <w:pStyle w:val="12"/>
        <w:tabs>
          <w:tab w:val="right" w:leader="dot" w:pos="8845"/>
        </w:tabs>
        <w:ind w:left="0" w:leftChars="0" w:firstLine="320" w:firstLineChars="1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32"/>
          <w:highlight w:val="none"/>
          <w:lang w:val="en-US" w:eastAsia="zh-CN" w:bidi="ar-SA"/>
        </w:rPr>
        <w:fldChar w:fldCharType="begin"/>
      </w:r>
      <w:r>
        <w:rPr>
          <w:rFonts w:hint="eastAsia" w:ascii="仿宋_GB2312" w:hAnsi="仿宋_GB2312" w:eastAsia="仿宋_GB2312" w:cs="仿宋_GB2312"/>
          <w:color w:val="auto"/>
          <w:kern w:val="2"/>
          <w:szCs w:val="32"/>
          <w:highlight w:val="none"/>
          <w:lang w:val="en-US" w:eastAsia="zh-CN" w:bidi="ar-SA"/>
        </w:rPr>
        <w:instrText xml:space="preserve"> HYPERLINK \l _Toc16201 </w:instrText>
      </w:r>
      <w:r>
        <w:rPr>
          <w:rFonts w:hint="eastAsia" w:ascii="仿宋_GB2312" w:hAnsi="仿宋_GB2312" w:eastAsia="仿宋_GB2312" w:cs="仿宋_GB2312"/>
          <w:color w:val="auto"/>
          <w:kern w:val="2"/>
          <w:szCs w:val="32"/>
          <w:highlight w:val="none"/>
          <w:lang w:val="en-US" w:eastAsia="zh-CN" w:bidi="ar-SA"/>
        </w:rPr>
        <w:fldChar w:fldCharType="separate"/>
      </w:r>
      <w:r>
        <w:rPr>
          <w:rFonts w:hint="eastAsia" w:ascii="仿宋_GB2312" w:hAnsi="仿宋_GB2312" w:eastAsia="仿宋_GB2312" w:cs="仿宋_GB2312"/>
          <w:bCs/>
          <w:color w:val="auto"/>
          <w:kern w:val="0"/>
          <w:szCs w:val="20"/>
          <w:highlight w:val="none"/>
          <w:lang w:val="en-US" w:eastAsia="zh-CN" w:bidi="ar-SA"/>
        </w:rPr>
        <w:t>（一）“十四五”时期农业农村现代化取得的主要成效</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_Toc16201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8</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32"/>
          <w:highlight w:val="none"/>
          <w:lang w:val="en-US" w:eastAsia="zh-CN" w:bidi="ar-SA"/>
        </w:rPr>
        <w:fldChar w:fldCharType="end"/>
      </w:r>
    </w:p>
    <w:p w14:paraId="6E399938">
      <w:pPr>
        <w:pStyle w:val="12"/>
        <w:tabs>
          <w:tab w:val="right" w:leader="dot" w:pos="8845"/>
        </w:tabs>
        <w:ind w:left="0" w:leftChars="0" w:firstLine="320" w:firstLineChars="100"/>
        <w:rPr>
          <w:color w:val="auto"/>
          <w:highlight w:val="none"/>
        </w:rPr>
      </w:pPr>
      <w:r>
        <w:rPr>
          <w:rFonts w:hint="eastAsia" w:ascii="仿宋_GB2312" w:hAnsi="仿宋_GB2312" w:eastAsia="仿宋_GB2312" w:cs="仿宋_GB2312"/>
          <w:color w:val="auto"/>
          <w:kern w:val="2"/>
          <w:szCs w:val="32"/>
          <w:highlight w:val="none"/>
          <w:lang w:val="en-US" w:eastAsia="zh-CN" w:bidi="ar-SA"/>
        </w:rPr>
        <w:fldChar w:fldCharType="begin"/>
      </w:r>
      <w:r>
        <w:rPr>
          <w:rFonts w:hint="eastAsia" w:ascii="仿宋_GB2312" w:hAnsi="仿宋_GB2312" w:eastAsia="仿宋_GB2312" w:cs="仿宋_GB2312"/>
          <w:color w:val="auto"/>
          <w:kern w:val="2"/>
          <w:szCs w:val="32"/>
          <w:highlight w:val="none"/>
          <w:lang w:val="en-US" w:eastAsia="zh-CN" w:bidi="ar-SA"/>
        </w:rPr>
        <w:instrText xml:space="preserve"> HYPERLINK \l _Toc10315 </w:instrText>
      </w:r>
      <w:r>
        <w:rPr>
          <w:rFonts w:hint="eastAsia" w:ascii="仿宋_GB2312" w:hAnsi="仿宋_GB2312" w:eastAsia="仿宋_GB2312" w:cs="仿宋_GB2312"/>
          <w:color w:val="auto"/>
          <w:kern w:val="2"/>
          <w:szCs w:val="32"/>
          <w:highlight w:val="none"/>
          <w:lang w:val="en-US" w:eastAsia="zh-CN" w:bidi="ar-SA"/>
        </w:rPr>
        <w:fldChar w:fldCharType="separate"/>
      </w:r>
      <w:r>
        <w:rPr>
          <w:rFonts w:hint="eastAsia" w:ascii="仿宋_GB2312" w:hAnsi="仿宋_GB2312" w:eastAsia="仿宋_GB2312" w:cs="仿宋_GB2312"/>
          <w:color w:val="auto"/>
          <w:highlight w:val="none"/>
          <w:lang w:val="en-US" w:eastAsia="zh-CN"/>
        </w:rPr>
        <w:t>（二） 面临的主要问题</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_Toc10315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13</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32"/>
          <w:highlight w:val="none"/>
          <w:lang w:val="en-US" w:eastAsia="zh-CN" w:bidi="ar-SA"/>
        </w:rPr>
        <w:fldChar w:fldCharType="end"/>
      </w:r>
    </w:p>
    <w:p w14:paraId="1398B85A">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_Toc26282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lang w:val="en-US" w:eastAsia="zh-CN"/>
        </w:rPr>
        <w:t>二、“十五五”时期农业农村现代化发展面临的新形势</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_Toc26282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15</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549F74CB">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_Toc7630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（一）重要机遇</w:t>
      </w:r>
      <w:r>
        <w:rPr>
          <w:color w:val="auto"/>
          <w:highlight w:val="none"/>
        </w:rPr>
        <w:tab/>
      </w:r>
      <w:r>
        <w:rPr>
          <w:color w:val="auto"/>
          <w:highlight w:val="none"/>
        </w:rPr>
        <w:fldChar w:fldCharType="begin"/>
      </w:r>
      <w:r>
        <w:rPr>
          <w:color w:val="auto"/>
          <w:highlight w:val="none"/>
        </w:rPr>
        <w:instrText xml:space="preserve"> PAGEREF _Toc7630 \h </w:instrText>
      </w:r>
      <w:r>
        <w:rPr>
          <w:color w:val="auto"/>
          <w:highlight w:val="none"/>
        </w:rPr>
        <w:fldChar w:fldCharType="separate"/>
      </w:r>
      <w:r>
        <w:rPr>
          <w:color w:val="auto"/>
          <w:highlight w:val="none"/>
        </w:rPr>
        <w:t>15</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0F9F35D0">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_Toc17996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（二）面临挑战</w:t>
      </w:r>
      <w:r>
        <w:rPr>
          <w:color w:val="auto"/>
          <w:highlight w:val="none"/>
        </w:rPr>
        <w:tab/>
      </w:r>
      <w:r>
        <w:rPr>
          <w:color w:val="auto"/>
          <w:highlight w:val="none"/>
        </w:rPr>
        <w:fldChar w:fldCharType="begin"/>
      </w:r>
      <w:r>
        <w:rPr>
          <w:color w:val="auto"/>
          <w:highlight w:val="none"/>
        </w:rPr>
        <w:instrText xml:space="preserve"> PAGEREF _Toc17996 \h </w:instrText>
      </w:r>
      <w:r>
        <w:rPr>
          <w:color w:val="auto"/>
          <w:highlight w:val="none"/>
        </w:rPr>
        <w:fldChar w:fldCharType="separate"/>
      </w:r>
      <w:r>
        <w:rPr>
          <w:color w:val="auto"/>
          <w:highlight w:val="none"/>
        </w:rPr>
        <w:t>17</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574C3ECD">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_Toc13568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lang w:val="en-US" w:eastAsia="zh-CN"/>
        </w:rPr>
        <w:t>三、“十五五”发展思路及发展目标</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_Toc13568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20</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52A5DE1C">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_Toc31374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（一）发展思路</w:t>
      </w:r>
      <w:r>
        <w:rPr>
          <w:color w:val="auto"/>
          <w:highlight w:val="none"/>
        </w:rPr>
        <w:tab/>
      </w:r>
      <w:r>
        <w:rPr>
          <w:color w:val="auto"/>
          <w:highlight w:val="none"/>
        </w:rPr>
        <w:fldChar w:fldCharType="begin"/>
      </w:r>
      <w:r>
        <w:rPr>
          <w:color w:val="auto"/>
          <w:highlight w:val="none"/>
        </w:rPr>
        <w:instrText xml:space="preserve"> PAGEREF _Toc31374 \h </w:instrText>
      </w:r>
      <w:r>
        <w:rPr>
          <w:color w:val="auto"/>
          <w:highlight w:val="none"/>
        </w:rPr>
        <w:fldChar w:fldCharType="separate"/>
      </w:r>
      <w:r>
        <w:rPr>
          <w:color w:val="auto"/>
          <w:highlight w:val="none"/>
        </w:rPr>
        <w:t>20</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433787BD">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_Toc22102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（二）基本原则</w:t>
      </w:r>
      <w:r>
        <w:rPr>
          <w:color w:val="auto"/>
          <w:highlight w:val="none"/>
        </w:rPr>
        <w:tab/>
      </w:r>
      <w:r>
        <w:rPr>
          <w:color w:val="auto"/>
          <w:highlight w:val="none"/>
        </w:rPr>
        <w:fldChar w:fldCharType="begin"/>
      </w:r>
      <w:r>
        <w:rPr>
          <w:color w:val="auto"/>
          <w:highlight w:val="none"/>
        </w:rPr>
        <w:instrText xml:space="preserve"> PAGEREF _Toc22102 \h </w:instrText>
      </w:r>
      <w:r>
        <w:rPr>
          <w:color w:val="auto"/>
          <w:highlight w:val="none"/>
        </w:rPr>
        <w:fldChar w:fldCharType="separate"/>
      </w:r>
      <w:r>
        <w:rPr>
          <w:color w:val="auto"/>
          <w:highlight w:val="none"/>
        </w:rPr>
        <w:t>21</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150E0C05">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_Toc22868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（三）发展目标</w:t>
      </w:r>
      <w:r>
        <w:rPr>
          <w:color w:val="auto"/>
          <w:highlight w:val="none"/>
        </w:rPr>
        <w:tab/>
      </w:r>
      <w:r>
        <w:rPr>
          <w:color w:val="auto"/>
          <w:highlight w:val="none"/>
        </w:rPr>
        <w:fldChar w:fldCharType="begin"/>
      </w:r>
      <w:r>
        <w:rPr>
          <w:color w:val="auto"/>
          <w:highlight w:val="none"/>
        </w:rPr>
        <w:instrText xml:space="preserve"> PAGEREF _Toc22868 \h </w:instrText>
      </w:r>
      <w:r>
        <w:rPr>
          <w:color w:val="auto"/>
          <w:highlight w:val="none"/>
        </w:rPr>
        <w:fldChar w:fldCharType="separate"/>
      </w:r>
      <w:r>
        <w:rPr>
          <w:color w:val="auto"/>
          <w:highlight w:val="none"/>
        </w:rPr>
        <w:t>22</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2CB0A39D">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_Toc31304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lang w:eastAsia="zh-CN"/>
        </w:rPr>
        <w:t>四、</w:t>
      </w:r>
      <w:r>
        <w:rPr>
          <w:rFonts w:hint="eastAsia" w:ascii="黑体" w:hAnsi="黑体" w:eastAsia="黑体" w:cs="黑体"/>
          <w:b/>
          <w:bCs w:val="0"/>
          <w:color w:val="auto"/>
          <w:szCs w:val="32"/>
          <w:highlight w:val="none"/>
          <w:lang w:val="en-US" w:eastAsia="zh-CN"/>
        </w:rPr>
        <w:t>重点任务一：</w:t>
      </w:r>
      <w:r>
        <w:rPr>
          <w:rFonts w:hint="eastAsia" w:ascii="黑体" w:hAnsi="黑体" w:eastAsia="黑体" w:cs="黑体"/>
          <w:b/>
          <w:bCs w:val="0"/>
          <w:color w:val="auto"/>
          <w:szCs w:val="32"/>
          <w:highlight w:val="none"/>
          <w:lang w:eastAsia="zh-CN"/>
        </w:rPr>
        <w:t>提高粮食和重要农产品供给保障水平，夯实粮食安全根基</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_Toc31304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25</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070F4710">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_Toc4823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（一）严格落实粮食安全党政同责和耕地保护责任制</w:t>
      </w:r>
      <w:r>
        <w:rPr>
          <w:color w:val="auto"/>
          <w:highlight w:val="none"/>
        </w:rPr>
        <w:tab/>
      </w:r>
      <w:r>
        <w:rPr>
          <w:color w:val="auto"/>
          <w:highlight w:val="none"/>
        </w:rPr>
        <w:fldChar w:fldCharType="begin"/>
      </w:r>
      <w:r>
        <w:rPr>
          <w:color w:val="auto"/>
          <w:highlight w:val="none"/>
        </w:rPr>
        <w:instrText xml:space="preserve"> PAGEREF _Toc4823 \h </w:instrText>
      </w:r>
      <w:r>
        <w:rPr>
          <w:color w:val="auto"/>
          <w:highlight w:val="none"/>
        </w:rPr>
        <w:fldChar w:fldCharType="separate"/>
      </w:r>
      <w:r>
        <w:rPr>
          <w:color w:val="auto"/>
          <w:highlight w:val="none"/>
        </w:rPr>
        <w:t>25</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6A972E03">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_Toc11098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ascii="Arial" w:hAnsi="Arial"/>
          <w:color w:val="auto"/>
          <w:highlight w:val="none"/>
          <w:lang w:val="en-US" w:eastAsia="zh-CN"/>
        </w:rPr>
        <w:t>（二）提升“菜篮子”保障供应水平。</w:t>
      </w:r>
      <w:r>
        <w:rPr>
          <w:color w:val="auto"/>
          <w:highlight w:val="none"/>
        </w:rPr>
        <w:tab/>
      </w:r>
      <w:r>
        <w:rPr>
          <w:color w:val="auto"/>
          <w:highlight w:val="none"/>
        </w:rPr>
        <w:fldChar w:fldCharType="begin"/>
      </w:r>
      <w:r>
        <w:rPr>
          <w:color w:val="auto"/>
          <w:highlight w:val="none"/>
        </w:rPr>
        <w:instrText xml:space="preserve"> PAGEREF _Toc11098 \h </w:instrText>
      </w:r>
      <w:r>
        <w:rPr>
          <w:color w:val="auto"/>
          <w:highlight w:val="none"/>
        </w:rPr>
        <w:fldChar w:fldCharType="separate"/>
      </w:r>
      <w:r>
        <w:rPr>
          <w:color w:val="auto"/>
          <w:highlight w:val="none"/>
        </w:rPr>
        <w:t>26</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327099A3">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_Toc32237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（三）发展现代林果业。</w:t>
      </w:r>
      <w:r>
        <w:rPr>
          <w:color w:val="auto"/>
          <w:highlight w:val="none"/>
        </w:rPr>
        <w:tab/>
      </w:r>
      <w:r>
        <w:rPr>
          <w:color w:val="auto"/>
          <w:highlight w:val="none"/>
        </w:rPr>
        <w:fldChar w:fldCharType="begin"/>
      </w:r>
      <w:r>
        <w:rPr>
          <w:color w:val="auto"/>
          <w:highlight w:val="none"/>
        </w:rPr>
        <w:instrText xml:space="preserve"> PAGEREF _Toc32237 \h </w:instrText>
      </w:r>
      <w:r>
        <w:rPr>
          <w:color w:val="auto"/>
          <w:highlight w:val="none"/>
        </w:rPr>
        <w:fldChar w:fldCharType="separate"/>
      </w:r>
      <w:r>
        <w:rPr>
          <w:color w:val="auto"/>
          <w:highlight w:val="none"/>
        </w:rPr>
        <w:t>27</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01785DA3">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_Toc10701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（四）发展林下经济</w:t>
      </w:r>
      <w:r>
        <w:rPr>
          <w:color w:val="auto"/>
          <w:highlight w:val="none"/>
        </w:rPr>
        <w:tab/>
      </w:r>
      <w:r>
        <w:rPr>
          <w:color w:val="auto"/>
          <w:highlight w:val="none"/>
        </w:rPr>
        <w:fldChar w:fldCharType="begin"/>
      </w:r>
      <w:r>
        <w:rPr>
          <w:color w:val="auto"/>
          <w:highlight w:val="none"/>
        </w:rPr>
        <w:instrText xml:space="preserve"> PAGEREF _Toc10701 \h </w:instrText>
      </w:r>
      <w:r>
        <w:rPr>
          <w:color w:val="auto"/>
          <w:highlight w:val="none"/>
        </w:rPr>
        <w:fldChar w:fldCharType="separate"/>
      </w:r>
      <w:r>
        <w:rPr>
          <w:color w:val="auto"/>
          <w:highlight w:val="none"/>
        </w:rPr>
        <w:t>28</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7138B7DD">
      <w:pPr>
        <w:pStyle w:val="11"/>
        <w:tabs>
          <w:tab w:val="right" w:leader="dot" w:pos="8845"/>
        </w:tabs>
        <w:ind w:left="0" w:leftChars="0" w:firstLine="0" w:firstLineChars="0"/>
        <w:rPr>
          <w:color w:val="auto"/>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_Toc5011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lang w:val="en-US" w:eastAsia="zh-CN"/>
        </w:rPr>
        <w:t>五、重点任务二：强化农业科技创新引领，培育农业新质生产力</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_Toc5011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28</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66F58C85">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_Toc17789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（一） 做强现代种业</w:t>
      </w:r>
      <w:r>
        <w:rPr>
          <w:color w:val="auto"/>
          <w:highlight w:val="none"/>
        </w:rPr>
        <w:tab/>
      </w:r>
      <w:r>
        <w:rPr>
          <w:color w:val="auto"/>
          <w:highlight w:val="none"/>
        </w:rPr>
        <w:fldChar w:fldCharType="begin"/>
      </w:r>
      <w:r>
        <w:rPr>
          <w:color w:val="auto"/>
          <w:highlight w:val="none"/>
        </w:rPr>
        <w:instrText xml:space="preserve"> PAGEREF _Toc17789 \h </w:instrText>
      </w:r>
      <w:r>
        <w:rPr>
          <w:color w:val="auto"/>
          <w:highlight w:val="none"/>
        </w:rPr>
        <w:fldChar w:fldCharType="separate"/>
      </w:r>
      <w:r>
        <w:rPr>
          <w:color w:val="auto"/>
          <w:highlight w:val="none"/>
        </w:rPr>
        <w:t>28</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1A4153B1">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_Toc31677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（二）发展智慧农业</w:t>
      </w:r>
      <w:r>
        <w:rPr>
          <w:color w:val="auto"/>
          <w:highlight w:val="none"/>
        </w:rPr>
        <w:tab/>
      </w:r>
      <w:r>
        <w:rPr>
          <w:color w:val="auto"/>
          <w:highlight w:val="none"/>
        </w:rPr>
        <w:fldChar w:fldCharType="begin"/>
      </w:r>
      <w:r>
        <w:rPr>
          <w:color w:val="auto"/>
          <w:highlight w:val="none"/>
        </w:rPr>
        <w:instrText xml:space="preserve"> PAGEREF _Toc31677 \h </w:instrText>
      </w:r>
      <w:r>
        <w:rPr>
          <w:color w:val="auto"/>
          <w:highlight w:val="none"/>
        </w:rPr>
        <w:fldChar w:fldCharType="separate"/>
      </w:r>
      <w:r>
        <w:rPr>
          <w:color w:val="auto"/>
          <w:highlight w:val="none"/>
        </w:rPr>
        <w:t>31</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24B83948">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_Toc26605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（三）发展现代设施农业</w:t>
      </w:r>
      <w:r>
        <w:rPr>
          <w:color w:val="auto"/>
          <w:highlight w:val="none"/>
        </w:rPr>
        <w:tab/>
      </w:r>
      <w:r>
        <w:rPr>
          <w:color w:val="auto"/>
          <w:highlight w:val="none"/>
        </w:rPr>
        <w:fldChar w:fldCharType="begin"/>
      </w:r>
      <w:r>
        <w:rPr>
          <w:color w:val="auto"/>
          <w:highlight w:val="none"/>
        </w:rPr>
        <w:instrText xml:space="preserve"> PAGEREF _Toc26605 \h </w:instrText>
      </w:r>
      <w:r>
        <w:rPr>
          <w:color w:val="auto"/>
          <w:highlight w:val="none"/>
        </w:rPr>
        <w:fldChar w:fldCharType="separate"/>
      </w:r>
      <w:r>
        <w:rPr>
          <w:color w:val="auto"/>
          <w:highlight w:val="none"/>
        </w:rPr>
        <w:t>32</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11D1189C">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_Toc23997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（四）发展绿色生态农业</w:t>
      </w:r>
      <w:r>
        <w:rPr>
          <w:color w:val="auto"/>
          <w:highlight w:val="none"/>
        </w:rPr>
        <w:tab/>
      </w:r>
      <w:r>
        <w:rPr>
          <w:color w:val="auto"/>
          <w:highlight w:val="none"/>
        </w:rPr>
        <w:fldChar w:fldCharType="begin"/>
      </w:r>
      <w:r>
        <w:rPr>
          <w:color w:val="auto"/>
          <w:highlight w:val="none"/>
        </w:rPr>
        <w:instrText xml:space="preserve"> PAGEREF _Toc23997 \h </w:instrText>
      </w:r>
      <w:r>
        <w:rPr>
          <w:color w:val="auto"/>
          <w:highlight w:val="none"/>
        </w:rPr>
        <w:fldChar w:fldCharType="separate"/>
      </w:r>
      <w:r>
        <w:rPr>
          <w:color w:val="auto"/>
          <w:highlight w:val="none"/>
        </w:rPr>
        <w:t>32</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524E3D2E">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_Toc22430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lang w:eastAsia="zh-CN"/>
        </w:rPr>
        <w:t>六、</w:t>
      </w:r>
      <w:r>
        <w:rPr>
          <w:rFonts w:hint="eastAsia" w:ascii="黑体" w:hAnsi="黑体" w:eastAsia="黑体" w:cs="黑体"/>
          <w:b/>
          <w:bCs w:val="0"/>
          <w:color w:val="auto"/>
          <w:szCs w:val="32"/>
          <w:highlight w:val="none"/>
          <w:lang w:val="en-US" w:eastAsia="zh-CN"/>
        </w:rPr>
        <w:t>重点任务三：</w:t>
      </w:r>
      <w:r>
        <w:rPr>
          <w:rFonts w:hint="eastAsia" w:ascii="黑体" w:hAnsi="黑体" w:eastAsia="黑体" w:cs="黑体"/>
          <w:b/>
          <w:bCs w:val="0"/>
          <w:color w:val="auto"/>
          <w:szCs w:val="32"/>
          <w:highlight w:val="none"/>
          <w:lang w:eastAsia="zh-CN"/>
        </w:rPr>
        <w:t>全环节完善现代农业经营体系，拓宽农民增收渠道</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_Toc22430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35</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4524C837">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_Toc30907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（一）激发小农户与现代经营融合活力</w:t>
      </w:r>
      <w:r>
        <w:rPr>
          <w:color w:val="auto"/>
          <w:highlight w:val="none"/>
        </w:rPr>
        <w:tab/>
      </w:r>
      <w:r>
        <w:rPr>
          <w:color w:val="auto"/>
          <w:highlight w:val="none"/>
        </w:rPr>
        <w:fldChar w:fldCharType="begin"/>
      </w:r>
      <w:r>
        <w:rPr>
          <w:color w:val="auto"/>
          <w:highlight w:val="none"/>
        </w:rPr>
        <w:instrText xml:space="preserve"> PAGEREF _Toc30907 \h </w:instrText>
      </w:r>
      <w:r>
        <w:rPr>
          <w:color w:val="auto"/>
          <w:highlight w:val="none"/>
        </w:rPr>
        <w:fldChar w:fldCharType="separate"/>
      </w:r>
      <w:r>
        <w:rPr>
          <w:color w:val="auto"/>
          <w:highlight w:val="none"/>
        </w:rPr>
        <w:t>35</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44C359FC">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_Toc18201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（二）深化集体经济活权赋能改革</w:t>
      </w:r>
      <w:r>
        <w:rPr>
          <w:color w:val="auto"/>
          <w:highlight w:val="none"/>
        </w:rPr>
        <w:tab/>
      </w:r>
      <w:r>
        <w:rPr>
          <w:color w:val="auto"/>
          <w:highlight w:val="none"/>
        </w:rPr>
        <w:fldChar w:fldCharType="begin"/>
      </w:r>
      <w:r>
        <w:rPr>
          <w:color w:val="auto"/>
          <w:highlight w:val="none"/>
        </w:rPr>
        <w:instrText xml:space="preserve"> PAGEREF _Toc18201 \h </w:instrText>
      </w:r>
      <w:r>
        <w:rPr>
          <w:color w:val="auto"/>
          <w:highlight w:val="none"/>
        </w:rPr>
        <w:fldChar w:fldCharType="separate"/>
      </w:r>
      <w:r>
        <w:rPr>
          <w:color w:val="auto"/>
          <w:highlight w:val="none"/>
        </w:rPr>
        <w:t>36</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0150423E">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_Toc27922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（三）推动新型主体提质与融合发展</w:t>
      </w:r>
      <w:r>
        <w:rPr>
          <w:color w:val="auto"/>
          <w:highlight w:val="none"/>
        </w:rPr>
        <w:tab/>
      </w:r>
      <w:r>
        <w:rPr>
          <w:color w:val="auto"/>
          <w:highlight w:val="none"/>
        </w:rPr>
        <w:fldChar w:fldCharType="begin"/>
      </w:r>
      <w:r>
        <w:rPr>
          <w:color w:val="auto"/>
          <w:highlight w:val="none"/>
        </w:rPr>
        <w:instrText xml:space="preserve"> PAGEREF _Toc27922 \h </w:instrText>
      </w:r>
      <w:r>
        <w:rPr>
          <w:color w:val="auto"/>
          <w:highlight w:val="none"/>
        </w:rPr>
        <w:fldChar w:fldCharType="separate"/>
      </w:r>
      <w:r>
        <w:rPr>
          <w:color w:val="auto"/>
          <w:highlight w:val="none"/>
        </w:rPr>
        <w:t>36</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0975E82A">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_Toc5466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（四）构筑高效生态型社会化服务体系</w:t>
      </w:r>
      <w:r>
        <w:rPr>
          <w:color w:val="auto"/>
          <w:highlight w:val="none"/>
        </w:rPr>
        <w:tab/>
      </w:r>
      <w:r>
        <w:rPr>
          <w:color w:val="auto"/>
          <w:highlight w:val="none"/>
        </w:rPr>
        <w:fldChar w:fldCharType="begin"/>
      </w:r>
      <w:r>
        <w:rPr>
          <w:color w:val="auto"/>
          <w:highlight w:val="none"/>
        </w:rPr>
        <w:instrText xml:space="preserve"> PAGEREF _Toc5466 \h </w:instrText>
      </w:r>
      <w:r>
        <w:rPr>
          <w:color w:val="auto"/>
          <w:highlight w:val="none"/>
        </w:rPr>
        <w:fldChar w:fldCharType="separate"/>
      </w:r>
      <w:r>
        <w:rPr>
          <w:color w:val="auto"/>
          <w:highlight w:val="none"/>
        </w:rPr>
        <w:t>37</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6BE4FD03">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_Toc9627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lang w:eastAsia="zh-CN"/>
        </w:rPr>
        <w:t>七、</w:t>
      </w:r>
      <w:r>
        <w:rPr>
          <w:rFonts w:hint="eastAsia" w:ascii="黑体" w:hAnsi="黑体" w:eastAsia="黑体" w:cs="黑体"/>
          <w:b/>
          <w:bCs w:val="0"/>
          <w:color w:val="auto"/>
          <w:szCs w:val="32"/>
          <w:highlight w:val="none"/>
          <w:lang w:val="en-US" w:eastAsia="zh-CN"/>
        </w:rPr>
        <w:t>重点任务四：</w:t>
      </w:r>
      <w:r>
        <w:rPr>
          <w:rFonts w:hint="eastAsia" w:ascii="黑体" w:hAnsi="黑体" w:eastAsia="黑体" w:cs="黑体"/>
          <w:b/>
          <w:bCs w:val="0"/>
          <w:color w:val="auto"/>
          <w:szCs w:val="32"/>
          <w:highlight w:val="none"/>
          <w:lang w:eastAsia="zh-CN"/>
        </w:rPr>
        <w:t>全链条推进农业产业体系升级，提升农业综合效益</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_Toc9627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39</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05A28BFB">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_Toc4731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（一） 加快发展乡村特色产业聚集区建设</w:t>
      </w:r>
      <w:r>
        <w:rPr>
          <w:color w:val="auto"/>
          <w:highlight w:val="none"/>
        </w:rPr>
        <w:tab/>
      </w:r>
      <w:r>
        <w:rPr>
          <w:color w:val="auto"/>
          <w:highlight w:val="none"/>
        </w:rPr>
        <w:fldChar w:fldCharType="begin"/>
      </w:r>
      <w:r>
        <w:rPr>
          <w:color w:val="auto"/>
          <w:highlight w:val="none"/>
        </w:rPr>
        <w:instrText xml:space="preserve"> PAGEREF _Toc4731 \h </w:instrText>
      </w:r>
      <w:r>
        <w:rPr>
          <w:color w:val="auto"/>
          <w:highlight w:val="none"/>
        </w:rPr>
        <w:fldChar w:fldCharType="separate"/>
      </w:r>
      <w:r>
        <w:rPr>
          <w:color w:val="auto"/>
          <w:highlight w:val="none"/>
        </w:rPr>
        <w:t>39</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0E403282">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_Toc2080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ascii="Arial" w:hAnsi="Arial"/>
          <w:color w:val="auto"/>
          <w:highlight w:val="none"/>
          <w:lang w:val="en-US" w:eastAsia="zh-CN"/>
        </w:rPr>
        <w:t>（二） 推动农产品加工业优化升级</w:t>
      </w:r>
      <w:r>
        <w:rPr>
          <w:color w:val="auto"/>
          <w:highlight w:val="none"/>
        </w:rPr>
        <w:tab/>
      </w:r>
      <w:r>
        <w:rPr>
          <w:color w:val="auto"/>
          <w:highlight w:val="none"/>
        </w:rPr>
        <w:fldChar w:fldCharType="begin"/>
      </w:r>
      <w:r>
        <w:rPr>
          <w:color w:val="auto"/>
          <w:highlight w:val="none"/>
        </w:rPr>
        <w:instrText xml:space="preserve"> PAGEREF _Toc2080 \h </w:instrText>
      </w:r>
      <w:r>
        <w:rPr>
          <w:color w:val="auto"/>
          <w:highlight w:val="none"/>
        </w:rPr>
        <w:fldChar w:fldCharType="separate"/>
      </w:r>
      <w:r>
        <w:rPr>
          <w:color w:val="auto"/>
          <w:highlight w:val="none"/>
        </w:rPr>
        <w:t>40</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06EEA3F6">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_Toc29394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ascii="Arial" w:hAnsi="Arial"/>
          <w:color w:val="auto"/>
          <w:highlight w:val="none"/>
          <w:lang w:val="en-US" w:eastAsia="zh-CN"/>
        </w:rPr>
        <w:t>（三） 推动农村流通高质量发展</w:t>
      </w:r>
      <w:r>
        <w:rPr>
          <w:color w:val="auto"/>
          <w:highlight w:val="none"/>
        </w:rPr>
        <w:tab/>
      </w:r>
      <w:r>
        <w:rPr>
          <w:color w:val="auto"/>
          <w:highlight w:val="none"/>
        </w:rPr>
        <w:fldChar w:fldCharType="begin"/>
      </w:r>
      <w:r>
        <w:rPr>
          <w:color w:val="auto"/>
          <w:highlight w:val="none"/>
        </w:rPr>
        <w:instrText xml:space="preserve"> PAGEREF _Toc29394 \h </w:instrText>
      </w:r>
      <w:r>
        <w:rPr>
          <w:color w:val="auto"/>
          <w:highlight w:val="none"/>
        </w:rPr>
        <w:fldChar w:fldCharType="separate"/>
      </w:r>
      <w:r>
        <w:rPr>
          <w:color w:val="auto"/>
          <w:highlight w:val="none"/>
        </w:rPr>
        <w:t>42</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54284018">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_Toc3724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ascii="Arial" w:hAnsi="Arial"/>
          <w:color w:val="auto"/>
          <w:highlight w:val="none"/>
          <w:lang w:val="en-US" w:eastAsia="zh-CN"/>
        </w:rPr>
        <w:t>（四） 推动全域农业优质化品牌化提升</w:t>
      </w:r>
      <w:r>
        <w:rPr>
          <w:color w:val="auto"/>
          <w:highlight w:val="none"/>
        </w:rPr>
        <w:tab/>
      </w:r>
      <w:r>
        <w:rPr>
          <w:color w:val="auto"/>
          <w:highlight w:val="none"/>
        </w:rPr>
        <w:fldChar w:fldCharType="begin"/>
      </w:r>
      <w:r>
        <w:rPr>
          <w:color w:val="auto"/>
          <w:highlight w:val="none"/>
        </w:rPr>
        <w:instrText xml:space="preserve"> PAGEREF _Toc3724 \h </w:instrText>
      </w:r>
      <w:r>
        <w:rPr>
          <w:color w:val="auto"/>
          <w:highlight w:val="none"/>
        </w:rPr>
        <w:fldChar w:fldCharType="separate"/>
      </w:r>
      <w:r>
        <w:rPr>
          <w:color w:val="auto"/>
          <w:highlight w:val="none"/>
        </w:rPr>
        <w:t>43</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0C05F2E7">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_Toc11228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ascii="Arial" w:hAnsi="Arial"/>
          <w:color w:val="auto"/>
          <w:highlight w:val="none"/>
          <w:lang w:val="en-US" w:eastAsia="zh-CN"/>
        </w:rPr>
        <w:t>（五） 做精休闲农业和乡村旅游</w:t>
      </w:r>
      <w:r>
        <w:rPr>
          <w:color w:val="auto"/>
          <w:highlight w:val="none"/>
        </w:rPr>
        <w:tab/>
      </w:r>
      <w:r>
        <w:rPr>
          <w:color w:val="auto"/>
          <w:highlight w:val="none"/>
        </w:rPr>
        <w:fldChar w:fldCharType="begin"/>
      </w:r>
      <w:r>
        <w:rPr>
          <w:color w:val="auto"/>
          <w:highlight w:val="none"/>
        </w:rPr>
        <w:instrText xml:space="preserve"> PAGEREF _Toc11228 \h </w:instrText>
      </w:r>
      <w:r>
        <w:rPr>
          <w:color w:val="auto"/>
          <w:highlight w:val="none"/>
        </w:rPr>
        <w:fldChar w:fldCharType="separate"/>
      </w:r>
      <w:r>
        <w:rPr>
          <w:color w:val="auto"/>
          <w:highlight w:val="none"/>
        </w:rPr>
        <w:t>45</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19C0AAAB">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_Toc13984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ascii="Arial" w:hAnsi="Arial"/>
          <w:color w:val="auto"/>
          <w:highlight w:val="none"/>
          <w:lang w:val="en-US" w:eastAsia="zh-CN"/>
        </w:rPr>
        <w:t>（六） 做优农村电商</w:t>
      </w:r>
      <w:r>
        <w:rPr>
          <w:color w:val="auto"/>
          <w:highlight w:val="none"/>
        </w:rPr>
        <w:tab/>
      </w:r>
      <w:r>
        <w:rPr>
          <w:color w:val="auto"/>
          <w:highlight w:val="none"/>
        </w:rPr>
        <w:fldChar w:fldCharType="begin"/>
      </w:r>
      <w:r>
        <w:rPr>
          <w:color w:val="auto"/>
          <w:highlight w:val="none"/>
        </w:rPr>
        <w:instrText xml:space="preserve"> PAGEREF _Toc13984 \h </w:instrText>
      </w:r>
      <w:r>
        <w:rPr>
          <w:color w:val="auto"/>
          <w:highlight w:val="none"/>
        </w:rPr>
        <w:fldChar w:fldCharType="separate"/>
      </w:r>
      <w:r>
        <w:rPr>
          <w:color w:val="auto"/>
          <w:highlight w:val="none"/>
        </w:rPr>
        <w:t>46</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29493791">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_Toc4526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rPr>
        <w:t>八、</w:t>
      </w:r>
      <w:r>
        <w:rPr>
          <w:rFonts w:hint="eastAsia" w:ascii="黑体" w:hAnsi="黑体" w:eastAsia="黑体" w:cs="黑体"/>
          <w:b/>
          <w:bCs w:val="0"/>
          <w:color w:val="auto"/>
          <w:szCs w:val="32"/>
          <w:highlight w:val="none"/>
          <w:lang w:val="en-US" w:eastAsia="zh-CN"/>
        </w:rPr>
        <w:t>重点任务五：</w:t>
      </w:r>
      <w:r>
        <w:rPr>
          <w:rFonts w:hint="eastAsia" w:ascii="黑体" w:hAnsi="黑体" w:eastAsia="黑体" w:cs="黑体"/>
          <w:b/>
          <w:bCs w:val="0"/>
          <w:color w:val="auto"/>
          <w:szCs w:val="32"/>
          <w:highlight w:val="none"/>
        </w:rPr>
        <w:t>高质量推进和美乡村建设，促进农村现代化</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_Toc4526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47</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707BE47F">
      <w:pPr>
        <w:pStyle w:val="12"/>
        <w:tabs>
          <w:tab w:val="right" w:leader="dot" w:pos="8845"/>
        </w:tabs>
        <w:ind w:left="0" w:leftChars="0" w:firstLine="320" w:firstLineChars="1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32"/>
          <w:highlight w:val="none"/>
          <w:lang w:val="en-US" w:eastAsia="zh-CN" w:bidi="ar-SA"/>
        </w:rPr>
        <w:fldChar w:fldCharType="begin"/>
      </w:r>
      <w:r>
        <w:rPr>
          <w:rFonts w:hint="eastAsia" w:ascii="仿宋_GB2312" w:hAnsi="仿宋_GB2312" w:eastAsia="仿宋_GB2312" w:cs="仿宋_GB2312"/>
          <w:color w:val="auto"/>
          <w:kern w:val="2"/>
          <w:szCs w:val="32"/>
          <w:highlight w:val="none"/>
          <w:lang w:val="en-US" w:eastAsia="zh-CN" w:bidi="ar-SA"/>
        </w:rPr>
        <w:instrText xml:space="preserve"> HYPERLINK \l _Toc25638 </w:instrText>
      </w:r>
      <w:r>
        <w:rPr>
          <w:rFonts w:hint="eastAsia" w:ascii="仿宋_GB2312" w:hAnsi="仿宋_GB2312" w:eastAsia="仿宋_GB2312" w:cs="仿宋_GB2312"/>
          <w:color w:val="auto"/>
          <w:kern w:val="2"/>
          <w:szCs w:val="32"/>
          <w:highlight w:val="none"/>
          <w:lang w:val="en-US" w:eastAsia="zh-CN" w:bidi="ar-SA"/>
        </w:rPr>
        <w:fldChar w:fldCharType="separate"/>
      </w:r>
      <w:r>
        <w:rPr>
          <w:rFonts w:hint="eastAsia" w:ascii="仿宋_GB2312" w:hAnsi="仿宋_GB2312" w:eastAsia="仿宋_GB2312" w:cs="仿宋_GB2312"/>
          <w:color w:val="auto"/>
          <w:highlight w:val="none"/>
          <w:lang w:val="en-US" w:eastAsia="zh-CN"/>
        </w:rPr>
        <w:t>（一）优化城乡结构布局</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_Toc25638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47</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32"/>
          <w:highlight w:val="none"/>
          <w:lang w:val="en-US" w:eastAsia="zh-CN" w:bidi="ar-SA"/>
        </w:rPr>
        <w:fldChar w:fldCharType="end"/>
      </w:r>
    </w:p>
    <w:p w14:paraId="4F61F31F">
      <w:pPr>
        <w:pStyle w:val="12"/>
        <w:tabs>
          <w:tab w:val="right" w:leader="dot" w:pos="8845"/>
        </w:tabs>
        <w:ind w:left="0" w:leftChars="0" w:firstLine="320" w:firstLineChars="1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32"/>
          <w:highlight w:val="none"/>
          <w:lang w:val="en-US" w:eastAsia="zh-CN" w:bidi="ar-SA"/>
        </w:rPr>
        <w:fldChar w:fldCharType="begin"/>
      </w:r>
      <w:r>
        <w:rPr>
          <w:rFonts w:hint="eastAsia" w:ascii="仿宋_GB2312" w:hAnsi="仿宋_GB2312" w:eastAsia="仿宋_GB2312" w:cs="仿宋_GB2312"/>
          <w:color w:val="auto"/>
          <w:kern w:val="2"/>
          <w:szCs w:val="32"/>
          <w:highlight w:val="none"/>
          <w:lang w:val="en-US" w:eastAsia="zh-CN" w:bidi="ar-SA"/>
        </w:rPr>
        <w:instrText xml:space="preserve"> HYPERLINK \l _Toc196 </w:instrText>
      </w:r>
      <w:r>
        <w:rPr>
          <w:rFonts w:hint="eastAsia" w:ascii="仿宋_GB2312" w:hAnsi="仿宋_GB2312" w:eastAsia="仿宋_GB2312" w:cs="仿宋_GB2312"/>
          <w:color w:val="auto"/>
          <w:kern w:val="2"/>
          <w:szCs w:val="32"/>
          <w:highlight w:val="none"/>
          <w:lang w:val="en-US" w:eastAsia="zh-CN" w:bidi="ar-SA"/>
        </w:rPr>
        <w:fldChar w:fldCharType="separate"/>
      </w:r>
      <w:r>
        <w:rPr>
          <w:rFonts w:hint="eastAsia" w:ascii="仿宋_GB2312" w:hAnsi="仿宋_GB2312" w:eastAsia="仿宋_GB2312" w:cs="仿宋_GB2312"/>
          <w:color w:val="auto"/>
          <w:highlight w:val="none"/>
          <w:lang w:val="en-US" w:eastAsia="zh-CN"/>
        </w:rPr>
        <w:t>（二） 构建城乡联动体系，促进城乡融合发展</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_Toc196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50</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32"/>
          <w:highlight w:val="none"/>
          <w:lang w:val="en-US" w:eastAsia="zh-CN" w:bidi="ar-SA"/>
        </w:rPr>
        <w:fldChar w:fldCharType="end"/>
      </w:r>
    </w:p>
    <w:p w14:paraId="76C504DD">
      <w:pPr>
        <w:pStyle w:val="12"/>
        <w:tabs>
          <w:tab w:val="right" w:leader="dot" w:pos="8845"/>
        </w:tabs>
        <w:ind w:left="0" w:leftChars="0" w:firstLine="320" w:firstLineChars="1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32"/>
          <w:highlight w:val="none"/>
          <w:lang w:val="en-US" w:eastAsia="zh-CN" w:bidi="ar-SA"/>
        </w:rPr>
        <w:fldChar w:fldCharType="begin"/>
      </w:r>
      <w:r>
        <w:rPr>
          <w:rFonts w:hint="eastAsia" w:ascii="仿宋_GB2312" w:hAnsi="仿宋_GB2312" w:eastAsia="仿宋_GB2312" w:cs="仿宋_GB2312"/>
          <w:color w:val="auto"/>
          <w:kern w:val="2"/>
          <w:szCs w:val="32"/>
          <w:highlight w:val="none"/>
          <w:lang w:val="en-US" w:eastAsia="zh-CN" w:bidi="ar-SA"/>
        </w:rPr>
        <w:instrText xml:space="preserve"> HYPERLINK \l _Toc29189 </w:instrText>
      </w:r>
      <w:r>
        <w:rPr>
          <w:rFonts w:hint="eastAsia" w:ascii="仿宋_GB2312" w:hAnsi="仿宋_GB2312" w:eastAsia="仿宋_GB2312" w:cs="仿宋_GB2312"/>
          <w:color w:val="auto"/>
          <w:kern w:val="2"/>
          <w:szCs w:val="32"/>
          <w:highlight w:val="none"/>
          <w:lang w:val="en-US" w:eastAsia="zh-CN" w:bidi="ar-SA"/>
        </w:rPr>
        <w:fldChar w:fldCharType="separate"/>
      </w:r>
      <w:r>
        <w:rPr>
          <w:rFonts w:hint="eastAsia" w:ascii="仿宋_GB2312" w:hAnsi="仿宋_GB2312" w:eastAsia="仿宋_GB2312" w:cs="仿宋_GB2312"/>
          <w:color w:val="auto"/>
          <w:highlight w:val="none"/>
          <w:lang w:val="en-US" w:eastAsia="zh-CN"/>
        </w:rPr>
        <w:t>（三） 推进基础设施全域均衡化与现代化</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_Toc29189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51</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32"/>
          <w:highlight w:val="none"/>
          <w:lang w:val="en-US" w:eastAsia="zh-CN" w:bidi="ar-SA"/>
        </w:rPr>
        <w:fldChar w:fldCharType="end"/>
      </w:r>
    </w:p>
    <w:p w14:paraId="2148EC0D">
      <w:pPr>
        <w:pStyle w:val="12"/>
        <w:tabs>
          <w:tab w:val="right" w:leader="dot" w:pos="8845"/>
        </w:tabs>
        <w:ind w:left="0" w:leftChars="0" w:firstLine="320" w:firstLineChars="1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32"/>
          <w:highlight w:val="none"/>
          <w:lang w:val="en-US" w:eastAsia="zh-CN" w:bidi="ar-SA"/>
        </w:rPr>
        <w:fldChar w:fldCharType="begin"/>
      </w:r>
      <w:r>
        <w:rPr>
          <w:rFonts w:hint="eastAsia" w:ascii="仿宋_GB2312" w:hAnsi="仿宋_GB2312" w:eastAsia="仿宋_GB2312" w:cs="仿宋_GB2312"/>
          <w:color w:val="auto"/>
          <w:kern w:val="2"/>
          <w:szCs w:val="32"/>
          <w:highlight w:val="none"/>
          <w:lang w:val="en-US" w:eastAsia="zh-CN" w:bidi="ar-SA"/>
        </w:rPr>
        <w:instrText xml:space="preserve"> HYPERLINK \l _Toc32610 </w:instrText>
      </w:r>
      <w:r>
        <w:rPr>
          <w:rFonts w:hint="eastAsia" w:ascii="仿宋_GB2312" w:hAnsi="仿宋_GB2312" w:eastAsia="仿宋_GB2312" w:cs="仿宋_GB2312"/>
          <w:color w:val="auto"/>
          <w:kern w:val="2"/>
          <w:szCs w:val="32"/>
          <w:highlight w:val="none"/>
          <w:lang w:val="en-US" w:eastAsia="zh-CN" w:bidi="ar-SA"/>
        </w:rPr>
        <w:fldChar w:fldCharType="separate"/>
      </w:r>
      <w:r>
        <w:rPr>
          <w:rFonts w:hint="eastAsia" w:ascii="仿宋_GB2312" w:hAnsi="仿宋_GB2312" w:eastAsia="仿宋_GB2312" w:cs="仿宋_GB2312"/>
          <w:color w:val="auto"/>
          <w:highlight w:val="none"/>
          <w:lang w:val="en-US" w:eastAsia="zh-CN"/>
        </w:rPr>
        <w:t>（四） 持续改善和美宜居环境</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_Toc32610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53</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32"/>
          <w:highlight w:val="none"/>
          <w:lang w:val="en-US" w:eastAsia="zh-CN" w:bidi="ar-SA"/>
        </w:rPr>
        <w:fldChar w:fldCharType="end"/>
      </w:r>
    </w:p>
    <w:p w14:paraId="12E75C87">
      <w:pPr>
        <w:pStyle w:val="12"/>
        <w:tabs>
          <w:tab w:val="right" w:leader="dot" w:pos="8845"/>
        </w:tabs>
        <w:ind w:left="0" w:leftChars="0" w:firstLine="320" w:firstLineChars="1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32"/>
          <w:highlight w:val="none"/>
          <w:lang w:val="en-US" w:eastAsia="zh-CN" w:bidi="ar-SA"/>
        </w:rPr>
        <w:fldChar w:fldCharType="begin"/>
      </w:r>
      <w:r>
        <w:rPr>
          <w:rFonts w:hint="eastAsia" w:ascii="仿宋_GB2312" w:hAnsi="仿宋_GB2312" w:eastAsia="仿宋_GB2312" w:cs="仿宋_GB2312"/>
          <w:color w:val="auto"/>
          <w:kern w:val="2"/>
          <w:szCs w:val="32"/>
          <w:highlight w:val="none"/>
          <w:lang w:val="en-US" w:eastAsia="zh-CN" w:bidi="ar-SA"/>
        </w:rPr>
        <w:instrText xml:space="preserve"> HYPERLINK \l _Toc20638 </w:instrText>
      </w:r>
      <w:r>
        <w:rPr>
          <w:rFonts w:hint="eastAsia" w:ascii="仿宋_GB2312" w:hAnsi="仿宋_GB2312" w:eastAsia="仿宋_GB2312" w:cs="仿宋_GB2312"/>
          <w:color w:val="auto"/>
          <w:kern w:val="2"/>
          <w:szCs w:val="32"/>
          <w:highlight w:val="none"/>
          <w:lang w:val="en-US" w:eastAsia="zh-CN" w:bidi="ar-SA"/>
        </w:rPr>
        <w:fldChar w:fldCharType="separate"/>
      </w:r>
      <w:r>
        <w:rPr>
          <w:rFonts w:hint="eastAsia" w:ascii="仿宋_GB2312" w:hAnsi="仿宋_GB2312" w:eastAsia="仿宋_GB2312" w:cs="仿宋_GB2312"/>
          <w:color w:val="auto"/>
          <w:kern w:val="2"/>
          <w:szCs w:val="32"/>
          <w:highlight w:val="none"/>
          <w:lang w:val="en-US" w:eastAsia="zh-CN" w:bidi="ar-SA"/>
        </w:rPr>
        <w:t>（五）稳步提升基本公共服务普惠共享</w:t>
      </w:r>
      <w:r>
        <w:rPr>
          <w:rFonts w:hint="eastAsia" w:ascii="仿宋_GB2312" w:hAnsi="仿宋_GB2312" w:eastAsia="仿宋_GB2312" w:cs="仿宋_GB2312"/>
          <w:color w:val="auto"/>
          <w:highlight w:val="none"/>
          <w:lang w:val="en-US" w:eastAsia="zh-CN"/>
        </w:rPr>
        <w:t>​</w:t>
      </w:r>
      <w:r>
        <w:rPr>
          <w:rFonts w:hint="eastAsia" w:ascii="仿宋_GB2312" w:hAnsi="仿宋_GB2312" w:eastAsia="仿宋_GB2312" w:cs="仿宋_GB2312"/>
          <w:bCs/>
          <w:color w:val="auto"/>
          <w:szCs w:val="32"/>
          <w:highlight w:val="none"/>
          <w:lang w:val="en-US" w:eastAsia="zh-CN"/>
        </w:rPr>
        <w:t>​</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_Toc20638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55</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32"/>
          <w:highlight w:val="none"/>
          <w:lang w:val="en-US" w:eastAsia="zh-CN" w:bidi="ar-SA"/>
        </w:rPr>
        <w:fldChar w:fldCharType="end"/>
      </w:r>
    </w:p>
    <w:p w14:paraId="412BB045">
      <w:pPr>
        <w:pStyle w:val="12"/>
        <w:tabs>
          <w:tab w:val="right" w:leader="dot" w:pos="8845"/>
        </w:tabs>
        <w:ind w:left="0" w:leftChars="0" w:firstLine="320" w:firstLineChars="1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32"/>
          <w:highlight w:val="none"/>
          <w:lang w:val="en-US" w:eastAsia="zh-CN" w:bidi="ar-SA"/>
        </w:rPr>
        <w:fldChar w:fldCharType="begin"/>
      </w:r>
      <w:r>
        <w:rPr>
          <w:rFonts w:hint="eastAsia" w:ascii="仿宋_GB2312" w:hAnsi="仿宋_GB2312" w:eastAsia="仿宋_GB2312" w:cs="仿宋_GB2312"/>
          <w:color w:val="auto"/>
          <w:kern w:val="2"/>
          <w:szCs w:val="32"/>
          <w:highlight w:val="none"/>
          <w:lang w:val="en-US" w:eastAsia="zh-CN" w:bidi="ar-SA"/>
        </w:rPr>
        <w:instrText xml:space="preserve"> HYPERLINK \l _Toc23267 </w:instrText>
      </w:r>
      <w:r>
        <w:rPr>
          <w:rFonts w:hint="eastAsia" w:ascii="仿宋_GB2312" w:hAnsi="仿宋_GB2312" w:eastAsia="仿宋_GB2312" w:cs="仿宋_GB2312"/>
          <w:color w:val="auto"/>
          <w:kern w:val="2"/>
          <w:szCs w:val="32"/>
          <w:highlight w:val="none"/>
          <w:lang w:val="en-US" w:eastAsia="zh-CN" w:bidi="ar-SA"/>
        </w:rPr>
        <w:fldChar w:fldCharType="separate"/>
      </w:r>
      <w:r>
        <w:rPr>
          <w:rFonts w:hint="eastAsia" w:ascii="仿宋_GB2312" w:hAnsi="仿宋_GB2312" w:eastAsia="仿宋_GB2312" w:cs="仿宋_GB2312"/>
          <w:color w:val="auto"/>
          <w:highlight w:val="none"/>
          <w:lang w:val="en-US" w:eastAsia="zh-CN"/>
        </w:rPr>
        <w:t>（六）完善农村社区服务</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_Toc23267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58</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32"/>
          <w:highlight w:val="none"/>
          <w:lang w:val="en-US" w:eastAsia="zh-CN" w:bidi="ar-SA"/>
        </w:rPr>
        <w:fldChar w:fldCharType="end"/>
      </w:r>
    </w:p>
    <w:p w14:paraId="259A33BE">
      <w:pPr>
        <w:pStyle w:val="12"/>
        <w:tabs>
          <w:tab w:val="right" w:leader="dot" w:pos="8845"/>
        </w:tabs>
        <w:ind w:left="0" w:leftChars="0" w:firstLine="320" w:firstLineChars="100"/>
        <w:rPr>
          <w:color w:val="auto"/>
          <w:highlight w:val="none"/>
        </w:rPr>
      </w:pPr>
      <w:r>
        <w:rPr>
          <w:rFonts w:hint="eastAsia" w:ascii="仿宋_GB2312" w:hAnsi="仿宋_GB2312" w:eastAsia="仿宋_GB2312" w:cs="仿宋_GB2312"/>
          <w:color w:val="auto"/>
          <w:kern w:val="2"/>
          <w:szCs w:val="32"/>
          <w:highlight w:val="none"/>
          <w:lang w:val="en-US" w:eastAsia="zh-CN" w:bidi="ar-SA"/>
        </w:rPr>
        <w:fldChar w:fldCharType="begin"/>
      </w:r>
      <w:r>
        <w:rPr>
          <w:rFonts w:hint="eastAsia" w:ascii="仿宋_GB2312" w:hAnsi="仿宋_GB2312" w:eastAsia="仿宋_GB2312" w:cs="仿宋_GB2312"/>
          <w:color w:val="auto"/>
          <w:kern w:val="2"/>
          <w:szCs w:val="32"/>
          <w:highlight w:val="none"/>
          <w:lang w:val="en-US" w:eastAsia="zh-CN" w:bidi="ar-SA"/>
        </w:rPr>
        <w:instrText xml:space="preserve"> HYPERLINK \l _Toc17493 </w:instrText>
      </w:r>
      <w:r>
        <w:rPr>
          <w:rFonts w:hint="eastAsia" w:ascii="仿宋_GB2312" w:hAnsi="仿宋_GB2312" w:eastAsia="仿宋_GB2312" w:cs="仿宋_GB2312"/>
          <w:color w:val="auto"/>
          <w:kern w:val="2"/>
          <w:szCs w:val="32"/>
          <w:highlight w:val="none"/>
          <w:lang w:val="en-US" w:eastAsia="zh-CN" w:bidi="ar-SA"/>
        </w:rPr>
        <w:fldChar w:fldCharType="separate"/>
      </w:r>
      <w:r>
        <w:rPr>
          <w:rFonts w:hint="eastAsia" w:ascii="仿宋_GB2312" w:hAnsi="仿宋_GB2312" w:eastAsia="仿宋_GB2312" w:cs="仿宋_GB2312"/>
          <w:color w:val="auto"/>
          <w:highlight w:val="none"/>
          <w:lang w:val="en-US" w:eastAsia="zh-CN"/>
        </w:rPr>
        <w:t>（七）夯实防灾减灾基础，提升乡村应急能力</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_Toc17493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59</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32"/>
          <w:highlight w:val="none"/>
          <w:lang w:val="en-US" w:eastAsia="zh-CN" w:bidi="ar-SA"/>
        </w:rPr>
        <w:fldChar w:fldCharType="end"/>
      </w:r>
    </w:p>
    <w:p w14:paraId="76A5C9DB">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_Toc10415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rPr>
        <w:t>九</w:t>
      </w:r>
      <w:r>
        <w:rPr>
          <w:rFonts w:hint="eastAsia" w:ascii="黑体" w:hAnsi="黑体" w:eastAsia="黑体" w:cs="黑体"/>
          <w:b/>
          <w:bCs w:val="0"/>
          <w:color w:val="auto"/>
          <w:szCs w:val="32"/>
          <w:highlight w:val="none"/>
          <w:lang w:eastAsia="zh-CN"/>
        </w:rPr>
        <w:t>、</w:t>
      </w:r>
      <w:r>
        <w:rPr>
          <w:rFonts w:hint="eastAsia" w:ascii="黑体" w:hAnsi="黑体" w:eastAsia="黑体" w:cs="黑体"/>
          <w:b/>
          <w:bCs w:val="0"/>
          <w:color w:val="auto"/>
          <w:szCs w:val="32"/>
          <w:highlight w:val="none"/>
          <w:lang w:val="en-US" w:eastAsia="zh-CN"/>
        </w:rPr>
        <w:t>重点任务六：</w:t>
      </w:r>
      <w:r>
        <w:rPr>
          <w:rFonts w:hint="eastAsia" w:ascii="黑体" w:hAnsi="黑体" w:eastAsia="黑体" w:cs="黑体"/>
          <w:b/>
          <w:bCs w:val="0"/>
          <w:color w:val="auto"/>
          <w:szCs w:val="32"/>
          <w:highlight w:val="none"/>
        </w:rPr>
        <w:t>深化农业农村改革，壮大集体经济促进农民增收致富</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_Toc10415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61</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0C6BAE08">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_Toc11581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（一）深化土地要素市场化改革，资源变资产，激活沉睡资源价值</w:t>
      </w:r>
      <w:r>
        <w:rPr>
          <w:color w:val="auto"/>
          <w:highlight w:val="none"/>
        </w:rPr>
        <w:tab/>
      </w:r>
      <w:r>
        <w:rPr>
          <w:color w:val="auto"/>
          <w:highlight w:val="none"/>
        </w:rPr>
        <w:fldChar w:fldCharType="begin"/>
      </w:r>
      <w:r>
        <w:rPr>
          <w:color w:val="auto"/>
          <w:highlight w:val="none"/>
        </w:rPr>
        <w:instrText xml:space="preserve"> PAGEREF _Toc11581 \h </w:instrText>
      </w:r>
      <w:r>
        <w:rPr>
          <w:color w:val="auto"/>
          <w:highlight w:val="none"/>
        </w:rPr>
        <w:fldChar w:fldCharType="separate"/>
      </w:r>
      <w:r>
        <w:rPr>
          <w:color w:val="auto"/>
          <w:highlight w:val="none"/>
        </w:rPr>
        <w:t>61</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0C973A3D">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_Toc4015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（二）创新财政与金融支持方式，实现资金变股金</w:t>
      </w:r>
      <w:r>
        <w:rPr>
          <w:color w:val="auto"/>
          <w:highlight w:val="none"/>
        </w:rPr>
        <w:tab/>
      </w:r>
      <w:r>
        <w:rPr>
          <w:color w:val="auto"/>
          <w:highlight w:val="none"/>
        </w:rPr>
        <w:fldChar w:fldCharType="begin"/>
      </w:r>
      <w:r>
        <w:rPr>
          <w:color w:val="auto"/>
          <w:highlight w:val="none"/>
        </w:rPr>
        <w:instrText xml:space="preserve"> PAGEREF _Toc4015 \h </w:instrText>
      </w:r>
      <w:r>
        <w:rPr>
          <w:color w:val="auto"/>
          <w:highlight w:val="none"/>
        </w:rPr>
        <w:fldChar w:fldCharType="separate"/>
      </w:r>
      <w:r>
        <w:rPr>
          <w:color w:val="auto"/>
          <w:highlight w:val="none"/>
        </w:rPr>
        <w:t>62</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0A4E9B86">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_Toc18744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（三）健全利益联结机制，实现农民变股东</w:t>
      </w:r>
      <w:r>
        <w:rPr>
          <w:color w:val="auto"/>
          <w:highlight w:val="none"/>
        </w:rPr>
        <w:tab/>
      </w:r>
      <w:r>
        <w:rPr>
          <w:color w:val="auto"/>
          <w:highlight w:val="none"/>
        </w:rPr>
        <w:fldChar w:fldCharType="begin"/>
      </w:r>
      <w:r>
        <w:rPr>
          <w:color w:val="auto"/>
          <w:highlight w:val="none"/>
        </w:rPr>
        <w:instrText xml:space="preserve"> PAGEREF _Toc18744 \h </w:instrText>
      </w:r>
      <w:r>
        <w:rPr>
          <w:color w:val="auto"/>
          <w:highlight w:val="none"/>
        </w:rPr>
        <w:fldChar w:fldCharType="separate"/>
      </w:r>
      <w:r>
        <w:rPr>
          <w:color w:val="auto"/>
          <w:highlight w:val="none"/>
        </w:rPr>
        <w:t>62</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5B67A1AB">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_Toc9837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（四）拓宽农民增收多元路径，筑牢共同富裕根基</w:t>
      </w:r>
      <w:r>
        <w:rPr>
          <w:color w:val="auto"/>
          <w:highlight w:val="none"/>
        </w:rPr>
        <w:tab/>
      </w:r>
      <w:r>
        <w:rPr>
          <w:color w:val="auto"/>
          <w:highlight w:val="none"/>
        </w:rPr>
        <w:fldChar w:fldCharType="begin"/>
      </w:r>
      <w:r>
        <w:rPr>
          <w:color w:val="auto"/>
          <w:highlight w:val="none"/>
        </w:rPr>
        <w:instrText xml:space="preserve"> PAGEREF _Toc9837 \h </w:instrText>
      </w:r>
      <w:r>
        <w:rPr>
          <w:color w:val="auto"/>
          <w:highlight w:val="none"/>
        </w:rPr>
        <w:fldChar w:fldCharType="separate"/>
      </w:r>
      <w:r>
        <w:rPr>
          <w:color w:val="auto"/>
          <w:highlight w:val="none"/>
        </w:rPr>
        <w:t>63</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56C4B318">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_Toc11280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eastAsia="zh-CN"/>
        </w:rPr>
        <w:t>（五）</w:t>
      </w:r>
      <w:r>
        <w:rPr>
          <w:rFonts w:hint="eastAsia"/>
          <w:color w:val="auto"/>
          <w:highlight w:val="none"/>
        </w:rPr>
        <w:t>创新多元化投融资机制，打通“绿水青山”转化通道</w:t>
      </w:r>
      <w:r>
        <w:rPr>
          <w:color w:val="auto"/>
          <w:highlight w:val="none"/>
        </w:rPr>
        <w:tab/>
      </w:r>
      <w:r>
        <w:rPr>
          <w:color w:val="auto"/>
          <w:highlight w:val="none"/>
        </w:rPr>
        <w:fldChar w:fldCharType="begin"/>
      </w:r>
      <w:r>
        <w:rPr>
          <w:color w:val="auto"/>
          <w:highlight w:val="none"/>
        </w:rPr>
        <w:instrText xml:space="preserve"> PAGEREF _Toc11280 \h </w:instrText>
      </w:r>
      <w:r>
        <w:rPr>
          <w:color w:val="auto"/>
          <w:highlight w:val="none"/>
        </w:rPr>
        <w:fldChar w:fldCharType="separate"/>
      </w:r>
      <w:r>
        <w:rPr>
          <w:color w:val="auto"/>
          <w:highlight w:val="none"/>
        </w:rPr>
        <w:t>63</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1E88DBD5">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_Toc21327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（六）创新生态文明改革，激发发展方式绿色转型</w:t>
      </w:r>
      <w:r>
        <w:rPr>
          <w:color w:val="auto"/>
          <w:highlight w:val="none"/>
        </w:rPr>
        <w:tab/>
      </w:r>
      <w:r>
        <w:rPr>
          <w:color w:val="auto"/>
          <w:highlight w:val="none"/>
        </w:rPr>
        <w:fldChar w:fldCharType="begin"/>
      </w:r>
      <w:r>
        <w:rPr>
          <w:color w:val="auto"/>
          <w:highlight w:val="none"/>
        </w:rPr>
        <w:instrText xml:space="preserve"> PAGEREF _Toc21327 \h </w:instrText>
      </w:r>
      <w:r>
        <w:rPr>
          <w:color w:val="auto"/>
          <w:highlight w:val="none"/>
        </w:rPr>
        <w:fldChar w:fldCharType="separate"/>
      </w:r>
      <w:r>
        <w:rPr>
          <w:color w:val="auto"/>
          <w:highlight w:val="none"/>
        </w:rPr>
        <w:t>64</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3F9B7830">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_Toc17743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rPr>
        <w:t>十、</w:t>
      </w:r>
      <w:r>
        <w:rPr>
          <w:rFonts w:hint="eastAsia" w:ascii="黑体" w:hAnsi="黑体" w:eastAsia="黑体" w:cs="黑体"/>
          <w:b/>
          <w:bCs w:val="0"/>
          <w:color w:val="auto"/>
          <w:szCs w:val="32"/>
          <w:highlight w:val="none"/>
          <w:lang w:val="en-US" w:eastAsia="zh-CN"/>
        </w:rPr>
        <w:t>重点任务七：</w:t>
      </w:r>
      <w:r>
        <w:rPr>
          <w:rFonts w:hint="eastAsia" w:ascii="黑体" w:hAnsi="黑体" w:eastAsia="黑体" w:cs="黑体"/>
          <w:b/>
          <w:bCs w:val="0"/>
          <w:color w:val="auto"/>
          <w:szCs w:val="32"/>
          <w:highlight w:val="none"/>
        </w:rPr>
        <w:t>大力培养乡村人才，促进乡村人才体系现代化</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_Toc17743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65</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7807A931">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_Toc18313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（一）</w:t>
      </w:r>
      <w:r>
        <w:rPr>
          <w:rFonts w:hint="eastAsia"/>
          <w:color w:val="auto"/>
          <w:highlight w:val="none"/>
        </w:rPr>
        <w:t>聚焦主导产业，精准匹配人才需求</w:t>
      </w:r>
      <w:r>
        <w:rPr>
          <w:color w:val="auto"/>
          <w:highlight w:val="none"/>
        </w:rPr>
        <w:tab/>
      </w:r>
      <w:r>
        <w:rPr>
          <w:color w:val="auto"/>
          <w:highlight w:val="none"/>
        </w:rPr>
        <w:fldChar w:fldCharType="begin"/>
      </w:r>
      <w:r>
        <w:rPr>
          <w:color w:val="auto"/>
          <w:highlight w:val="none"/>
        </w:rPr>
        <w:instrText xml:space="preserve"> PAGEREF _Toc18313 \h </w:instrText>
      </w:r>
      <w:r>
        <w:rPr>
          <w:color w:val="auto"/>
          <w:highlight w:val="none"/>
        </w:rPr>
        <w:fldChar w:fldCharType="separate"/>
      </w:r>
      <w:r>
        <w:rPr>
          <w:color w:val="auto"/>
          <w:highlight w:val="none"/>
        </w:rPr>
        <w:t>65</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403AC4B6">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_Toc18912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（二）构建分层分类人才体系，明确引育标准</w:t>
      </w:r>
      <w:r>
        <w:rPr>
          <w:color w:val="auto"/>
          <w:highlight w:val="none"/>
        </w:rPr>
        <w:tab/>
      </w:r>
      <w:r>
        <w:rPr>
          <w:color w:val="auto"/>
          <w:highlight w:val="none"/>
        </w:rPr>
        <w:fldChar w:fldCharType="begin"/>
      </w:r>
      <w:r>
        <w:rPr>
          <w:color w:val="auto"/>
          <w:highlight w:val="none"/>
        </w:rPr>
        <w:instrText xml:space="preserve"> PAGEREF _Toc18912 \h </w:instrText>
      </w:r>
      <w:r>
        <w:rPr>
          <w:color w:val="auto"/>
          <w:highlight w:val="none"/>
        </w:rPr>
        <w:fldChar w:fldCharType="separate"/>
      </w:r>
      <w:r>
        <w:rPr>
          <w:color w:val="auto"/>
          <w:highlight w:val="none"/>
        </w:rPr>
        <w:t>66</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53046901">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_Toc12984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（三）创新引育路径，强化平台载体支撑</w:t>
      </w:r>
      <w:r>
        <w:rPr>
          <w:color w:val="auto"/>
          <w:highlight w:val="none"/>
        </w:rPr>
        <w:tab/>
      </w:r>
      <w:r>
        <w:rPr>
          <w:color w:val="auto"/>
          <w:highlight w:val="none"/>
        </w:rPr>
        <w:fldChar w:fldCharType="begin"/>
      </w:r>
      <w:r>
        <w:rPr>
          <w:color w:val="auto"/>
          <w:highlight w:val="none"/>
        </w:rPr>
        <w:instrText xml:space="preserve"> PAGEREF _Toc12984 \h </w:instrText>
      </w:r>
      <w:r>
        <w:rPr>
          <w:color w:val="auto"/>
          <w:highlight w:val="none"/>
        </w:rPr>
        <w:fldChar w:fldCharType="separate"/>
      </w:r>
      <w:r>
        <w:rPr>
          <w:color w:val="auto"/>
          <w:highlight w:val="none"/>
        </w:rPr>
        <w:t>66</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755476D8">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_Toc18374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（四）健全保障机制，压实统筹考核责任</w:t>
      </w:r>
      <w:r>
        <w:rPr>
          <w:color w:val="auto"/>
          <w:highlight w:val="none"/>
        </w:rPr>
        <w:tab/>
      </w:r>
      <w:r>
        <w:rPr>
          <w:color w:val="auto"/>
          <w:highlight w:val="none"/>
        </w:rPr>
        <w:fldChar w:fldCharType="begin"/>
      </w:r>
      <w:r>
        <w:rPr>
          <w:color w:val="auto"/>
          <w:highlight w:val="none"/>
        </w:rPr>
        <w:instrText xml:space="preserve"> PAGEREF _Toc18374 \h </w:instrText>
      </w:r>
      <w:r>
        <w:rPr>
          <w:color w:val="auto"/>
          <w:highlight w:val="none"/>
        </w:rPr>
        <w:fldChar w:fldCharType="separate"/>
      </w:r>
      <w:r>
        <w:rPr>
          <w:color w:val="auto"/>
          <w:highlight w:val="none"/>
        </w:rPr>
        <w:t>67</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67A698F8">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_Toc31818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rPr>
        <w:t>十一、</w:t>
      </w:r>
      <w:r>
        <w:rPr>
          <w:rFonts w:hint="eastAsia" w:ascii="黑体" w:hAnsi="黑体" w:eastAsia="黑体" w:cs="黑体"/>
          <w:b/>
          <w:bCs w:val="0"/>
          <w:color w:val="auto"/>
          <w:szCs w:val="32"/>
          <w:highlight w:val="none"/>
          <w:lang w:val="en-US" w:eastAsia="zh-CN"/>
        </w:rPr>
        <w:t>重点任务八：</w:t>
      </w:r>
      <w:r>
        <w:rPr>
          <w:rFonts w:hint="eastAsia" w:ascii="黑体" w:hAnsi="黑体" w:eastAsia="黑体" w:cs="黑体"/>
          <w:b/>
          <w:bCs w:val="0"/>
          <w:color w:val="auto"/>
          <w:szCs w:val="32"/>
          <w:highlight w:val="none"/>
        </w:rPr>
        <w:t>繁荣乡村文化，推动文明乡风现代化</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_Toc31818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68</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611F97B0">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_Toc7268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（一）深化思想引领，筑牢乡村精神文化高地</w:t>
      </w:r>
      <w:r>
        <w:rPr>
          <w:color w:val="auto"/>
          <w:highlight w:val="none"/>
        </w:rPr>
        <w:tab/>
      </w:r>
      <w:r>
        <w:rPr>
          <w:color w:val="auto"/>
          <w:highlight w:val="none"/>
        </w:rPr>
        <w:fldChar w:fldCharType="begin"/>
      </w:r>
      <w:r>
        <w:rPr>
          <w:color w:val="auto"/>
          <w:highlight w:val="none"/>
        </w:rPr>
        <w:instrText xml:space="preserve"> PAGEREF _Toc7268 \h </w:instrText>
      </w:r>
      <w:r>
        <w:rPr>
          <w:color w:val="auto"/>
          <w:highlight w:val="none"/>
        </w:rPr>
        <w:fldChar w:fldCharType="separate"/>
      </w:r>
      <w:r>
        <w:rPr>
          <w:color w:val="auto"/>
          <w:highlight w:val="none"/>
        </w:rPr>
        <w:t>68</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1EF44106">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_Toc30998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（二）重塑文化生态，激活乡土文脉时代价值</w:t>
      </w:r>
      <w:r>
        <w:rPr>
          <w:color w:val="auto"/>
          <w:highlight w:val="none"/>
        </w:rPr>
        <w:tab/>
      </w:r>
      <w:r>
        <w:rPr>
          <w:color w:val="auto"/>
          <w:highlight w:val="none"/>
        </w:rPr>
        <w:fldChar w:fldCharType="begin"/>
      </w:r>
      <w:r>
        <w:rPr>
          <w:color w:val="auto"/>
          <w:highlight w:val="none"/>
        </w:rPr>
        <w:instrText xml:space="preserve"> PAGEREF _Toc30998 \h </w:instrText>
      </w:r>
      <w:r>
        <w:rPr>
          <w:color w:val="auto"/>
          <w:highlight w:val="none"/>
        </w:rPr>
        <w:fldChar w:fldCharType="separate"/>
      </w:r>
      <w:r>
        <w:rPr>
          <w:color w:val="auto"/>
          <w:highlight w:val="none"/>
        </w:rPr>
        <w:t>69</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46090130">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_Toc2605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rPr>
        <w:t>十二、</w:t>
      </w:r>
      <w:r>
        <w:rPr>
          <w:rFonts w:hint="eastAsia" w:ascii="黑体" w:hAnsi="黑体" w:eastAsia="黑体" w:cs="黑体"/>
          <w:b/>
          <w:bCs w:val="0"/>
          <w:color w:val="auto"/>
          <w:szCs w:val="32"/>
          <w:highlight w:val="none"/>
          <w:lang w:val="en-US" w:eastAsia="zh-CN"/>
        </w:rPr>
        <w:t>重点任务九：</w:t>
      </w:r>
      <w:r>
        <w:rPr>
          <w:rFonts w:hint="eastAsia" w:ascii="黑体" w:hAnsi="黑体" w:eastAsia="黑体" w:cs="黑体"/>
          <w:b/>
          <w:bCs w:val="0"/>
          <w:color w:val="auto"/>
          <w:szCs w:val="32"/>
          <w:highlight w:val="none"/>
        </w:rPr>
        <w:t>加强农村基层组织建设，推进乡村治理现代化</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_Toc2605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70</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16FEAFC3">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_Toc1752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（一）实施“多级共振”强基工程，锻造堪当振兴重任的铁军</w:t>
      </w:r>
      <w:r>
        <w:rPr>
          <w:color w:val="auto"/>
          <w:highlight w:val="none"/>
        </w:rPr>
        <w:tab/>
      </w:r>
      <w:r>
        <w:rPr>
          <w:color w:val="auto"/>
          <w:highlight w:val="none"/>
        </w:rPr>
        <w:fldChar w:fldCharType="begin"/>
      </w:r>
      <w:r>
        <w:rPr>
          <w:color w:val="auto"/>
          <w:highlight w:val="none"/>
        </w:rPr>
        <w:instrText xml:space="preserve"> PAGEREF _Toc1752 \h </w:instrText>
      </w:r>
      <w:r>
        <w:rPr>
          <w:color w:val="auto"/>
          <w:highlight w:val="none"/>
        </w:rPr>
        <w:fldChar w:fldCharType="separate"/>
      </w:r>
      <w:r>
        <w:rPr>
          <w:color w:val="auto"/>
          <w:highlight w:val="none"/>
        </w:rPr>
        <w:t>70</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3A728678">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_Toc20662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（二）构建“多维一体”治理网络，破解山区治理碎片化难题</w:t>
      </w:r>
      <w:r>
        <w:rPr>
          <w:color w:val="auto"/>
          <w:highlight w:val="none"/>
        </w:rPr>
        <w:tab/>
      </w:r>
      <w:r>
        <w:rPr>
          <w:color w:val="auto"/>
          <w:highlight w:val="none"/>
        </w:rPr>
        <w:fldChar w:fldCharType="begin"/>
      </w:r>
      <w:r>
        <w:rPr>
          <w:color w:val="auto"/>
          <w:highlight w:val="none"/>
        </w:rPr>
        <w:instrText xml:space="preserve"> PAGEREF _Toc20662 \h </w:instrText>
      </w:r>
      <w:r>
        <w:rPr>
          <w:color w:val="auto"/>
          <w:highlight w:val="none"/>
        </w:rPr>
        <w:fldChar w:fldCharType="separate"/>
      </w:r>
      <w:r>
        <w:rPr>
          <w:color w:val="auto"/>
          <w:highlight w:val="none"/>
        </w:rPr>
        <w:t>71</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6619EDCE">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_Toc1133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（三）深化“三治融合”实践场景，激发乡村善治内生动力</w:t>
      </w:r>
      <w:r>
        <w:rPr>
          <w:color w:val="auto"/>
          <w:highlight w:val="none"/>
        </w:rPr>
        <w:tab/>
      </w:r>
      <w:r>
        <w:rPr>
          <w:color w:val="auto"/>
          <w:highlight w:val="none"/>
        </w:rPr>
        <w:fldChar w:fldCharType="begin"/>
      </w:r>
      <w:r>
        <w:rPr>
          <w:color w:val="auto"/>
          <w:highlight w:val="none"/>
        </w:rPr>
        <w:instrText xml:space="preserve"> PAGEREF _Toc1133 \h </w:instrText>
      </w:r>
      <w:r>
        <w:rPr>
          <w:color w:val="auto"/>
          <w:highlight w:val="none"/>
        </w:rPr>
        <w:fldChar w:fldCharType="separate"/>
      </w:r>
      <w:r>
        <w:rPr>
          <w:color w:val="auto"/>
          <w:highlight w:val="none"/>
        </w:rPr>
        <w:t>72</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4D3009A0">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_Toc643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lang w:val="en-US" w:eastAsia="zh-CN"/>
        </w:rPr>
        <w:t>十三、保障措施</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_Toc643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73</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380CF1DF">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_Toc5374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（一）强化统筹协调的组织领导体系</w:t>
      </w:r>
      <w:r>
        <w:rPr>
          <w:color w:val="auto"/>
          <w:highlight w:val="none"/>
        </w:rPr>
        <w:tab/>
      </w:r>
      <w:r>
        <w:rPr>
          <w:color w:val="auto"/>
          <w:highlight w:val="none"/>
        </w:rPr>
        <w:fldChar w:fldCharType="begin"/>
      </w:r>
      <w:r>
        <w:rPr>
          <w:color w:val="auto"/>
          <w:highlight w:val="none"/>
        </w:rPr>
        <w:instrText xml:space="preserve"> PAGEREF _Toc5374 \h </w:instrText>
      </w:r>
      <w:r>
        <w:rPr>
          <w:color w:val="auto"/>
          <w:highlight w:val="none"/>
        </w:rPr>
        <w:fldChar w:fldCharType="separate"/>
      </w:r>
      <w:r>
        <w:rPr>
          <w:color w:val="auto"/>
          <w:highlight w:val="none"/>
        </w:rPr>
        <w:t>73</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72B35739">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_Toc28164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（二）构建协同高效的联动工作机制</w:t>
      </w:r>
      <w:r>
        <w:rPr>
          <w:color w:val="auto"/>
          <w:highlight w:val="none"/>
        </w:rPr>
        <w:tab/>
      </w:r>
      <w:r>
        <w:rPr>
          <w:color w:val="auto"/>
          <w:highlight w:val="none"/>
        </w:rPr>
        <w:fldChar w:fldCharType="begin"/>
      </w:r>
      <w:r>
        <w:rPr>
          <w:color w:val="auto"/>
          <w:highlight w:val="none"/>
        </w:rPr>
        <w:instrText xml:space="preserve"> PAGEREF _Toc28164 \h </w:instrText>
      </w:r>
      <w:r>
        <w:rPr>
          <w:color w:val="auto"/>
          <w:highlight w:val="none"/>
        </w:rPr>
        <w:fldChar w:fldCharType="separate"/>
      </w:r>
      <w:r>
        <w:rPr>
          <w:color w:val="auto"/>
          <w:highlight w:val="none"/>
        </w:rPr>
        <w:t>74</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1164C1F0">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_Toc19840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（三）完善生态优先的考核评价机制</w:t>
      </w:r>
      <w:r>
        <w:rPr>
          <w:color w:val="auto"/>
          <w:highlight w:val="none"/>
        </w:rPr>
        <w:tab/>
      </w:r>
      <w:r>
        <w:rPr>
          <w:color w:val="auto"/>
          <w:highlight w:val="none"/>
        </w:rPr>
        <w:fldChar w:fldCharType="begin"/>
      </w:r>
      <w:r>
        <w:rPr>
          <w:color w:val="auto"/>
          <w:highlight w:val="none"/>
        </w:rPr>
        <w:instrText xml:space="preserve"> PAGEREF _Toc19840 \h </w:instrText>
      </w:r>
      <w:r>
        <w:rPr>
          <w:color w:val="auto"/>
          <w:highlight w:val="none"/>
        </w:rPr>
        <w:fldChar w:fldCharType="separate"/>
      </w:r>
      <w:r>
        <w:rPr>
          <w:color w:val="auto"/>
          <w:highlight w:val="none"/>
        </w:rPr>
        <w:t>74</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65540EFD">
      <w:pPr>
        <w:pStyle w:val="12"/>
        <w:tabs>
          <w:tab w:val="right" w:leader="dot" w:pos="8845"/>
        </w:tabs>
        <w:ind w:left="0" w:leftChars="0" w:firstLine="320" w:firstLineChars="100"/>
        <w:rPr>
          <w:color w:val="auto"/>
          <w:highlight w:val="none"/>
        </w:rPr>
      </w:pPr>
      <w:r>
        <w:rPr>
          <w:rFonts w:hint="eastAsia" w:asciiTheme="minorHAnsi" w:hAnsiTheme="minorHAnsi" w:eastAsiaTheme="minorEastAsia" w:cstheme="minorBidi"/>
          <w:color w:val="auto"/>
          <w:kern w:val="2"/>
          <w:szCs w:val="32"/>
          <w:highlight w:val="none"/>
          <w:lang w:val="en-US" w:eastAsia="zh-CN" w:bidi="ar-SA"/>
        </w:rPr>
        <w:fldChar w:fldCharType="begin"/>
      </w:r>
      <w:r>
        <w:rPr>
          <w:rFonts w:hint="eastAsia" w:asciiTheme="minorHAnsi" w:hAnsiTheme="minorHAnsi" w:eastAsiaTheme="minorEastAsia" w:cstheme="minorBidi"/>
          <w:color w:val="auto"/>
          <w:kern w:val="2"/>
          <w:szCs w:val="32"/>
          <w:highlight w:val="none"/>
          <w:lang w:val="en-US" w:eastAsia="zh-CN" w:bidi="ar-SA"/>
        </w:rPr>
        <w:instrText xml:space="preserve"> HYPERLINK \l _Toc23444 </w:instrText>
      </w:r>
      <w:r>
        <w:rPr>
          <w:rFonts w:hint="eastAsia" w:asciiTheme="minorHAnsi" w:hAnsiTheme="minorHAnsi" w:eastAsiaTheme="minorEastAsia" w:cstheme="minorBidi"/>
          <w:color w:val="auto"/>
          <w:kern w:val="2"/>
          <w:szCs w:val="32"/>
          <w:highlight w:val="none"/>
          <w:lang w:val="en-US" w:eastAsia="zh-CN" w:bidi="ar-SA"/>
        </w:rPr>
        <w:fldChar w:fldCharType="separate"/>
      </w:r>
      <w:r>
        <w:rPr>
          <w:rFonts w:hint="eastAsia"/>
          <w:color w:val="auto"/>
          <w:highlight w:val="none"/>
          <w:lang w:val="en-US" w:eastAsia="zh-CN"/>
        </w:rPr>
        <w:t>（四）强化多元投入的资源要素保障</w:t>
      </w:r>
      <w:r>
        <w:rPr>
          <w:color w:val="auto"/>
          <w:highlight w:val="none"/>
        </w:rPr>
        <w:tab/>
      </w:r>
      <w:r>
        <w:rPr>
          <w:color w:val="auto"/>
          <w:highlight w:val="none"/>
        </w:rPr>
        <w:fldChar w:fldCharType="begin"/>
      </w:r>
      <w:r>
        <w:rPr>
          <w:color w:val="auto"/>
          <w:highlight w:val="none"/>
        </w:rPr>
        <w:instrText xml:space="preserve"> PAGEREF _Toc23444 \h </w:instrText>
      </w:r>
      <w:r>
        <w:rPr>
          <w:color w:val="auto"/>
          <w:highlight w:val="none"/>
        </w:rPr>
        <w:fldChar w:fldCharType="separate"/>
      </w:r>
      <w:r>
        <w:rPr>
          <w:color w:val="auto"/>
          <w:highlight w:val="none"/>
        </w:rPr>
        <w:t>74</w:t>
      </w:r>
      <w:r>
        <w:rPr>
          <w:color w:val="auto"/>
          <w:highlight w:val="none"/>
        </w:rPr>
        <w:fldChar w:fldCharType="end"/>
      </w:r>
      <w:r>
        <w:rPr>
          <w:rFonts w:hint="eastAsia" w:asciiTheme="minorHAnsi" w:hAnsiTheme="minorHAnsi" w:eastAsiaTheme="minorEastAsia" w:cstheme="minorBidi"/>
          <w:color w:val="auto"/>
          <w:kern w:val="2"/>
          <w:szCs w:val="32"/>
          <w:highlight w:val="none"/>
          <w:lang w:val="en-US" w:eastAsia="zh-CN" w:bidi="ar-SA"/>
        </w:rPr>
        <w:fldChar w:fldCharType="end"/>
      </w:r>
    </w:p>
    <w:p w14:paraId="1AF171AF">
      <w:pPr>
        <w:pStyle w:val="11"/>
        <w:tabs>
          <w:tab w:val="right" w:leader="dot" w:pos="8845"/>
        </w:tabs>
        <w:ind w:left="0" w:leftChars="0" w:firstLine="0" w:firstLineChars="0"/>
        <w:rPr>
          <w:rFonts w:hint="eastAsia" w:ascii="黑体" w:hAnsi="黑体" w:eastAsia="黑体" w:cs="黑体"/>
          <w:b/>
          <w:bCs w:val="0"/>
          <w:color w:val="auto"/>
          <w:szCs w:val="32"/>
          <w:highlight w:val="none"/>
        </w:rPr>
      </w:pPr>
      <w:r>
        <w:rPr>
          <w:rFonts w:hint="eastAsia" w:ascii="黑体" w:hAnsi="黑体" w:eastAsia="黑体" w:cs="黑体"/>
          <w:b/>
          <w:bCs w:val="0"/>
          <w:color w:val="auto"/>
          <w:szCs w:val="32"/>
          <w:highlight w:val="none"/>
          <w:lang w:val="en-US" w:eastAsia="zh-CN"/>
        </w:rPr>
        <w:fldChar w:fldCharType="begin"/>
      </w:r>
      <w:r>
        <w:rPr>
          <w:rFonts w:hint="eastAsia" w:ascii="黑体" w:hAnsi="黑体" w:eastAsia="黑体" w:cs="黑体"/>
          <w:b/>
          <w:bCs w:val="0"/>
          <w:color w:val="auto"/>
          <w:szCs w:val="32"/>
          <w:highlight w:val="none"/>
          <w:lang w:val="en-US" w:eastAsia="zh-CN"/>
        </w:rPr>
        <w:instrText xml:space="preserve"> HYPERLINK \l _Toc10031 </w:instrText>
      </w:r>
      <w:r>
        <w:rPr>
          <w:rFonts w:hint="eastAsia" w:ascii="黑体" w:hAnsi="黑体" w:eastAsia="黑体" w:cs="黑体"/>
          <w:b/>
          <w:bCs w:val="0"/>
          <w:color w:val="auto"/>
          <w:szCs w:val="32"/>
          <w:highlight w:val="none"/>
          <w:lang w:val="en-US" w:eastAsia="zh-CN"/>
        </w:rPr>
        <w:fldChar w:fldCharType="separate"/>
      </w:r>
      <w:r>
        <w:rPr>
          <w:rFonts w:hint="eastAsia" w:ascii="黑体" w:hAnsi="黑体" w:eastAsia="黑体" w:cs="黑体"/>
          <w:b/>
          <w:bCs w:val="0"/>
          <w:color w:val="auto"/>
          <w:szCs w:val="32"/>
          <w:highlight w:val="none"/>
          <w:lang w:val="en-US" w:eastAsia="zh-CN"/>
        </w:rPr>
        <w:t>附件</w:t>
      </w:r>
      <w:r>
        <w:rPr>
          <w:rFonts w:hint="eastAsia" w:ascii="黑体" w:hAnsi="黑体" w:eastAsia="黑体" w:cs="黑体"/>
          <w:b/>
          <w:bCs w:val="0"/>
          <w:color w:val="auto"/>
          <w:szCs w:val="32"/>
          <w:highlight w:val="none"/>
        </w:rPr>
        <w:tab/>
      </w:r>
      <w:r>
        <w:rPr>
          <w:rFonts w:hint="eastAsia" w:ascii="黑体" w:hAnsi="黑体" w:eastAsia="黑体" w:cs="黑体"/>
          <w:b/>
          <w:bCs w:val="0"/>
          <w:color w:val="auto"/>
          <w:szCs w:val="32"/>
          <w:highlight w:val="none"/>
        </w:rPr>
        <w:fldChar w:fldCharType="begin"/>
      </w:r>
      <w:r>
        <w:rPr>
          <w:rFonts w:hint="eastAsia" w:ascii="黑体" w:hAnsi="黑体" w:eastAsia="黑体" w:cs="黑体"/>
          <w:b/>
          <w:bCs w:val="0"/>
          <w:color w:val="auto"/>
          <w:szCs w:val="32"/>
          <w:highlight w:val="none"/>
        </w:rPr>
        <w:instrText xml:space="preserve"> PAGEREF _Toc10031 \h </w:instrText>
      </w:r>
      <w:r>
        <w:rPr>
          <w:rFonts w:hint="eastAsia" w:ascii="黑体" w:hAnsi="黑体" w:eastAsia="黑体" w:cs="黑体"/>
          <w:b/>
          <w:bCs w:val="0"/>
          <w:color w:val="auto"/>
          <w:szCs w:val="32"/>
          <w:highlight w:val="none"/>
        </w:rPr>
        <w:fldChar w:fldCharType="separate"/>
      </w:r>
      <w:r>
        <w:rPr>
          <w:rFonts w:hint="eastAsia" w:ascii="黑体" w:hAnsi="黑体" w:eastAsia="黑体" w:cs="黑体"/>
          <w:b/>
          <w:bCs w:val="0"/>
          <w:color w:val="auto"/>
          <w:szCs w:val="32"/>
          <w:highlight w:val="none"/>
        </w:rPr>
        <w:t>75</w:t>
      </w:r>
      <w:r>
        <w:rPr>
          <w:rFonts w:hint="eastAsia" w:ascii="黑体" w:hAnsi="黑体" w:eastAsia="黑体" w:cs="黑体"/>
          <w:b/>
          <w:bCs w:val="0"/>
          <w:color w:val="auto"/>
          <w:szCs w:val="32"/>
          <w:highlight w:val="none"/>
        </w:rPr>
        <w:fldChar w:fldCharType="end"/>
      </w:r>
      <w:r>
        <w:rPr>
          <w:rFonts w:hint="eastAsia" w:ascii="黑体" w:hAnsi="黑体" w:eastAsia="黑体" w:cs="黑体"/>
          <w:b/>
          <w:bCs w:val="0"/>
          <w:color w:val="auto"/>
          <w:szCs w:val="32"/>
          <w:highlight w:val="none"/>
          <w:lang w:val="en-US" w:eastAsia="zh-CN"/>
        </w:rPr>
        <w:fldChar w:fldCharType="end"/>
      </w:r>
    </w:p>
    <w:p w14:paraId="3980FEF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textAlignment w:val="auto"/>
        <w:rPr>
          <w:rFonts w:hint="eastAsia" w:asciiTheme="minorHAnsi" w:hAnsiTheme="minorHAnsi" w:eastAsiaTheme="minorEastAsia" w:cstheme="minorBidi"/>
          <w:color w:val="auto"/>
          <w:kern w:val="2"/>
          <w:sz w:val="21"/>
          <w:szCs w:val="24"/>
          <w:highlight w:val="none"/>
          <w:lang w:val="en-US" w:eastAsia="zh-CN" w:bidi="ar-SA"/>
        </w:rPr>
        <w:sectPr>
          <w:footerReference r:id="rId7" w:type="default"/>
          <w:pgSz w:w="11906" w:h="16838"/>
          <w:pgMar w:top="2098" w:right="1474" w:bottom="1984" w:left="1587" w:header="851" w:footer="992" w:gutter="0"/>
          <w:pgNumType w:fmt="decimal"/>
          <w:cols w:space="425" w:num="1"/>
          <w:docGrid w:type="lines" w:linePitch="312" w:charSpace="0"/>
        </w:sectPr>
      </w:pPr>
      <w:r>
        <w:rPr>
          <w:rFonts w:hint="eastAsia" w:asciiTheme="minorHAnsi" w:hAnsiTheme="minorHAnsi" w:eastAsiaTheme="minorEastAsia" w:cstheme="minorBidi"/>
          <w:color w:val="auto"/>
          <w:kern w:val="2"/>
          <w:szCs w:val="32"/>
          <w:highlight w:val="none"/>
          <w:lang w:val="en-US" w:eastAsia="zh-CN" w:bidi="ar-SA"/>
        </w:rPr>
        <w:fldChar w:fldCharType="end"/>
      </w:r>
    </w:p>
    <w:p w14:paraId="3D6D3B7B">
      <w:pPr>
        <w:pageBreakBefore w:val="0"/>
        <w:kinsoku/>
        <w:overflowPunct/>
        <w:topLinePunct w:val="0"/>
        <w:autoSpaceDE/>
        <w:autoSpaceDN/>
        <w:bidi w:val="0"/>
        <w:adjustRightInd/>
        <w:snapToGrid/>
        <w:spacing w:beforeAutospacing="0" w:afterAutospacing="0"/>
        <w:ind w:left="0" w:leftChars="0" w:firstLine="0" w:firstLineChars="0"/>
        <w:textAlignment w:val="auto"/>
        <w:rPr>
          <w:rFonts w:hint="eastAsia" w:asciiTheme="minorHAnsi" w:hAnsiTheme="minorHAnsi" w:eastAsiaTheme="minorEastAsia" w:cstheme="minorBidi"/>
          <w:color w:val="auto"/>
          <w:kern w:val="2"/>
          <w:sz w:val="21"/>
          <w:szCs w:val="24"/>
          <w:highlight w:val="none"/>
          <w:lang w:val="en-US" w:eastAsia="zh-CN" w:bidi="ar-SA"/>
        </w:rPr>
      </w:pPr>
    </w:p>
    <w:p w14:paraId="2EF07AD8">
      <w:pPr>
        <w:pStyle w:val="3"/>
        <w:bidi w:val="0"/>
        <w:rPr>
          <w:rFonts w:hint="default"/>
          <w:color w:val="auto"/>
          <w:highlight w:val="none"/>
          <w:lang w:val="en-US" w:eastAsia="zh-CN"/>
        </w:rPr>
      </w:pPr>
      <w:bookmarkStart w:id="0" w:name="_Toc1846"/>
      <w:bookmarkStart w:id="1" w:name="_Toc4630"/>
      <w:bookmarkStart w:id="2" w:name="_Toc21451"/>
      <w:r>
        <w:rPr>
          <w:rFonts w:hint="eastAsia"/>
          <w:color w:val="auto"/>
          <w:highlight w:val="none"/>
          <w:lang w:val="en-US" w:eastAsia="zh-CN"/>
        </w:rPr>
        <w:t>一、发展基础</w:t>
      </w:r>
      <w:bookmarkEnd w:id="0"/>
      <w:bookmarkEnd w:id="1"/>
      <w:bookmarkEnd w:id="2"/>
    </w:p>
    <w:p w14:paraId="5B419EAC">
      <w:pPr>
        <w:pStyle w:val="4"/>
        <w:keepNext/>
        <w:keepLines/>
        <w:pageBreakBefore w:val="0"/>
        <w:widowControl w:val="0"/>
        <w:numPr>
          <w:ilvl w:val="0"/>
          <w:numId w:val="0"/>
        </w:numPr>
        <w:kinsoku/>
        <w:wordWrap/>
        <w:overflowPunct/>
        <w:topLinePunct w:val="0"/>
        <w:autoSpaceDE w:val="0"/>
        <w:autoSpaceDN w:val="0"/>
        <w:bidi w:val="0"/>
        <w:adjustRightInd w:val="0"/>
        <w:snapToGrid/>
        <w:spacing w:before="0" w:beforeLines="-2147483648" w:beforeAutospacing="0" w:after="0" w:afterLines="-2147483648" w:afterAutospacing="0" w:line="560" w:lineRule="exact"/>
        <w:ind w:firstLine="640" w:firstLineChars="200"/>
        <w:jc w:val="both"/>
        <w:textAlignment w:val="auto"/>
        <w:rPr>
          <w:rFonts w:hint="default" w:ascii="楷体_GB2312" w:hAnsi="楷体_GB2312" w:eastAsia="楷体_GB2312" w:cs="楷体_GB2312"/>
          <w:b w:val="0"/>
          <w:bCs/>
          <w:color w:val="auto"/>
          <w:kern w:val="0"/>
          <w:sz w:val="32"/>
          <w:szCs w:val="20"/>
          <w:highlight w:val="none"/>
          <w:lang w:val="en-US" w:eastAsia="zh-CN" w:bidi="ar-SA"/>
        </w:rPr>
      </w:pPr>
      <w:bookmarkStart w:id="3" w:name="_Toc14314"/>
      <w:bookmarkStart w:id="4" w:name="_Toc6095"/>
      <w:bookmarkStart w:id="5" w:name="_Toc16201"/>
      <w:r>
        <w:rPr>
          <w:rFonts w:hint="eastAsia" w:ascii="楷体_GB2312" w:hAnsi="楷体_GB2312" w:eastAsia="楷体_GB2312" w:cs="楷体_GB2312"/>
          <w:b w:val="0"/>
          <w:bCs/>
          <w:color w:val="auto"/>
          <w:kern w:val="0"/>
          <w:sz w:val="32"/>
          <w:szCs w:val="20"/>
          <w:highlight w:val="none"/>
          <w:lang w:val="en-US" w:eastAsia="zh-CN" w:bidi="ar-SA"/>
        </w:rPr>
        <w:t>（一）“十四五”</w:t>
      </w:r>
      <w:bookmarkEnd w:id="3"/>
      <w:bookmarkEnd w:id="4"/>
      <w:r>
        <w:rPr>
          <w:rFonts w:hint="eastAsia" w:ascii="楷体_GB2312" w:hAnsi="楷体_GB2312" w:eastAsia="楷体_GB2312" w:cs="楷体_GB2312"/>
          <w:b w:val="0"/>
          <w:bCs/>
          <w:color w:val="auto"/>
          <w:kern w:val="0"/>
          <w:sz w:val="32"/>
          <w:szCs w:val="20"/>
          <w:highlight w:val="none"/>
          <w:lang w:val="en-US" w:eastAsia="zh-CN" w:bidi="ar-SA"/>
        </w:rPr>
        <w:t>时期农业农村现代化取得的主要成效</w:t>
      </w:r>
      <w:bookmarkEnd w:id="5"/>
    </w:p>
    <w:p w14:paraId="2FD349D3">
      <w:pPr>
        <w:bidi w:val="0"/>
        <w:rPr>
          <w:rFonts w:hint="eastAsia"/>
          <w:color w:val="auto"/>
          <w:highlight w:val="none"/>
          <w:lang w:val="en-US" w:eastAsia="zh-CN"/>
        </w:rPr>
      </w:pPr>
      <w:bookmarkStart w:id="6" w:name="_Toc3801"/>
      <w:r>
        <w:rPr>
          <w:rFonts w:hint="eastAsia"/>
          <w:color w:val="auto"/>
          <w:highlight w:val="none"/>
          <w:lang w:val="en-US" w:eastAsia="zh-CN"/>
        </w:rPr>
        <w:t>“十四五”以来，</w:t>
      </w:r>
      <w:r>
        <w:rPr>
          <w:rFonts w:hint="eastAsia"/>
          <w:color w:val="auto"/>
          <w:highlight w:val="none"/>
          <w:lang w:val="zh-CN" w:eastAsia="zh-CN"/>
        </w:rPr>
        <w:t>延庆区以习近平新时代中国特色社会主义思想为指导，</w:t>
      </w:r>
      <w:r>
        <w:rPr>
          <w:rFonts w:hint="eastAsia"/>
          <w:color w:val="auto"/>
          <w:highlight w:val="none"/>
          <w:lang w:val="en-US" w:eastAsia="zh-CN"/>
        </w:rPr>
        <w:t>紧紧围绕中央农村工作会议、市委农村工作会议精神，</w:t>
      </w:r>
      <w:r>
        <w:rPr>
          <w:rFonts w:hint="eastAsia"/>
          <w:color w:val="auto"/>
          <w:highlight w:val="none"/>
          <w:lang w:val="zh-CN" w:eastAsia="zh-CN"/>
        </w:rPr>
        <w:t>立足延庆首都生态涵养区功能定位</w:t>
      </w:r>
      <w:r>
        <w:rPr>
          <w:rFonts w:hint="eastAsia"/>
          <w:color w:val="auto"/>
          <w:highlight w:val="none"/>
          <w:lang w:val="en-US" w:eastAsia="zh-CN"/>
        </w:rPr>
        <w:t>，坚持“大城市带动大京郊，大京郊服务大城市”的城乡融合发展战略，</w:t>
      </w:r>
      <w:r>
        <w:rPr>
          <w:rFonts w:hint="eastAsia"/>
          <w:color w:val="auto"/>
          <w:highlight w:val="none"/>
          <w:lang w:val="zh-CN" w:eastAsia="zh-CN"/>
        </w:rPr>
        <w:t>全面推进乡村振兴工作，取得阶段性成果。</w:t>
      </w:r>
      <w:bookmarkEnd w:id="6"/>
    </w:p>
    <w:p w14:paraId="073D49BD">
      <w:pPr>
        <w:bidi w:val="0"/>
        <w:rPr>
          <w:rFonts w:hint="eastAsia"/>
          <w:color w:val="auto"/>
          <w:highlight w:val="none"/>
          <w:lang w:val="en-US" w:eastAsia="zh-CN"/>
        </w:rPr>
      </w:pPr>
      <w:bookmarkStart w:id="7" w:name="_Toc7616"/>
      <w:bookmarkStart w:id="8" w:name="_Toc15012"/>
      <w:bookmarkStart w:id="9" w:name="_Toc659"/>
      <w:bookmarkStart w:id="10" w:name="_Toc15998"/>
      <w:r>
        <w:rPr>
          <w:rFonts w:hint="eastAsia"/>
          <w:color w:val="auto"/>
          <w:highlight w:val="none"/>
          <w:lang w:val="en-US" w:eastAsia="zh-CN"/>
        </w:rPr>
        <w:t>1.农业高质量发展成效显著。</w:t>
      </w:r>
      <w:bookmarkEnd w:id="7"/>
      <w:bookmarkEnd w:id="8"/>
      <w:bookmarkEnd w:id="9"/>
      <w:bookmarkEnd w:id="10"/>
    </w:p>
    <w:p w14:paraId="54083852">
      <w:pPr>
        <w:bidi w:val="0"/>
        <w:rPr>
          <w:rFonts w:hint="eastAsia"/>
          <w:color w:val="auto"/>
          <w:highlight w:val="none"/>
          <w:lang w:val="en" w:eastAsia="zh-CN"/>
        </w:rPr>
      </w:pPr>
      <w:r>
        <w:rPr>
          <w:rFonts w:hint="eastAsia"/>
          <w:color w:val="auto"/>
          <w:highlight w:val="none"/>
          <w:lang w:val="en-US" w:eastAsia="zh-CN"/>
        </w:rPr>
        <w:t>稳产保供能力增强。“十四五”期间，高标准农田建设工作持续推进，播种面积广。建成高标准农田0.83万亩，集成推广水肥一体化等8项技术。粮食播种平均面积16.48万亩，总产32.02万吨，2024年单产520公斤/亩创全市纪录。蔬菜产量46.01万吨，2024年超额完成市级任务110%。绿色生态标准化处理逐步提升，产业水平强。推进化肥、农药减量化，提高利用效率，加强农药包装、农膜等农业废弃物回收处理，化肥利用率提高至43.3%；农业投入品废弃物回收率达到92%以上，回收覆盖率达到100%，农药利用率由2020年的45.11%提高到2024年的48.69%。规模化畜禽养殖场粪污处理设施设备实现全覆盖，规模化养殖场畜禽粪污综合利用率达到96.75%。特色农业产业格局基本成型，产业发展好，重点推进鲜食玉米、精品蔬菜、花卉园艺、优质果品、精品畜牧五大类特色农产品体系发展，适度推广特色农业。</w:t>
      </w:r>
    </w:p>
    <w:p w14:paraId="6D0A58FB">
      <w:pPr>
        <w:bidi w:val="0"/>
        <w:rPr>
          <w:rFonts w:hint="eastAsia"/>
          <w:color w:val="auto"/>
          <w:highlight w:val="none"/>
          <w:lang w:val="en-US" w:eastAsia="zh-CN"/>
        </w:rPr>
      </w:pPr>
      <w:r>
        <w:rPr>
          <w:rFonts w:hint="eastAsia"/>
          <w:color w:val="auto"/>
          <w:highlight w:val="none"/>
          <w:lang w:val="en-US" w:eastAsia="zh-CN"/>
        </w:rPr>
        <w:t>特色产业提质升级。</w:t>
      </w:r>
      <w:r>
        <w:rPr>
          <w:rFonts w:hint="eastAsia"/>
          <w:color w:val="auto"/>
          <w:highlight w:val="none"/>
          <w:lang w:val="en" w:eastAsia="zh-CN"/>
        </w:rPr>
        <w:t>有机农业规模化发展。实施有机农业三年规划，</w:t>
      </w:r>
      <w:r>
        <w:rPr>
          <w:rFonts w:hint="eastAsia"/>
          <w:color w:val="auto"/>
          <w:highlight w:val="none"/>
          <w:lang w:val="en-US" w:eastAsia="zh-CN"/>
        </w:rPr>
        <w:t>建成绿色有机认证基地64家（产量2.9万吨）、标准化备案基地83家</w:t>
      </w:r>
      <w:r>
        <w:rPr>
          <w:rFonts w:hint="eastAsia"/>
          <w:color w:val="auto"/>
          <w:highlight w:val="none"/>
          <w:lang w:val="en" w:eastAsia="zh-CN"/>
        </w:rPr>
        <w:t>。新建改造现代化大棚4500亩，2024年蔬菜产量11.</w:t>
      </w:r>
      <w:r>
        <w:rPr>
          <w:rFonts w:hint="eastAsia"/>
          <w:color w:val="auto"/>
          <w:highlight w:val="none"/>
          <w:lang w:val="en-US" w:eastAsia="zh-CN"/>
        </w:rPr>
        <w:t>74</w:t>
      </w:r>
      <w:r>
        <w:rPr>
          <w:rFonts w:hint="eastAsia"/>
          <w:color w:val="auto"/>
          <w:highlight w:val="none"/>
          <w:lang w:val="en" w:eastAsia="zh-CN"/>
        </w:rPr>
        <w:t>万吨创十一年峰值。提升“三农”品牌影响力，提高产业经济效益。北京市优质农业区域公用品牌“北京优农”品牌认定达到16家；开展“开门迎春”文旅消费活动，举办“延庆东南山·九沟十八湾”乡村振兴品牌推介暨首批签约仪式，拓展销售渠道，逐步完善绿色农产品质量检测和追溯体系，推动“妫水农耕”品牌农产品向旅游商品转化，管理入盟企业及线上农产品，目前授权主体达</w:t>
      </w:r>
      <w:r>
        <w:rPr>
          <w:rFonts w:hint="eastAsia"/>
          <w:color w:val="auto"/>
          <w:highlight w:val="none"/>
          <w:lang w:val="en-US" w:eastAsia="zh-CN"/>
        </w:rPr>
        <w:t>29</w:t>
      </w:r>
      <w:r>
        <w:rPr>
          <w:rFonts w:hint="eastAsia"/>
          <w:color w:val="auto"/>
          <w:highlight w:val="none"/>
          <w:lang w:val="en" w:eastAsia="zh-CN"/>
        </w:rPr>
        <w:t>个。强化品牌效应，增强农业品牌附加值，扩大经营规模。农产品质量安全检测工作不断加强，延庆优质农产品影响力持续提升。2023年10月，我区通过农业农村部验收获评“国家农产品质量安全县”。截至2024年底，全区承诺达标合格证信息化开具率达87.4%，网格化巡查覆盖率100%，农产品检测合格率达到98%以上，质量安全水平显著提升。</w:t>
      </w:r>
    </w:p>
    <w:p w14:paraId="383C6C14">
      <w:pPr>
        <w:bidi w:val="0"/>
        <w:rPr>
          <w:rFonts w:hint="eastAsia"/>
          <w:color w:val="auto"/>
          <w:highlight w:val="none"/>
          <w:lang w:val="en-US" w:eastAsia="zh-CN"/>
        </w:rPr>
      </w:pPr>
      <w:r>
        <w:rPr>
          <w:rFonts w:hint="eastAsia"/>
          <w:color w:val="auto"/>
          <w:highlight w:val="none"/>
          <w:lang w:val="en-US" w:eastAsia="zh-CN"/>
        </w:rPr>
        <w:t>三产融合深化拓展。乡村旅游品质持续提升，推动产业快速发展。形成具有延庆特色的“长城风情”“乐享妫川”休闲农业精品线路，落实休闲农业畅游行动计划，推进“乐享妫川”四季花海段、八达岭段、旧县香龙路段建设。已创建全国“一村一品”示范村11个，北京市特色专业示范村7个，获评中国美丽休闲乡村4个、北京市美丽休闲乡村11个，北京市级休闲农业星级园区40家，获评首批“全国休闲农业重点县”。乡村旅游设施与服务水平不断提升。实行“村集体+企业”的运营模式，推进休闲农业发展，扶持一批集长城文化展示、休闲康养等于一体的三产融合集聚区，通过线上线下多种形式开展宣传推广活动，依托延庆乡村特色资源，打好乡村“特色牌”。</w:t>
      </w:r>
    </w:p>
    <w:p w14:paraId="3C98482F">
      <w:pPr>
        <w:bidi w:val="0"/>
        <w:rPr>
          <w:rFonts w:hint="eastAsia"/>
          <w:color w:val="auto"/>
          <w:highlight w:val="none"/>
          <w:lang w:val="en-US" w:eastAsia="zh-CN"/>
        </w:rPr>
      </w:pPr>
      <w:bookmarkStart w:id="11" w:name="_Toc2094"/>
      <w:bookmarkStart w:id="12" w:name="_Toc23294"/>
      <w:bookmarkStart w:id="13" w:name="_Toc21616"/>
      <w:bookmarkStart w:id="14" w:name="_Toc27839"/>
      <w:r>
        <w:rPr>
          <w:rFonts w:hint="eastAsia"/>
          <w:color w:val="auto"/>
          <w:highlight w:val="none"/>
          <w:lang w:val="en-US" w:eastAsia="zh-CN"/>
        </w:rPr>
        <w:t>2.美丽乡村建设全面深化</w:t>
      </w:r>
      <w:bookmarkEnd w:id="11"/>
      <w:bookmarkEnd w:id="12"/>
      <w:bookmarkEnd w:id="13"/>
      <w:bookmarkEnd w:id="14"/>
    </w:p>
    <w:p w14:paraId="18DE5DBD">
      <w:pPr>
        <w:bidi w:val="0"/>
        <w:rPr>
          <w:color w:val="auto"/>
          <w:highlight w:val="none"/>
        </w:rPr>
      </w:pPr>
      <w:r>
        <w:rPr>
          <w:rFonts w:hint="eastAsia"/>
          <w:color w:val="auto"/>
          <w:highlight w:val="none"/>
          <w:lang w:val="en-US" w:eastAsia="zh-CN"/>
        </w:rPr>
        <w:t>乡村空间格局深度优化。美丽乡村建设成果斐然，全面完成规划目标，全区355个创建村基本完工。“百千工程”扎实推进，成功完成“醉美井庄”首批示范片区年度创建任务，第二批八达岭镇及第三批大榆树镇示范片区有序推进。山区搬迁工程胜利收官。累计完成四轮55个村庄搬迁，实现了生态修复与民生保障的同步提升。乡村振兴示范体系日趋健全。25个市级示范村、11个区级精品村基本完工，沙塘沟村等37个村庄形成的可复制经验，其示范引领效应已有效辐射至全域乡村。</w:t>
      </w:r>
    </w:p>
    <w:p w14:paraId="5548B333">
      <w:pPr>
        <w:bidi w:val="0"/>
        <w:rPr>
          <w:rFonts w:hint="eastAsia"/>
          <w:color w:val="auto"/>
          <w:highlight w:val="none"/>
          <w:lang w:val="en-US" w:eastAsia="zh-CN"/>
        </w:rPr>
      </w:pPr>
      <w:r>
        <w:rPr>
          <w:rFonts w:hint="eastAsia"/>
          <w:color w:val="auto"/>
          <w:highlight w:val="none"/>
          <w:lang w:val="en-US" w:eastAsia="zh-CN"/>
        </w:rPr>
        <w:t>幸福宜居品质跨越提升。农村人居生态环境实现稳步提升，印发实施《延庆区关于进一步健全完善农村人居环境长效管护机制的实施方案》，持续开展“六清一改”村庄清洁行动，全面建立起“有制度、有标准、有队伍、有经费、有监督”的长效管护机制。“十四五”时期全市农村人居环境考核位居前列。全面完成山区剩余村庄散煤清洁能源改造，基本实现川区“无煤化”，山区剩余村庄“煤改电”改造项目正有序开展。基础设施短板全面补齐。农村危房改造累计完成269户，抗震节能农宅建设惠及4579户；供水保证率稳定在95%以上，“美丽乡村路”创建卓有成效。能源革命树立全国典范。建成全市首个区级清洁取暖维修、管护一体化调度中心，实现“煤改气”“煤改电”全覆盖。</w:t>
      </w:r>
    </w:p>
    <w:p w14:paraId="56DCF9B5">
      <w:pPr>
        <w:bidi w:val="0"/>
        <w:rPr>
          <w:color w:val="auto"/>
          <w:highlight w:val="none"/>
        </w:rPr>
      </w:pPr>
      <w:r>
        <w:rPr>
          <w:rFonts w:hint="eastAsia"/>
          <w:color w:val="auto"/>
          <w:highlight w:val="none"/>
          <w:lang w:val="en-US" w:eastAsia="zh-CN"/>
        </w:rPr>
        <w:t>绿色生态本底持续夯实。</w:t>
      </w:r>
      <w:bookmarkStart w:id="15" w:name="_Toc11909"/>
      <w:r>
        <w:rPr>
          <w:rFonts w:hint="eastAsia"/>
          <w:color w:val="auto"/>
          <w:highlight w:val="none"/>
          <w:lang w:val="en-US" w:eastAsia="zh-CN"/>
        </w:rPr>
        <w:t>国土绿化工作成效显著，超额完成任务目标。累计完成留白增绿82.81公顷，矿山修复16.76公顷，农业种植增绿9.182公顷，实现耕地生态覆盖率100%。乡村生态价值加速转化。林下经济面积累计至7.34万亩；通过增殖放流鲢鳙鱼苗，官厅水库水质得到显著改善；农业废弃物资源化利用水平领先，畜禽粪污综合利用率高达96.03%，秸秆资源化利用量达1.69万吨。</w:t>
      </w:r>
    </w:p>
    <w:p w14:paraId="25402AE1">
      <w:pPr>
        <w:bidi w:val="0"/>
        <w:rPr>
          <w:rFonts w:hint="eastAsia"/>
          <w:color w:val="auto"/>
          <w:highlight w:val="none"/>
          <w:lang w:val="en-US" w:eastAsia="zh-CN"/>
        </w:rPr>
      </w:pPr>
      <w:bookmarkStart w:id="16" w:name="_Toc27301"/>
      <w:bookmarkStart w:id="17" w:name="_Toc14034"/>
      <w:bookmarkStart w:id="18" w:name="_Toc23348"/>
      <w:r>
        <w:rPr>
          <w:rFonts w:hint="eastAsia"/>
          <w:color w:val="auto"/>
          <w:highlight w:val="none"/>
          <w:lang w:val="en-US" w:eastAsia="zh-CN"/>
        </w:rPr>
        <w:t>3.乡村治理与民生保障协同推进</w:t>
      </w:r>
      <w:bookmarkEnd w:id="15"/>
      <w:bookmarkEnd w:id="16"/>
      <w:bookmarkEnd w:id="17"/>
      <w:bookmarkEnd w:id="18"/>
    </w:p>
    <w:p w14:paraId="48C361B4">
      <w:pPr>
        <w:bidi w:val="0"/>
        <w:rPr>
          <w:rFonts w:hint="eastAsia"/>
          <w:color w:val="auto"/>
          <w:highlight w:val="none"/>
          <w:lang w:val="en-US" w:eastAsia="zh-CN"/>
        </w:rPr>
      </w:pPr>
      <w:r>
        <w:rPr>
          <w:rFonts w:hint="eastAsia"/>
          <w:color w:val="auto"/>
          <w:highlight w:val="none"/>
          <w:lang w:val="en-US" w:eastAsia="zh-CN"/>
        </w:rPr>
        <w:t>治理效能提升。《乡村治理若干措施》落地生根，“八个乡村”建设任务已分解至56家单位落实；“四议一审两公开”实现行政村100%覆盖，村级事务透明化率达98%。数字治理水平全市领先，井庄镇柳沟村和窑湾村推广应用市级乡村振兴大数据平台的“数字京村”系统，目前已完成2个村级基础数据收集与上传工作，实现部分数据要素互联互通；</w:t>
      </w:r>
      <w:r>
        <w:rPr>
          <w:rFonts w:hint="eastAsia"/>
          <w:color w:val="auto"/>
          <w:highlight w:val="none"/>
        </w:rPr>
        <w:t>农村集体产权交易活跃，2024年平台挂牌525宗，挂牌金额1.73亿元，成交321宗，成交金额0.96亿元</w:t>
      </w:r>
      <w:r>
        <w:rPr>
          <w:rFonts w:hint="eastAsia"/>
          <w:color w:val="auto"/>
          <w:highlight w:val="none"/>
          <w:lang w:val="en-US" w:eastAsia="zh-CN"/>
        </w:rPr>
        <w:t>。人才引擎强劲驱动。科技兴农服务直达田间地头。</w:t>
      </w:r>
      <w:r>
        <w:rPr>
          <w:rFonts w:hint="eastAsia"/>
          <w:color w:val="auto"/>
          <w:highlight w:val="none"/>
        </w:rPr>
        <w:t>建立覆盖6大专业领域200人新型经营主体辅导员名录库</w:t>
      </w:r>
      <w:r>
        <w:rPr>
          <w:rFonts w:hint="eastAsia"/>
          <w:color w:val="auto"/>
          <w:highlight w:val="none"/>
          <w:lang w:val="en-US" w:eastAsia="zh-CN"/>
        </w:rPr>
        <w:t>；人才治理效能持续提升，打造先进农业技术展示平台，聘请农业专家线上线下授课，完成262人次基层农技推广人员素质提升。明确5种培训类型、10个方面内容，储备141门优质课程，主动对接电商、企管、营销等应用型专家资源，构建“人才培养—科学研究—示范推广—就业创业”一体化发展模式。电商赋能产业振兴成效突出，构建“区镇主体”三级直播体系。文明乡风润泽乡村。深入学习宣传贯彻习近平总书记给八达岭镇石峡村乡亲们的重要回信精神，组建“最美长城守护人”百姓宣讲团，完成第三批全国乡村治理示范村镇申报，累计深化12个全国文明村镇和104个首都文明村镇的常态化创建工作。传统村落保护与活化利用焕发新生机。岔道村等5个传统村落完成挂牌保护及数字博物馆建设，历史建筑修复率达100%。</w:t>
      </w:r>
    </w:p>
    <w:p w14:paraId="3BE84DAD">
      <w:pPr>
        <w:bidi w:val="0"/>
        <w:rPr>
          <w:rFonts w:hint="eastAsia"/>
          <w:color w:val="auto"/>
          <w:highlight w:val="none"/>
          <w:lang w:val="en-US" w:eastAsia="zh-CN"/>
        </w:rPr>
      </w:pPr>
      <w:r>
        <w:rPr>
          <w:rFonts w:hint="eastAsia"/>
          <w:color w:val="auto"/>
          <w:highlight w:val="none"/>
          <w:lang w:val="en-US" w:eastAsia="zh-CN"/>
        </w:rPr>
        <w:t>民生福祉增强。</w:t>
      </w:r>
      <w:bookmarkStart w:id="19" w:name="_Toc1535"/>
      <w:r>
        <w:rPr>
          <w:rFonts w:hint="eastAsia"/>
          <w:color w:val="auto"/>
          <w:highlight w:val="none"/>
          <w:lang w:val="en-US" w:eastAsia="zh-CN"/>
        </w:rPr>
        <w:t>城乡差距持续缩小。2024年农村居民人均可支配收入突破3万元大关，达30844元，同比增长6.2%，增速高于城镇居民2.2个百分点，连续4年超过城镇居民增速，城乡收入比由2021年的2.1:1逐步缩小为2024年的1.97:1。多渠道增加城乡居民收入，加强普惠性、基础性、兜底性劳动报酬，改善生活水平。民生福祉持续增强，保障网织密筑牢。推动保险制度稳定农户农业托底。逐年制定实施《延庆区促进农民增收工作措施》，持续开展低收入帮扶工作，低收入农户实现脱低，“零就业”家庭动态清零。强化农业保险日常监管，规范市场秩序。企业合作助力乡村产业发展。</w:t>
      </w:r>
      <w:r>
        <w:rPr>
          <w:rFonts w:hint="eastAsia"/>
          <w:color w:val="auto"/>
          <w:highlight w:val="none"/>
        </w:rPr>
        <w:t>鼓励发展农民专业合作社，出台农民专业合作社、家庭农场等政策文件，村集体经济组织领办农民专业合作社正在积极推进</w:t>
      </w:r>
      <w:r>
        <w:rPr>
          <w:rFonts w:hint="eastAsia"/>
          <w:color w:val="auto"/>
          <w:highlight w:val="none"/>
          <w:lang w:val="en-US" w:eastAsia="zh-CN"/>
        </w:rPr>
        <w:t>；纳入“经管系统运营台账”管理的农民专业合作社有273家；纳入“全国家庭农场名录系统”管理的家庭农场152户。</w:t>
      </w:r>
    </w:p>
    <w:p w14:paraId="360BAFDF">
      <w:pPr>
        <w:bidi w:val="0"/>
        <w:rPr>
          <w:rFonts w:hint="default"/>
          <w:color w:val="auto"/>
          <w:highlight w:val="none"/>
          <w:lang w:val="en-US" w:eastAsia="zh-CN"/>
        </w:rPr>
      </w:pPr>
      <w:bookmarkStart w:id="20" w:name="_Toc7021"/>
      <w:bookmarkStart w:id="21" w:name="_Toc12508"/>
      <w:bookmarkStart w:id="22" w:name="_Toc32085"/>
      <w:r>
        <w:rPr>
          <w:rFonts w:hint="eastAsia"/>
          <w:color w:val="auto"/>
          <w:highlight w:val="none"/>
          <w:lang w:val="en-US" w:eastAsia="zh-CN"/>
        </w:rPr>
        <w:t>4.农村改革取得突破。</w:t>
      </w:r>
      <w:bookmarkEnd w:id="19"/>
      <w:bookmarkEnd w:id="20"/>
      <w:bookmarkEnd w:id="21"/>
      <w:bookmarkEnd w:id="22"/>
    </w:p>
    <w:p w14:paraId="06A9C5CF">
      <w:pPr>
        <w:bidi w:val="0"/>
        <w:rPr>
          <w:rFonts w:hint="eastAsia"/>
          <w:color w:val="auto"/>
          <w:highlight w:val="none"/>
          <w:lang w:val="en-US" w:eastAsia="zh-CN"/>
        </w:rPr>
      </w:pPr>
      <w:r>
        <w:rPr>
          <w:rFonts w:hint="eastAsia"/>
          <w:color w:val="auto"/>
          <w:highlight w:val="none"/>
          <w:lang w:val="en-US" w:eastAsia="zh-CN"/>
        </w:rPr>
        <w:t>土地改革深化。农村集体产权制度改革系统化。构建“三资”管理制度体系，出台《延庆区农村集体经济合同管理办法（试行）》等6项规范性文件，</w:t>
      </w:r>
      <w:r>
        <w:rPr>
          <w:rFonts w:hint="eastAsia"/>
          <w:color w:val="auto"/>
          <w:highlight w:val="none"/>
        </w:rPr>
        <w:t>村级农村集体产权制度改革全面完成，376个村级集体经济组织建立股份经济合作社；14个乡镇完成镇级改革，成立股份经济合作联合社</w:t>
      </w:r>
      <w:r>
        <w:rPr>
          <w:rFonts w:hint="eastAsia"/>
          <w:color w:val="auto"/>
          <w:highlight w:val="none"/>
          <w:lang w:val="en-US" w:eastAsia="zh-CN"/>
        </w:rPr>
        <w:t>。宅基地制度改革稳慎实施。健全“村地区管”管控机制，制定宅基地及房屋建设管理办法，优化审批流程并强化集体土地权益保障。确立永宁镇狮子营村等3个区级试点，系统摸排闲置农宅2840宗，分类推进“户有所居”保障。创新闲置农宅盘活资金协调机制，严格“一户一宅”审批监管。</w:t>
      </w:r>
      <w:r>
        <w:rPr>
          <w:rFonts w:hint="eastAsia"/>
          <w:color w:val="auto"/>
          <w:highlight w:val="none"/>
        </w:rPr>
        <w:t>土地经营权流转规范增效。完成全域家庭承包地流转现状普查，做好土</w:t>
      </w:r>
      <w:r>
        <w:rPr>
          <w:rFonts w:hint="eastAsia"/>
          <w:color w:val="auto"/>
          <w:highlight w:val="none"/>
          <w:lang w:val="en-US" w:eastAsia="zh-CN"/>
        </w:rPr>
        <w:t>地流转合同备案管理，维护农民合法权益。</w:t>
      </w:r>
    </w:p>
    <w:p w14:paraId="22FDBE65">
      <w:pPr>
        <w:bidi w:val="0"/>
        <w:rPr>
          <w:rFonts w:hint="eastAsia"/>
          <w:color w:val="auto"/>
          <w:highlight w:val="none"/>
          <w:lang w:val="en-US" w:eastAsia="zh-CN"/>
        </w:rPr>
      </w:pPr>
      <w:r>
        <w:rPr>
          <w:rFonts w:hint="eastAsia"/>
          <w:color w:val="auto"/>
          <w:highlight w:val="none"/>
          <w:lang w:val="en-US" w:eastAsia="zh-CN"/>
        </w:rPr>
        <w:t>集体经济壮大。惠农政策精准落地。严格执行中央及市级补贴政策，“十四五”期间累计兑付：耕地地力保护补贴2.22亿元，蔬菜生产（菜田）补贴6760.55万元，实际种粮农民一次性补贴513.52万元，农作物良种更换补贴814.71万元。形成“补贴+服务”双轮驱动机制。集体经济提质消薄。创新“特色产业+资源盘活”发展路径，2024年全区376个村集体经营性收入全部达到10万元以上（零返薄），重点发展农业复合经营、乡村旅游等业态，中央及市级169个集体经济产业项目完工率达97.6%。</w:t>
      </w:r>
    </w:p>
    <w:p w14:paraId="3C187C8A">
      <w:pPr>
        <w:pStyle w:val="4"/>
        <w:numPr>
          <w:ilvl w:val="0"/>
          <w:numId w:val="1"/>
        </w:numPr>
        <w:bidi w:val="0"/>
        <w:rPr>
          <w:rFonts w:hint="eastAsia"/>
          <w:color w:val="auto"/>
          <w:highlight w:val="none"/>
          <w:lang w:val="en-US" w:eastAsia="zh-CN"/>
        </w:rPr>
      </w:pPr>
      <w:bookmarkStart w:id="23" w:name="_Toc10315"/>
      <w:r>
        <w:rPr>
          <w:rFonts w:hint="eastAsia"/>
          <w:color w:val="auto"/>
          <w:highlight w:val="none"/>
          <w:lang w:val="en-US" w:eastAsia="zh-CN"/>
        </w:rPr>
        <w:t>面临的主要问题</w:t>
      </w:r>
      <w:bookmarkEnd w:id="23"/>
    </w:p>
    <w:p w14:paraId="452DF8B2">
      <w:pPr>
        <w:keepNext w:val="0"/>
        <w:keepLines w:val="0"/>
        <w:pageBreakBefore w:val="0"/>
        <w:widowControl w:val="0"/>
        <w:numPr>
          <w:ilvl w:val="0"/>
          <w:numId w:val="0"/>
        </w:numPr>
        <w:pBdr>
          <w:top w:val="none" w:color="auto" w:sz="0" w:space="1"/>
          <w:bottom w:val="none" w:color="auto" w:sz="0" w:space="16"/>
        </w:pBdr>
        <w:tabs>
          <w:tab w:val="left" w:pos="1440"/>
        </w:tabs>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 w:eastAsia="zh-CN"/>
        </w:rPr>
      </w:pPr>
      <w:bookmarkStart w:id="24" w:name="_Toc2125"/>
      <w:bookmarkStart w:id="25" w:name="_Toc4123"/>
      <w:r>
        <w:rPr>
          <w:rFonts w:hint="eastAsia" w:ascii="仿宋_GB2312" w:hAnsi="仿宋_GB2312" w:eastAsia="仿宋_GB2312" w:cs="仿宋_GB2312"/>
          <w:b w:val="0"/>
          <w:bCs w:val="0"/>
          <w:color w:val="auto"/>
          <w:sz w:val="32"/>
          <w:szCs w:val="32"/>
          <w:highlight w:val="none"/>
          <w:lang w:val="en-US" w:eastAsia="zh-CN"/>
        </w:rPr>
        <w:t>一是都市型现代农业特征不够明显，农业产业规模化、品牌化和科技化仍需持续打造，产业振兴仍需持续发力。</w:t>
      </w:r>
      <w:r>
        <w:rPr>
          <w:rFonts w:hint="eastAsia" w:ascii="仿宋_GB2312" w:hAnsi="仿宋_GB2312" w:eastAsia="仿宋_GB2312" w:cs="仿宋_GB2312"/>
          <w:b/>
          <w:bCs/>
          <w:color w:val="auto"/>
          <w:sz w:val="32"/>
          <w:szCs w:val="32"/>
          <w:highlight w:val="none"/>
          <w:lang w:val="en" w:eastAsia="zh-CN"/>
        </w:rPr>
        <w:t>二</w:t>
      </w:r>
      <w:r>
        <w:rPr>
          <w:rFonts w:hint="eastAsia" w:ascii="仿宋_GB2312" w:hAnsi="仿宋_GB2312" w:eastAsia="仿宋_GB2312" w:cs="仿宋_GB2312"/>
          <w:b w:val="0"/>
          <w:bCs w:val="0"/>
          <w:color w:val="auto"/>
          <w:sz w:val="32"/>
          <w:szCs w:val="32"/>
          <w:highlight w:val="none"/>
          <w:lang w:val="en" w:eastAsia="zh-CN"/>
        </w:rPr>
        <w:t>是农村基层治理仍存短板，组织振兴与产业振兴融合不够充分，文化振兴引领作用不够突出，农村人才振兴仍需持续推进。三是农民增收任务依然严峻，“四项收入”结构不均衡，农村居民人均可支配收入绝对值全市垫底，增收路径仍需不断拓宽。</w:t>
      </w:r>
    </w:p>
    <w:p w14:paraId="2E3D7B65">
      <w:pPr>
        <w:pStyle w:val="2"/>
        <w:rPr>
          <w:rFonts w:hint="eastAsia" w:ascii="仿宋_GB2312" w:hAnsi="仿宋_GB2312" w:eastAsia="仿宋_GB2312" w:cs="仿宋_GB2312"/>
          <w:b w:val="0"/>
          <w:bCs w:val="0"/>
          <w:color w:val="auto"/>
          <w:sz w:val="32"/>
          <w:szCs w:val="32"/>
          <w:highlight w:val="none"/>
          <w:lang w:val="en" w:eastAsia="zh-CN"/>
        </w:rPr>
      </w:pPr>
    </w:p>
    <w:p w14:paraId="33CC78C9">
      <w:pPr>
        <w:rPr>
          <w:rFonts w:hint="eastAsia" w:ascii="仿宋_GB2312" w:hAnsi="仿宋_GB2312" w:eastAsia="仿宋_GB2312" w:cs="仿宋_GB2312"/>
          <w:b w:val="0"/>
          <w:bCs w:val="0"/>
          <w:color w:val="auto"/>
          <w:sz w:val="32"/>
          <w:szCs w:val="32"/>
          <w:highlight w:val="none"/>
          <w:lang w:val="en" w:eastAsia="zh-CN"/>
        </w:rPr>
      </w:pPr>
    </w:p>
    <w:p w14:paraId="6C862A95">
      <w:pPr>
        <w:pStyle w:val="2"/>
        <w:rPr>
          <w:rFonts w:hint="eastAsia" w:ascii="仿宋_GB2312" w:hAnsi="仿宋_GB2312" w:eastAsia="仿宋_GB2312" w:cs="仿宋_GB2312"/>
          <w:b w:val="0"/>
          <w:bCs w:val="0"/>
          <w:color w:val="auto"/>
          <w:sz w:val="32"/>
          <w:szCs w:val="32"/>
          <w:highlight w:val="none"/>
          <w:lang w:val="en" w:eastAsia="zh-CN"/>
        </w:rPr>
      </w:pPr>
    </w:p>
    <w:p w14:paraId="454EAB91">
      <w:pPr>
        <w:rPr>
          <w:rFonts w:hint="eastAsia" w:ascii="仿宋_GB2312" w:hAnsi="仿宋_GB2312" w:eastAsia="仿宋_GB2312" w:cs="仿宋_GB2312"/>
          <w:b w:val="0"/>
          <w:bCs w:val="0"/>
          <w:color w:val="auto"/>
          <w:sz w:val="32"/>
          <w:szCs w:val="32"/>
          <w:highlight w:val="none"/>
          <w:lang w:val="en" w:eastAsia="zh-CN"/>
        </w:rPr>
      </w:pPr>
    </w:p>
    <w:p w14:paraId="4C3744F6">
      <w:pPr>
        <w:pStyle w:val="2"/>
        <w:rPr>
          <w:rFonts w:hint="eastAsia" w:ascii="仿宋_GB2312" w:hAnsi="仿宋_GB2312" w:eastAsia="仿宋_GB2312" w:cs="仿宋_GB2312"/>
          <w:b w:val="0"/>
          <w:bCs w:val="0"/>
          <w:color w:val="auto"/>
          <w:sz w:val="32"/>
          <w:szCs w:val="32"/>
          <w:highlight w:val="none"/>
          <w:lang w:val="en" w:eastAsia="zh-CN"/>
        </w:rPr>
      </w:pPr>
    </w:p>
    <w:p w14:paraId="77527FA3">
      <w:pPr>
        <w:rPr>
          <w:rFonts w:hint="eastAsia" w:ascii="仿宋_GB2312" w:hAnsi="仿宋_GB2312" w:eastAsia="仿宋_GB2312" w:cs="仿宋_GB2312"/>
          <w:b w:val="0"/>
          <w:bCs w:val="0"/>
          <w:color w:val="auto"/>
          <w:sz w:val="32"/>
          <w:szCs w:val="32"/>
          <w:highlight w:val="none"/>
          <w:lang w:val="en" w:eastAsia="zh-CN"/>
        </w:rPr>
      </w:pPr>
    </w:p>
    <w:p w14:paraId="5C5228BC">
      <w:pPr>
        <w:pStyle w:val="2"/>
        <w:rPr>
          <w:rFonts w:hint="eastAsia" w:ascii="仿宋_GB2312" w:hAnsi="仿宋_GB2312" w:eastAsia="仿宋_GB2312" w:cs="仿宋_GB2312"/>
          <w:b w:val="0"/>
          <w:bCs w:val="0"/>
          <w:color w:val="auto"/>
          <w:sz w:val="32"/>
          <w:szCs w:val="32"/>
          <w:highlight w:val="none"/>
          <w:lang w:val="en" w:eastAsia="zh-CN"/>
        </w:rPr>
      </w:pPr>
    </w:p>
    <w:p w14:paraId="7CC059A9">
      <w:pPr>
        <w:rPr>
          <w:rFonts w:hint="eastAsia" w:ascii="仿宋_GB2312" w:hAnsi="仿宋_GB2312" w:eastAsia="仿宋_GB2312" w:cs="仿宋_GB2312"/>
          <w:b w:val="0"/>
          <w:bCs w:val="0"/>
          <w:color w:val="auto"/>
          <w:sz w:val="32"/>
          <w:szCs w:val="32"/>
          <w:highlight w:val="none"/>
          <w:lang w:val="en" w:eastAsia="zh-CN"/>
        </w:rPr>
      </w:pPr>
    </w:p>
    <w:p w14:paraId="7BC1B2A5">
      <w:pPr>
        <w:pStyle w:val="2"/>
        <w:rPr>
          <w:rFonts w:hint="eastAsia" w:ascii="仿宋_GB2312" w:hAnsi="仿宋_GB2312" w:eastAsia="仿宋_GB2312" w:cs="仿宋_GB2312"/>
          <w:b w:val="0"/>
          <w:bCs w:val="0"/>
          <w:color w:val="auto"/>
          <w:sz w:val="32"/>
          <w:szCs w:val="32"/>
          <w:highlight w:val="none"/>
          <w:lang w:val="en" w:eastAsia="zh-CN"/>
        </w:rPr>
      </w:pPr>
    </w:p>
    <w:p w14:paraId="6E052397">
      <w:pPr>
        <w:rPr>
          <w:rFonts w:hint="eastAsia" w:ascii="仿宋_GB2312" w:hAnsi="仿宋_GB2312" w:eastAsia="仿宋_GB2312" w:cs="仿宋_GB2312"/>
          <w:b w:val="0"/>
          <w:bCs w:val="0"/>
          <w:color w:val="auto"/>
          <w:sz w:val="32"/>
          <w:szCs w:val="32"/>
          <w:highlight w:val="none"/>
          <w:lang w:val="en" w:eastAsia="zh-CN"/>
        </w:rPr>
      </w:pPr>
    </w:p>
    <w:p w14:paraId="26FFFC3A">
      <w:pPr>
        <w:pStyle w:val="2"/>
        <w:rPr>
          <w:rFonts w:hint="eastAsia" w:ascii="仿宋_GB2312" w:hAnsi="仿宋_GB2312" w:eastAsia="仿宋_GB2312" w:cs="仿宋_GB2312"/>
          <w:b w:val="0"/>
          <w:bCs w:val="0"/>
          <w:color w:val="auto"/>
          <w:sz w:val="32"/>
          <w:szCs w:val="32"/>
          <w:highlight w:val="none"/>
          <w:lang w:val="en" w:eastAsia="zh-CN"/>
        </w:rPr>
      </w:pPr>
    </w:p>
    <w:p w14:paraId="3DA3120F">
      <w:pPr>
        <w:rPr>
          <w:rFonts w:hint="eastAsia"/>
          <w:color w:val="auto"/>
          <w:highlight w:val="none"/>
          <w:lang w:val="en" w:eastAsia="zh-CN"/>
        </w:rPr>
      </w:pPr>
    </w:p>
    <w:p w14:paraId="3A24779B">
      <w:pPr>
        <w:pStyle w:val="2"/>
        <w:rPr>
          <w:rFonts w:hint="eastAsia" w:ascii="仿宋_GB2312" w:hAnsi="仿宋_GB2312" w:eastAsia="仿宋_GB2312" w:cs="仿宋_GB2312"/>
          <w:b w:val="0"/>
          <w:bCs w:val="0"/>
          <w:color w:val="auto"/>
          <w:sz w:val="32"/>
          <w:szCs w:val="32"/>
          <w:highlight w:val="none"/>
          <w:lang w:val="en" w:eastAsia="zh-CN"/>
        </w:rPr>
      </w:pPr>
    </w:p>
    <w:p w14:paraId="3F21422D">
      <w:pPr>
        <w:rPr>
          <w:rFonts w:hint="eastAsia" w:ascii="仿宋_GB2312" w:hAnsi="仿宋_GB2312" w:eastAsia="仿宋_GB2312" w:cs="仿宋_GB2312"/>
          <w:b w:val="0"/>
          <w:bCs w:val="0"/>
          <w:color w:val="auto"/>
          <w:sz w:val="32"/>
          <w:szCs w:val="32"/>
          <w:highlight w:val="none"/>
          <w:lang w:val="en" w:eastAsia="zh-CN"/>
        </w:rPr>
      </w:pPr>
    </w:p>
    <w:p w14:paraId="310F9A15">
      <w:pPr>
        <w:pStyle w:val="2"/>
        <w:rPr>
          <w:rFonts w:hint="eastAsia" w:ascii="仿宋_GB2312" w:hAnsi="仿宋_GB2312" w:eastAsia="仿宋_GB2312" w:cs="仿宋_GB2312"/>
          <w:b w:val="0"/>
          <w:bCs w:val="0"/>
          <w:color w:val="auto"/>
          <w:sz w:val="32"/>
          <w:szCs w:val="32"/>
          <w:highlight w:val="none"/>
          <w:lang w:val="en" w:eastAsia="zh-CN"/>
        </w:rPr>
      </w:pPr>
    </w:p>
    <w:p w14:paraId="7A9CD820">
      <w:pPr>
        <w:rPr>
          <w:rFonts w:hint="eastAsia" w:ascii="仿宋_GB2312" w:hAnsi="仿宋_GB2312" w:eastAsia="仿宋_GB2312" w:cs="仿宋_GB2312"/>
          <w:b w:val="0"/>
          <w:bCs w:val="0"/>
          <w:color w:val="auto"/>
          <w:sz w:val="32"/>
          <w:szCs w:val="32"/>
          <w:highlight w:val="none"/>
          <w:lang w:val="en" w:eastAsia="zh-CN"/>
        </w:rPr>
      </w:pPr>
    </w:p>
    <w:p w14:paraId="773A24A3">
      <w:pPr>
        <w:pStyle w:val="2"/>
        <w:rPr>
          <w:rFonts w:hint="eastAsia" w:ascii="仿宋_GB2312" w:hAnsi="仿宋_GB2312" w:eastAsia="仿宋_GB2312" w:cs="仿宋_GB2312"/>
          <w:b w:val="0"/>
          <w:bCs w:val="0"/>
          <w:color w:val="auto"/>
          <w:sz w:val="32"/>
          <w:szCs w:val="32"/>
          <w:highlight w:val="none"/>
          <w:lang w:val="en" w:eastAsia="zh-CN"/>
        </w:rPr>
      </w:pPr>
    </w:p>
    <w:p w14:paraId="7E5FF057">
      <w:pPr>
        <w:rPr>
          <w:rFonts w:hint="eastAsia" w:ascii="仿宋_GB2312" w:hAnsi="仿宋_GB2312" w:eastAsia="仿宋_GB2312" w:cs="仿宋_GB2312"/>
          <w:b w:val="0"/>
          <w:bCs w:val="0"/>
          <w:color w:val="auto"/>
          <w:sz w:val="32"/>
          <w:szCs w:val="32"/>
          <w:highlight w:val="none"/>
          <w:lang w:val="en" w:eastAsia="zh-CN"/>
        </w:rPr>
      </w:pPr>
    </w:p>
    <w:p w14:paraId="5EFDA628">
      <w:pPr>
        <w:ind w:left="0" w:leftChars="0" w:firstLine="0" w:firstLineChars="0"/>
        <w:rPr>
          <w:rFonts w:hint="eastAsia" w:ascii="仿宋_GB2312" w:hAnsi="仿宋_GB2312" w:eastAsia="仿宋_GB2312" w:cs="仿宋_GB2312"/>
          <w:b w:val="0"/>
          <w:bCs w:val="0"/>
          <w:color w:val="auto"/>
          <w:sz w:val="32"/>
          <w:szCs w:val="32"/>
          <w:highlight w:val="none"/>
          <w:lang w:val="en" w:eastAsia="zh-CN"/>
        </w:rPr>
        <w:sectPr>
          <w:footerReference r:id="rId8" w:type="default"/>
          <w:pgSz w:w="11906" w:h="16838"/>
          <w:pgMar w:top="1440" w:right="1800" w:bottom="1440" w:left="1800" w:header="851" w:footer="992" w:gutter="0"/>
          <w:pgNumType w:fmt="decimal"/>
          <w:cols w:space="425" w:num="1"/>
          <w:docGrid w:type="lines" w:linePitch="312" w:charSpace="0"/>
        </w:sectPr>
      </w:pPr>
    </w:p>
    <w:p w14:paraId="6DF5A573">
      <w:pPr>
        <w:pStyle w:val="3"/>
        <w:bidi w:val="0"/>
        <w:rPr>
          <w:rFonts w:hint="eastAsia"/>
          <w:color w:val="auto"/>
          <w:highlight w:val="none"/>
          <w:lang w:val="en-US" w:eastAsia="zh-CN"/>
        </w:rPr>
      </w:pPr>
      <w:bookmarkStart w:id="26" w:name="_Toc26282"/>
      <w:r>
        <w:rPr>
          <w:rFonts w:hint="eastAsia"/>
          <w:color w:val="auto"/>
          <w:highlight w:val="none"/>
          <w:lang w:val="en-US" w:eastAsia="zh-CN"/>
        </w:rPr>
        <w:t>二、“十五五”时期农业农村现代化发展面临的新形势</w:t>
      </w:r>
      <w:bookmarkEnd w:id="24"/>
      <w:bookmarkEnd w:id="25"/>
      <w:bookmarkEnd w:id="26"/>
    </w:p>
    <w:p w14:paraId="6D67696D">
      <w:pPr>
        <w:pStyle w:val="4"/>
        <w:bidi w:val="0"/>
        <w:rPr>
          <w:rFonts w:hint="eastAsia"/>
          <w:color w:val="auto"/>
          <w:highlight w:val="none"/>
          <w:lang w:val="en-US" w:eastAsia="zh-CN"/>
        </w:rPr>
      </w:pPr>
      <w:bookmarkStart w:id="27" w:name="_Toc7630"/>
      <w:r>
        <w:rPr>
          <w:rFonts w:hint="eastAsia"/>
          <w:color w:val="auto"/>
          <w:highlight w:val="none"/>
          <w:lang w:val="en-US" w:eastAsia="zh-CN"/>
        </w:rPr>
        <w:t>（一）重要机遇</w:t>
      </w:r>
      <w:bookmarkEnd w:id="27"/>
    </w:p>
    <w:p w14:paraId="29E3C91C">
      <w:pPr>
        <w:bidi w:val="0"/>
        <w:rPr>
          <w:rFonts w:hint="eastAsia"/>
          <w:color w:val="auto"/>
          <w:highlight w:val="none"/>
          <w:lang w:val="en-US" w:eastAsia="zh-CN"/>
        </w:rPr>
      </w:pPr>
      <w:r>
        <w:rPr>
          <w:rFonts w:hint="eastAsia"/>
          <w:color w:val="auto"/>
          <w:highlight w:val="none"/>
          <w:lang w:val="en-US" w:eastAsia="zh-CN"/>
        </w:rPr>
        <w:t>“十五五”时期，是全面建设社会主义现代化国家的攻坚期，是首都打造人与自然和谐共生典范城市的关键期，也是延庆区深化“长城”“冬奥”“世园”遗产赋能、建设生态文明幸福新城的重要阶段。综合分析，立足北京市发展战略，延庆区推进农业农村现代化面临四大机遇。</w:t>
      </w:r>
    </w:p>
    <w:p w14:paraId="4FD82257">
      <w:pPr>
        <w:bidi w:val="0"/>
        <w:rPr>
          <w:rFonts w:hint="eastAsia"/>
          <w:color w:val="auto"/>
          <w:highlight w:val="none"/>
          <w:lang w:val="en-US" w:eastAsia="zh-CN"/>
        </w:rPr>
      </w:pPr>
      <w:r>
        <w:rPr>
          <w:rFonts w:hint="eastAsia"/>
          <w:color w:val="auto"/>
          <w:highlight w:val="none"/>
          <w:lang w:val="en-US" w:eastAsia="zh-CN"/>
        </w:rPr>
        <w:t>1.首都生态安全与绿色发展的核心支撑​</w:t>
      </w:r>
    </w:p>
    <w:p w14:paraId="19737991">
      <w:pPr>
        <w:bidi w:val="0"/>
        <w:rPr>
          <w:rFonts w:hint="eastAsia"/>
          <w:color w:val="auto"/>
          <w:highlight w:val="none"/>
          <w:lang w:val="en-US" w:eastAsia="zh-CN"/>
        </w:rPr>
      </w:pPr>
      <w:r>
        <w:rPr>
          <w:rFonts w:hint="eastAsia"/>
          <w:color w:val="auto"/>
          <w:highlight w:val="none"/>
          <w:lang w:val="en-US" w:eastAsia="zh-CN"/>
        </w:rPr>
        <w:t>生态涵养区功能深化：作为北京市生态涵养区的重要组成部分，延庆区承担着保障首都水源安全、空气质量提升和生物多样性保护的核心职能。北京市“十四五”规划明确提出“强化生态涵养区生态保护和绿色发展”，延庆可通过生态补偿机制、碳汇交易试点等政策，将生态资源转化为经济价值。</w:t>
      </w:r>
    </w:p>
    <w:p w14:paraId="7DE6AF21">
      <w:pPr>
        <w:bidi w:val="0"/>
        <w:rPr>
          <w:rFonts w:hint="eastAsia"/>
          <w:color w:val="auto"/>
          <w:highlight w:val="none"/>
          <w:lang w:val="en-US" w:eastAsia="zh-CN"/>
        </w:rPr>
      </w:pPr>
      <w:r>
        <w:rPr>
          <w:rFonts w:hint="eastAsia"/>
          <w:color w:val="auto"/>
          <w:highlight w:val="none"/>
          <w:lang w:val="en-US" w:eastAsia="zh-CN"/>
        </w:rPr>
        <w:t>绿色农业示范引领：延庆是北京市唯一的“国家有机产品认证示范区”，其有机农业规模和产量居生态涵养区首位。北京市推动“农业中关村”建设背景下，延庆可依托“妫水农耕”区域公用品牌，进一步整合京津冀优质农产品资源，成为首都绿色农产品供应基地和高端消费市场的重要来源。</w:t>
      </w:r>
    </w:p>
    <w:p w14:paraId="325A55D9">
      <w:pPr>
        <w:bidi w:val="0"/>
        <w:rPr>
          <w:rFonts w:hint="eastAsia"/>
          <w:color w:val="auto"/>
          <w:highlight w:val="none"/>
          <w:lang w:val="en-US" w:eastAsia="zh-CN"/>
        </w:rPr>
      </w:pPr>
      <w:r>
        <w:rPr>
          <w:rFonts w:hint="eastAsia"/>
          <w:color w:val="auto"/>
          <w:highlight w:val="none"/>
          <w:lang w:val="en-US" w:eastAsia="zh-CN"/>
        </w:rPr>
        <w:t>2.首都都市型农业升级的试验田​</w:t>
      </w:r>
    </w:p>
    <w:p w14:paraId="142AFAC4">
      <w:pPr>
        <w:bidi w:val="0"/>
        <w:rPr>
          <w:rFonts w:hint="eastAsia"/>
          <w:color w:val="auto"/>
          <w:highlight w:val="none"/>
          <w:lang w:val="en-US" w:eastAsia="zh-CN"/>
        </w:rPr>
      </w:pPr>
      <w:r>
        <w:rPr>
          <w:rFonts w:hint="eastAsia"/>
          <w:color w:val="auto"/>
          <w:highlight w:val="none"/>
          <w:lang w:val="en-US" w:eastAsia="zh-CN"/>
        </w:rPr>
        <w:t>现代都市农业创新：北京市提出“大城市带动大京郊”战略，延庆区已通过农文旅融合和数字技术应用探索现代都市农业路径。未来可借助中关村延庆园的科技资源，推动农业与AI、物联网技术结合。</w:t>
      </w:r>
    </w:p>
    <w:p w14:paraId="61568F49">
      <w:pPr>
        <w:bidi w:val="0"/>
        <w:rPr>
          <w:rFonts w:hint="eastAsia"/>
          <w:color w:val="auto"/>
          <w:highlight w:val="none"/>
          <w:lang w:val="en-US" w:eastAsia="zh-CN"/>
        </w:rPr>
      </w:pPr>
      <w:r>
        <w:rPr>
          <w:rFonts w:hint="eastAsia"/>
          <w:color w:val="auto"/>
          <w:highlight w:val="none"/>
          <w:lang w:val="en-US" w:eastAsia="zh-CN"/>
        </w:rPr>
        <w:t>高品质消费需求对接：随着首都居民对健康食品和休闲体验需求增长，延庆的有机蔬菜、灵芝等高附加值产品可通过电商和高端商超渠道扩大市场占有率，同时结合民宿集群打造“农业+康养+旅游”的高端消费场景。</w:t>
      </w:r>
    </w:p>
    <w:p w14:paraId="3373921F">
      <w:pPr>
        <w:bidi w:val="0"/>
        <w:rPr>
          <w:rFonts w:hint="eastAsia"/>
          <w:color w:val="auto"/>
          <w:highlight w:val="none"/>
          <w:lang w:val="en-US" w:eastAsia="zh-CN"/>
        </w:rPr>
      </w:pPr>
      <w:r>
        <w:rPr>
          <w:rFonts w:hint="eastAsia"/>
          <w:color w:val="auto"/>
          <w:highlight w:val="none"/>
          <w:lang w:val="en-US" w:eastAsia="zh-CN"/>
        </w:rPr>
        <w:t>3.京津冀协同下的区域联动机遇​</w:t>
      </w:r>
    </w:p>
    <w:p w14:paraId="534C8D76">
      <w:pPr>
        <w:bidi w:val="0"/>
        <w:rPr>
          <w:rFonts w:hint="eastAsia"/>
          <w:color w:val="auto"/>
          <w:highlight w:val="none"/>
          <w:lang w:val="en-US" w:eastAsia="zh-CN"/>
        </w:rPr>
      </w:pPr>
      <w:r>
        <w:rPr>
          <w:rFonts w:hint="eastAsia"/>
          <w:color w:val="auto"/>
          <w:highlight w:val="none"/>
          <w:lang w:val="en-US" w:eastAsia="zh-CN"/>
        </w:rPr>
        <w:t>产业链协同互补：北京市推动京津冀农业协同发展，延庆可发挥“延怀赤”三地合作基础，与河北、内蒙古共建跨区域产业链。如“妫水农耕”品牌已纳入张家口、内蒙古优质农产品，未来可进一步整合三地资源，形成“研发－生产－销售”一体化网络。</w:t>
      </w:r>
    </w:p>
    <w:p w14:paraId="2980793E">
      <w:pPr>
        <w:bidi w:val="0"/>
        <w:rPr>
          <w:rFonts w:hint="eastAsia"/>
          <w:color w:val="auto"/>
          <w:highlight w:val="none"/>
          <w:lang w:val="en-US" w:eastAsia="zh-CN"/>
        </w:rPr>
      </w:pPr>
      <w:r>
        <w:rPr>
          <w:rFonts w:hint="eastAsia"/>
          <w:color w:val="auto"/>
          <w:highlight w:val="none"/>
          <w:lang w:val="en-US" w:eastAsia="zh-CN"/>
        </w:rPr>
        <w:t>公共服务与基础设施共享：北京市“十四五”规划强调城乡基础设施均衡化，延庆可依托京张高铁、京礼高速等交通优势，承接首都教育、医疗资源下沉，提升农村公共服务水平，吸引人才返乡创业，增强乡村发展内生动力。</w:t>
      </w:r>
    </w:p>
    <w:p w14:paraId="5032DECE">
      <w:pPr>
        <w:bidi w:val="0"/>
        <w:rPr>
          <w:rFonts w:hint="eastAsia"/>
          <w:color w:val="auto"/>
          <w:highlight w:val="none"/>
          <w:lang w:val="en-US" w:eastAsia="zh-CN"/>
        </w:rPr>
      </w:pPr>
      <w:r>
        <w:rPr>
          <w:rFonts w:hint="eastAsia"/>
          <w:color w:val="auto"/>
          <w:highlight w:val="none"/>
          <w:lang w:val="en-US" w:eastAsia="zh-CN"/>
        </w:rPr>
        <w:t>4.政策与改革试点的先行优势​</w:t>
      </w:r>
    </w:p>
    <w:p w14:paraId="5768B29A">
      <w:pPr>
        <w:bidi w:val="0"/>
        <w:rPr>
          <w:rFonts w:hint="eastAsia"/>
          <w:color w:val="auto"/>
          <w:highlight w:val="none"/>
          <w:lang w:val="en-US" w:eastAsia="zh-CN"/>
        </w:rPr>
      </w:pPr>
      <w:r>
        <w:rPr>
          <w:rFonts w:hint="eastAsia"/>
          <w:color w:val="auto"/>
          <w:highlight w:val="none"/>
          <w:lang w:val="en-US" w:eastAsia="zh-CN"/>
        </w:rPr>
        <w:t>国家级试点项目赋能：延庆作为全国休闲农业重点县和“两山”实践创新基地，可争取北京市对生态补偿、集体经营性建设用地入市等政策的倾斜支持。</w:t>
      </w:r>
    </w:p>
    <w:p w14:paraId="58A711E5">
      <w:pPr>
        <w:bidi w:val="0"/>
        <w:rPr>
          <w:rFonts w:hint="eastAsia"/>
          <w:color w:val="auto"/>
          <w:highlight w:val="none"/>
          <w:lang w:val="en-US" w:eastAsia="zh-CN"/>
        </w:rPr>
      </w:pPr>
      <w:r>
        <w:rPr>
          <w:rFonts w:hint="eastAsia"/>
          <w:color w:val="auto"/>
          <w:highlight w:val="none"/>
          <w:lang w:val="en-US" w:eastAsia="zh-CN"/>
        </w:rPr>
        <w:t>数字乡村与低碳转型：北京市推进“数字乡村”建设中，延庆可依托煤改电智能管护平台和“乡村振兴主播团”等数字化实践，探索农业减排固碳技术应用，打造首都碳中和乡村示范样板。</w:t>
      </w:r>
    </w:p>
    <w:p w14:paraId="602D0FD3">
      <w:pPr>
        <w:bidi w:val="0"/>
        <w:rPr>
          <w:rFonts w:hint="default"/>
          <w:color w:val="auto"/>
          <w:highlight w:val="none"/>
          <w:lang w:val="en-US" w:eastAsia="zh-CN"/>
        </w:rPr>
      </w:pPr>
      <w:r>
        <w:rPr>
          <w:rFonts w:hint="eastAsia"/>
          <w:color w:val="auto"/>
          <w:highlight w:val="none"/>
          <w:lang w:val="en-US" w:eastAsia="zh-CN"/>
        </w:rPr>
        <w:t>基于北京市农业农村现代化战略发展，延庆区在生态价值转化（首都生态屏障）、都市农业升级（科技+品牌驱动）、区域协同红利（京津冀一体化）、政策创新试点（改革先行区）方面具有较大的机遇。在“十五五”时期，延庆将持续通过强化与市级规划衔接、深化跨区域合作、激活科技与品牌双引擎，将机遇转化为农业农村现代化的实际动能。</w:t>
      </w:r>
    </w:p>
    <w:p w14:paraId="29766E8A">
      <w:pPr>
        <w:pStyle w:val="4"/>
        <w:bidi w:val="0"/>
        <w:rPr>
          <w:rFonts w:hint="default"/>
          <w:color w:val="auto"/>
          <w:highlight w:val="none"/>
          <w:lang w:val="en-US" w:eastAsia="zh-CN"/>
        </w:rPr>
      </w:pPr>
      <w:bookmarkStart w:id="28" w:name="_Toc17996"/>
      <w:r>
        <w:rPr>
          <w:rFonts w:hint="eastAsia"/>
          <w:color w:val="auto"/>
          <w:highlight w:val="none"/>
          <w:lang w:val="en-US" w:eastAsia="zh-CN"/>
        </w:rPr>
        <w:t>（二）面临挑战</w:t>
      </w:r>
      <w:bookmarkEnd w:id="28"/>
    </w:p>
    <w:p w14:paraId="1816F918">
      <w:pPr>
        <w:bidi w:val="0"/>
        <w:rPr>
          <w:rFonts w:hint="eastAsia"/>
          <w:color w:val="auto"/>
          <w:highlight w:val="none"/>
          <w:lang w:val="en-US" w:eastAsia="zh-CN"/>
        </w:rPr>
      </w:pPr>
      <w:bookmarkStart w:id="29" w:name="_Toc19291"/>
      <w:r>
        <w:rPr>
          <w:rFonts w:hint="eastAsia"/>
          <w:color w:val="auto"/>
          <w:highlight w:val="none"/>
          <w:lang w:val="en-US" w:eastAsia="zh-CN"/>
        </w:rPr>
        <w:t>1.农业产业规模化与科技转化能力不足：一是规模化经营水平有待提升。农业产业仍存在“散、小、弱”特征，集体经济组织对资源的整合能力有限，土地集约化利用效率不足，规模化养殖空间受限。部分村庄仍依赖传统种植模式，鲜食玉米、有机蔬菜等特色产业尚未形成全产业链布局，附加值较低，农业科技应用存在“最后一公里”障碍。二是新质生产力转化效率低，尽管已引入滴灌、无人机飞防等技术，但农业数字化、智慧化水平与都市型现代农业要求仍有差距，数据平台整合能力较弱，涉农信息资源分散。</w:t>
      </w:r>
    </w:p>
    <w:p w14:paraId="62B19B22">
      <w:pPr>
        <w:bidi w:val="0"/>
        <w:rPr>
          <w:rFonts w:hint="eastAsia"/>
          <w:color w:val="auto"/>
          <w:highlight w:val="none"/>
          <w:lang w:val="en-US" w:eastAsia="zh-CN"/>
        </w:rPr>
      </w:pPr>
      <w:r>
        <w:rPr>
          <w:rFonts w:hint="eastAsia"/>
          <w:color w:val="auto"/>
          <w:highlight w:val="none"/>
          <w:lang w:val="en-US" w:eastAsia="zh-CN"/>
        </w:rPr>
        <w:t>2.农村集体经济与资源盘活机制待优化：一是集体经济内生动力不足，部分村庄经营性收入依赖政策扶持，自主造血能力弱。闲置资源（如宅基地、校舍）的盘活利用仍以点状项目为主，未形成可持续的村企合作、村村抱团发展模式。二是利益联结机制需深化，农民专业合作社与村集体经济组织的资源配置效率不高，农民“入股分红”比例偏低，三产融合的增值收益分配机制尚未完善。</w:t>
      </w:r>
    </w:p>
    <w:p w14:paraId="45DA99B9">
      <w:pPr>
        <w:bidi w:val="0"/>
        <w:rPr>
          <w:rFonts w:hint="eastAsia"/>
          <w:color w:val="auto"/>
          <w:highlight w:val="none"/>
          <w:lang w:val="en-US" w:eastAsia="zh-CN"/>
        </w:rPr>
      </w:pPr>
      <w:r>
        <w:rPr>
          <w:rFonts w:hint="eastAsia"/>
          <w:color w:val="auto"/>
          <w:highlight w:val="none"/>
          <w:lang w:val="en-US" w:eastAsia="zh-CN"/>
        </w:rPr>
        <w:t>3.基础设施与长效管护机制存在短板：一是农村基础设施运维压力大，美丽乡村建设中部分工程（如煤改电设备、污水处理设施）分布零散，后期维护成本高，村级管护人员专业能力不足。清洁取暖、垃圾处理等设施智能化管理水平有限，部分村庄仍存在设备故障响应延迟问题。二是人居环境整治需常态化，部分村庄环境整治存在“重建轻管”现象。</w:t>
      </w:r>
    </w:p>
    <w:p w14:paraId="24B8C39E">
      <w:pPr>
        <w:bidi w:val="0"/>
        <w:rPr>
          <w:rFonts w:hint="eastAsia"/>
          <w:color w:val="auto"/>
          <w:highlight w:val="none"/>
          <w:lang w:val="en-US" w:eastAsia="zh-CN"/>
        </w:rPr>
      </w:pPr>
      <w:r>
        <w:rPr>
          <w:rFonts w:hint="eastAsia"/>
          <w:color w:val="auto"/>
          <w:highlight w:val="none"/>
          <w:lang w:val="en-US" w:eastAsia="zh-CN"/>
        </w:rPr>
        <w:t>4.品牌建设与市场体系不健全：一是区域品牌溢价能力有限，“妫水农耕”等公用品牌的市场认知度仍局限于本地，缺乏全国性营销渠道和高端市场布局，导致优质农产品溢价空间不足。二是三产融合深度不足，农文旅项目同质化现象突出（如民宿集群），缺乏差异化IP和体验式消费场景，乡村旅游收入增速（2024年为10%）与资源潜力不匹配。</w:t>
      </w:r>
    </w:p>
    <w:p w14:paraId="5632C234">
      <w:pPr>
        <w:bidi w:val="0"/>
        <w:rPr>
          <w:rFonts w:hint="eastAsia"/>
          <w:color w:val="auto"/>
          <w:highlight w:val="none"/>
          <w:lang w:val="en-US" w:eastAsia="zh-CN"/>
        </w:rPr>
      </w:pPr>
      <w:r>
        <w:rPr>
          <w:rFonts w:hint="eastAsia"/>
          <w:color w:val="auto"/>
          <w:highlight w:val="none"/>
          <w:lang w:val="en-US" w:eastAsia="zh-CN"/>
        </w:rPr>
        <w:t>5.农民持续增收与人才支撑难题：一是增收渠道单一化，农民经营性收入占比偏低，财产性收入（如土地流转、入股分红）增长缓慢，部分农民仍依赖传统种植和短期务工。二是乡村空心化、老龄化加剧，新型经营主体专业人才不足，农业技术人才和“新农人”队伍规模不足，80余名乡村振兴主播尚未形成全域覆盖的带动效应，乡村创业孵化平台建设滞后。乡居民收入比1.97:1，与目标（1.85:1）仍有差距。</w:t>
      </w:r>
    </w:p>
    <w:p w14:paraId="1952BDB2">
      <w:pPr>
        <w:bidi w:val="0"/>
        <w:rPr>
          <w:rFonts w:hint="eastAsia"/>
          <w:color w:val="auto"/>
          <w:highlight w:val="none"/>
          <w:lang w:val="en-US" w:eastAsia="zh-CN"/>
        </w:rPr>
      </w:pPr>
      <w:r>
        <w:rPr>
          <w:rFonts w:hint="eastAsia"/>
          <w:color w:val="auto"/>
          <w:highlight w:val="none"/>
          <w:lang w:val="en-US" w:eastAsia="zh-CN"/>
        </w:rPr>
        <w:t>6.生态保护与面源污染防治压力：一是农业面源污染治理需强化，化肥、农药利用率仍低于全国先进水平，畜禽粪污资源化利用的末端处理设施不足，地膜残留问题尚未完全解决。二是生态价值转化路径待探索，碳汇交易、生态补偿等市场化机制尚未成熟，生态优势向经济优势的转化效率有限。</w:t>
      </w:r>
    </w:p>
    <w:p w14:paraId="6E82BEE6">
      <w:pPr>
        <w:bidi w:val="0"/>
        <w:rPr>
          <w:rFonts w:hint="eastAsia" w:ascii="仿宋_GB2312" w:hAnsi="仿宋_GB2312" w:eastAsia="仿宋_GB2312" w:cs="仿宋_GB2312"/>
          <w:color w:val="auto"/>
          <w:kern w:val="2"/>
          <w:szCs w:val="32"/>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color w:val="auto"/>
          <w:highlight w:val="none"/>
          <w:lang w:val="en-US" w:eastAsia="zh-CN"/>
        </w:rPr>
        <w:t>新阶段，“三农”仍是延庆全域高质量发展的根基所在。全区必须坚持生态优先、科技赋能、民生为本，统筹发展和安全，以绿色农业提质增效、美丽乡村精治善治、农民共富机制创新为主线，破解生态约束与发展需求的矛盾，探索一条“冰雪赋能、生态增值、农旅共兴”的现代化新路径，奋力打造首都生态型农业农村现代化标杆区</w:t>
      </w:r>
      <w:r>
        <w:rPr>
          <w:rFonts w:hint="eastAsia" w:ascii="仿宋_GB2312" w:hAnsi="仿宋_GB2312" w:eastAsia="仿宋_GB2312" w:cs="仿宋_GB2312"/>
          <w:color w:val="auto"/>
          <w:kern w:val="2"/>
          <w:szCs w:val="32"/>
          <w:highlight w:val="none"/>
          <w:lang w:val="en-US" w:eastAsia="zh-CN" w:bidi="ar-SA"/>
        </w:rPr>
        <w:t>。</w:t>
      </w:r>
    </w:p>
    <w:p w14:paraId="7FFCFDC5">
      <w:pPr>
        <w:pStyle w:val="3"/>
        <w:bidi w:val="0"/>
        <w:rPr>
          <w:rFonts w:hint="eastAsia"/>
          <w:color w:val="auto"/>
          <w:highlight w:val="none"/>
          <w:lang w:val="en-US" w:eastAsia="zh-CN"/>
        </w:rPr>
      </w:pPr>
      <w:bookmarkStart w:id="30" w:name="_Toc30641"/>
      <w:bookmarkStart w:id="31" w:name="_Toc13568"/>
      <w:r>
        <w:rPr>
          <w:rFonts w:hint="eastAsia"/>
          <w:color w:val="auto"/>
          <w:highlight w:val="none"/>
          <w:lang w:val="en-US" w:eastAsia="zh-CN"/>
        </w:rPr>
        <w:t>三、“十五五”发展思路及发展目标</w:t>
      </w:r>
      <w:bookmarkEnd w:id="29"/>
      <w:bookmarkEnd w:id="30"/>
      <w:bookmarkEnd w:id="31"/>
    </w:p>
    <w:p w14:paraId="3D44D870">
      <w:pPr>
        <w:pStyle w:val="4"/>
        <w:bidi w:val="0"/>
        <w:rPr>
          <w:rFonts w:hint="eastAsia"/>
          <w:color w:val="auto"/>
          <w:highlight w:val="none"/>
          <w:lang w:val="en-US" w:eastAsia="zh-CN"/>
        </w:rPr>
      </w:pPr>
      <w:bookmarkStart w:id="32" w:name="_Toc31374"/>
      <w:r>
        <w:rPr>
          <w:rFonts w:hint="eastAsia"/>
          <w:color w:val="auto"/>
          <w:highlight w:val="none"/>
          <w:lang w:val="en-US" w:eastAsia="zh-CN"/>
        </w:rPr>
        <w:t>（一）发展思路</w:t>
      </w:r>
      <w:bookmarkEnd w:id="32"/>
    </w:p>
    <w:p w14:paraId="5FF835CE">
      <w:pPr>
        <w:bidi w:val="0"/>
        <w:rPr>
          <w:rFonts w:hint="eastAsia"/>
          <w:color w:val="auto"/>
          <w:highlight w:val="none"/>
          <w:lang w:val="en-US" w:eastAsia="zh-CN"/>
        </w:rPr>
      </w:pPr>
      <w:r>
        <w:rPr>
          <w:rFonts w:hint="eastAsia"/>
          <w:color w:val="auto"/>
          <w:highlight w:val="none"/>
          <w:lang w:val="en-US" w:eastAsia="zh-CN"/>
        </w:rPr>
        <w:t>以习近平新时代中国特色社会主义思想为根本遵循，全面贯彻党的二十大和二十届二中、三中全会精神，立足首都功能新要求、京津冀协同发展新坐标，牢牢把握新发展阶段历史方位，完整、准确、全面贯彻创新、协调、绿色、开放、共享的新发展理念，深度融入服务首都新发展格局。坚持稳中求进工作总基调，坚持和加强党对“三农”工作的全面领导，坚持农业农村优先发展，坚定不移推动城市现代化与农业农村现代化一体规划、协同推进。紧扣首都西北部生态涵养区核心功能与延庆区建设生态文明幸福新城战略目标，以筑牢首都生态屏障、服务市民美好生活为统领，以推动农业农村绿色高质量发展为主题，以深化生态型农业供给侧结构性改革为主线，以科技创新和制度创新为双轮驱动，以实现人民对宜居环境、生态产品、共同富裕的向往为根本目的。</w:t>
      </w:r>
    </w:p>
    <w:p w14:paraId="01635DCC">
      <w:pPr>
        <w:bidi w:val="0"/>
        <w:rPr>
          <w:rFonts w:hint="eastAsia"/>
          <w:color w:val="auto"/>
          <w:highlight w:val="none"/>
          <w:lang w:val="en-US" w:eastAsia="zh-CN"/>
        </w:rPr>
      </w:pPr>
      <w:r>
        <w:rPr>
          <w:rFonts w:hint="eastAsia"/>
          <w:color w:val="auto"/>
          <w:highlight w:val="none"/>
          <w:lang w:val="en-US" w:eastAsia="zh-CN"/>
        </w:rPr>
        <w:t>聚焦“冬奥世园”遗产赋能、中关村延庆园技术转化、国家全域旅游示范区建设三大抓手，强化产业生态化融合、乡村精治化提升、农民主体性激活，加快构建生态增值、农旅互促、城乡共荣的现代化发展体系，全力打造首都绿色农业先行区、碳中和乡村样板区、宜居宜业和美山区，走出一条绿水青山就是金山银山的延庆实践之路。</w:t>
      </w:r>
    </w:p>
    <w:p w14:paraId="6DDC8EEA">
      <w:pPr>
        <w:pStyle w:val="4"/>
        <w:bidi w:val="0"/>
        <w:rPr>
          <w:rFonts w:hint="eastAsia"/>
          <w:color w:val="auto"/>
          <w:highlight w:val="none"/>
          <w:lang w:val="en-US" w:eastAsia="zh-CN"/>
        </w:rPr>
      </w:pPr>
      <w:bookmarkStart w:id="33" w:name="_Toc3802"/>
      <w:bookmarkStart w:id="34" w:name="_Toc22102"/>
      <w:bookmarkStart w:id="35" w:name="_Toc19074"/>
      <w:r>
        <w:rPr>
          <w:rFonts w:hint="eastAsia"/>
          <w:color w:val="auto"/>
          <w:highlight w:val="none"/>
          <w:lang w:val="en-US" w:eastAsia="zh-CN"/>
        </w:rPr>
        <w:t>（二）基本原则</w:t>
      </w:r>
      <w:bookmarkEnd w:id="33"/>
      <w:bookmarkEnd w:id="34"/>
      <w:bookmarkEnd w:id="35"/>
    </w:p>
    <w:p w14:paraId="10374332">
      <w:pPr>
        <w:bidi w:val="0"/>
        <w:rPr>
          <w:rFonts w:hint="eastAsia"/>
          <w:color w:val="auto"/>
          <w:highlight w:val="none"/>
          <w:lang w:val="en-US" w:eastAsia="zh-CN"/>
        </w:rPr>
      </w:pPr>
      <w:r>
        <w:rPr>
          <w:rFonts w:hint="eastAsia"/>
          <w:color w:val="auto"/>
          <w:highlight w:val="none"/>
          <w:lang w:val="en-US" w:eastAsia="zh-CN"/>
        </w:rPr>
        <w:t>1.生态优先，绿色发展。严守生态保护红线，统筹山水林田湖草系统治理，推动农业低碳循环转型，构建生态产品价值实现机制，筑牢首都西北生态安全屏障。牢固树立和践行绿水青山就是金山银山的理念，率先实现生产、流通、消费各环节绿色化、循环化、低碳化，形成产出高效、产品安全、资源节约、环境友好、人与自然和谐发展的农业农村现代化新格局。</w:t>
      </w:r>
    </w:p>
    <w:p w14:paraId="42A4F61B">
      <w:pPr>
        <w:bidi w:val="0"/>
        <w:rPr>
          <w:rFonts w:hint="eastAsia"/>
          <w:color w:val="auto"/>
          <w:highlight w:val="none"/>
          <w:lang w:val="en-US" w:eastAsia="zh-CN"/>
        </w:rPr>
      </w:pPr>
      <w:r>
        <w:rPr>
          <w:rFonts w:hint="eastAsia"/>
          <w:color w:val="auto"/>
          <w:highlight w:val="none"/>
          <w:lang w:val="en-US" w:eastAsia="zh-CN"/>
        </w:rPr>
        <w:t>2.科技赋能，创新驱动。发挥中关村延庆园科创优势，强化数字技术、生物技术、智能装备在农业生产、乡村治理中的应用，以技术创新破解资源约束、提升质量效益。大力推动科技创新、业态创新和模式创新，加快发展乡村数字经济。</w:t>
      </w:r>
    </w:p>
    <w:p w14:paraId="08CC1660">
      <w:pPr>
        <w:bidi w:val="0"/>
        <w:rPr>
          <w:rFonts w:hint="eastAsia"/>
          <w:color w:val="auto"/>
          <w:highlight w:val="none"/>
          <w:lang w:val="en-US" w:eastAsia="zh-CN"/>
        </w:rPr>
      </w:pPr>
      <w:r>
        <w:rPr>
          <w:rFonts w:hint="eastAsia"/>
          <w:color w:val="auto"/>
          <w:highlight w:val="none"/>
          <w:lang w:val="en-US" w:eastAsia="zh-CN"/>
        </w:rPr>
        <w:t>3.城乡融合，一体推进。统筹新型城镇化与乡村振兴，深化城乡基础设施互联互通、公共服务普惠共享，推动人才、资本、技术下乡，破除二元结构壁垒。</w:t>
      </w:r>
    </w:p>
    <w:p w14:paraId="2E4C032B">
      <w:pPr>
        <w:bidi w:val="0"/>
        <w:rPr>
          <w:rFonts w:hint="eastAsia"/>
          <w:color w:val="auto"/>
          <w:highlight w:val="none"/>
          <w:lang w:val="en-US" w:eastAsia="zh-CN"/>
        </w:rPr>
      </w:pPr>
      <w:r>
        <w:rPr>
          <w:rFonts w:hint="eastAsia"/>
          <w:color w:val="auto"/>
          <w:highlight w:val="none"/>
          <w:lang w:val="en-US" w:eastAsia="zh-CN"/>
        </w:rPr>
        <w:t>4.破除瓶颈，促农增收。完善联农带农利益联结机制，培育高素质新型职业农民，提高农民就业质量，盘活农村资产资源，深化经营管理体制改革，激发内生动力，确保发展成果惠及全体农民。</w:t>
      </w:r>
    </w:p>
    <w:p w14:paraId="06950440">
      <w:pPr>
        <w:bidi w:val="0"/>
        <w:rPr>
          <w:rFonts w:hint="eastAsia"/>
          <w:color w:val="auto"/>
          <w:highlight w:val="none"/>
        </w:rPr>
      </w:pPr>
      <w:r>
        <w:rPr>
          <w:rFonts w:hint="eastAsia"/>
          <w:color w:val="auto"/>
          <w:highlight w:val="none"/>
          <w:lang w:val="en-US" w:eastAsia="zh-CN"/>
        </w:rPr>
        <w:t>5.品牌引领，特色发展。依托“冬奥”“世园”世界级IP和“妫水农耕”区域品牌，深耕有机农业、冰雪农旅、生态康养等特色业态，实现文旅体商农有机融合。</w:t>
      </w:r>
    </w:p>
    <w:p w14:paraId="26200CCA">
      <w:pPr>
        <w:bidi w:val="0"/>
        <w:rPr>
          <w:rFonts w:hint="eastAsia"/>
          <w:color w:val="auto"/>
          <w:highlight w:val="none"/>
          <w:lang w:val="en-US" w:eastAsia="zh-CN"/>
        </w:rPr>
      </w:pPr>
      <w:r>
        <w:rPr>
          <w:rFonts w:hint="eastAsia"/>
          <w:color w:val="auto"/>
          <w:highlight w:val="none"/>
          <w:lang w:val="en-US" w:eastAsia="zh-CN"/>
        </w:rPr>
        <w:t>6.精治长效，系统治理。</w:t>
      </w:r>
      <w:bookmarkStart w:id="36" w:name="_Toc5218"/>
      <w:r>
        <w:rPr>
          <w:rFonts w:hint="eastAsia"/>
          <w:color w:val="auto"/>
          <w:highlight w:val="none"/>
          <w:lang w:val="en-US" w:eastAsia="zh-CN"/>
        </w:rPr>
        <w:t>强化乡村建设与管护并重，健全人居环境长效管护机制，推动自治、法治、德治融合，提升接诉即办效能，建设善治乡村。</w:t>
      </w:r>
    </w:p>
    <w:bookmarkEnd w:id="36"/>
    <w:p w14:paraId="2C07D131">
      <w:pPr>
        <w:pStyle w:val="4"/>
        <w:bidi w:val="0"/>
        <w:rPr>
          <w:rFonts w:hint="eastAsia"/>
          <w:color w:val="auto"/>
          <w:highlight w:val="none"/>
          <w:lang w:val="en-US" w:eastAsia="zh-CN"/>
        </w:rPr>
      </w:pPr>
      <w:bookmarkStart w:id="37" w:name="_Toc22868"/>
      <w:bookmarkStart w:id="38" w:name="_Toc8877"/>
      <w:bookmarkStart w:id="39" w:name="_Toc9716"/>
      <w:r>
        <w:rPr>
          <w:rFonts w:hint="eastAsia"/>
          <w:color w:val="auto"/>
          <w:highlight w:val="none"/>
          <w:lang w:val="en-US" w:eastAsia="zh-CN"/>
        </w:rPr>
        <w:t>（三）发展目标</w:t>
      </w:r>
      <w:bookmarkEnd w:id="37"/>
      <w:bookmarkEnd w:id="38"/>
      <w:bookmarkEnd w:id="39"/>
    </w:p>
    <w:p w14:paraId="428B00CD">
      <w:pPr>
        <w:bidi w:val="0"/>
        <w:rPr>
          <w:rFonts w:hint="eastAsia"/>
          <w:color w:val="auto"/>
          <w:highlight w:val="none"/>
          <w:lang w:val="en-US" w:eastAsia="zh-CN"/>
        </w:rPr>
      </w:pPr>
      <w:r>
        <w:rPr>
          <w:rFonts w:hint="eastAsia"/>
          <w:color w:val="auto"/>
          <w:highlight w:val="none"/>
          <w:lang w:val="en-US" w:eastAsia="zh-CN"/>
        </w:rPr>
        <w:t>规划锚定建设农业强国2035年远景目标，到2030年（“十五五”末期），延庆区农业强区建设取得明显进展。乡村全面振兴取得实质性进展，农业农村现代化迈上新台阶；到2035年，农业强区建设取得显著成效。乡村全面振兴取得决定性进展，农业现代化基本实现，农村基本具备现代生活条件。</w:t>
      </w:r>
    </w:p>
    <w:p w14:paraId="798DA27E">
      <w:pPr>
        <w:bidi w:val="0"/>
        <w:rPr>
          <w:rFonts w:hint="eastAsia"/>
          <w:color w:val="auto"/>
          <w:highlight w:val="none"/>
          <w:lang w:val="en-US" w:eastAsia="zh-CN"/>
        </w:rPr>
      </w:pPr>
      <w:bookmarkStart w:id="40" w:name="_Toc30419"/>
      <w:bookmarkStart w:id="41" w:name="_Toc15485"/>
      <w:r>
        <w:rPr>
          <w:rFonts w:hint="eastAsia"/>
          <w:color w:val="auto"/>
          <w:highlight w:val="none"/>
          <w:lang w:val="en-US" w:eastAsia="zh-CN"/>
        </w:rPr>
        <w:t>1.产业发展攀新高峰</w:t>
      </w:r>
      <w:bookmarkEnd w:id="40"/>
      <w:bookmarkEnd w:id="41"/>
    </w:p>
    <w:p w14:paraId="04459125">
      <w:pPr>
        <w:bidi w:val="0"/>
        <w:rPr>
          <w:rFonts w:hint="eastAsia"/>
          <w:color w:val="auto"/>
          <w:highlight w:val="none"/>
          <w:lang w:val="en-US" w:eastAsia="zh-CN"/>
        </w:rPr>
      </w:pPr>
      <w:r>
        <w:rPr>
          <w:rFonts w:hint="eastAsia"/>
          <w:color w:val="auto"/>
          <w:highlight w:val="none"/>
        </w:rPr>
        <w:t>完善高标准农田建设</w:t>
      </w:r>
      <w:r>
        <w:rPr>
          <w:rFonts w:hint="eastAsia"/>
          <w:color w:val="auto"/>
          <w:highlight w:val="none"/>
          <w:lang w:eastAsia="zh-CN"/>
        </w:rPr>
        <w:t>：完善高标准农田建设、验收、管护机制，提高建设标准和质量，助力粮食安全保障能力提升。</w:t>
      </w:r>
    </w:p>
    <w:p w14:paraId="70A49898">
      <w:pPr>
        <w:bidi w:val="0"/>
        <w:rPr>
          <w:rFonts w:hint="eastAsia"/>
          <w:color w:val="auto"/>
          <w:highlight w:val="none"/>
          <w:lang w:val="en-US" w:eastAsia="zh-CN"/>
        </w:rPr>
      </w:pPr>
      <w:r>
        <w:rPr>
          <w:rFonts w:hint="eastAsia"/>
          <w:color w:val="auto"/>
          <w:highlight w:val="none"/>
          <w:lang w:val="en-US" w:eastAsia="zh-CN"/>
        </w:rPr>
        <w:t>科技赋能农业迭代升级：农业生产信息化率达50%以上，设施农业机械化率突破55%，农业科技进步贡献率超75%。</w:t>
      </w:r>
    </w:p>
    <w:p w14:paraId="2D5CF047">
      <w:pPr>
        <w:bidi w:val="0"/>
        <w:rPr>
          <w:rFonts w:hint="eastAsia"/>
          <w:color w:val="auto"/>
          <w:highlight w:val="none"/>
          <w:lang w:val="en-US" w:eastAsia="zh-CN"/>
        </w:rPr>
      </w:pPr>
      <w:r>
        <w:rPr>
          <w:rFonts w:hint="eastAsia"/>
          <w:color w:val="auto"/>
          <w:highlight w:val="none"/>
          <w:lang w:val="en-US" w:eastAsia="zh-CN"/>
        </w:rPr>
        <w:t>绿色有机品牌跨越发展：大力发展绿色有机农业，增加绿色优质安全农产品供给，“十五五”期间我区绿色有机农产品总量稳定在3万吨以上。大力实施品牌化战略，加强以产品品牌、企业品牌和区域公用品牌“妫水农耕”为核心的农业品牌体系建设，提高品牌知名度和市场占有率。择优培育推荐特色农业主体进行北京市优质农业区域公用品牌“北京优农”品牌认定和建设工作。</w:t>
      </w:r>
    </w:p>
    <w:p w14:paraId="26DB924A">
      <w:pPr>
        <w:bidi w:val="0"/>
        <w:rPr>
          <w:rFonts w:hint="eastAsia"/>
          <w:color w:val="auto"/>
          <w:highlight w:val="none"/>
          <w:lang w:val="en-US" w:eastAsia="zh-CN"/>
        </w:rPr>
      </w:pPr>
      <w:bookmarkStart w:id="42" w:name="_Toc10813"/>
      <w:bookmarkStart w:id="43" w:name="_Toc3235"/>
      <w:r>
        <w:rPr>
          <w:rFonts w:hint="eastAsia"/>
          <w:color w:val="auto"/>
          <w:highlight w:val="none"/>
          <w:lang w:val="en-US" w:eastAsia="zh-CN"/>
        </w:rPr>
        <w:t>2.生态宜居树新标杆</w:t>
      </w:r>
      <w:bookmarkEnd w:id="42"/>
      <w:bookmarkEnd w:id="43"/>
    </w:p>
    <w:p w14:paraId="1C3E2EEE">
      <w:pPr>
        <w:bidi w:val="0"/>
        <w:rPr>
          <w:rFonts w:hint="eastAsia"/>
          <w:color w:val="auto"/>
          <w:highlight w:val="none"/>
        </w:rPr>
      </w:pPr>
      <w:r>
        <w:rPr>
          <w:rFonts w:hint="eastAsia"/>
          <w:color w:val="auto"/>
          <w:highlight w:val="none"/>
          <w:lang w:val="en-US" w:eastAsia="zh-CN"/>
        </w:rPr>
        <w:t>全域美丽乡村精治提质：农村地区生活污水处理率大于等于84%，清洁能源替代率到“十五五”终期达到100%。</w:t>
      </w:r>
    </w:p>
    <w:p w14:paraId="4B418F4B">
      <w:pPr>
        <w:bidi w:val="0"/>
        <w:rPr>
          <w:rFonts w:hint="eastAsia"/>
          <w:color w:val="auto"/>
          <w:highlight w:val="none"/>
          <w:lang w:val="en-US" w:eastAsia="zh-CN"/>
        </w:rPr>
      </w:pPr>
      <w:r>
        <w:rPr>
          <w:rFonts w:hint="eastAsia"/>
          <w:color w:val="auto"/>
          <w:highlight w:val="none"/>
          <w:lang w:val="en-US" w:eastAsia="zh-CN"/>
        </w:rPr>
        <w:t>民生短板加速补齐：城乡公交、物流、数字网络均等化率98%，山区村卫生室标准化率、乡村医养结合服务覆盖率100%。</w:t>
      </w:r>
    </w:p>
    <w:p w14:paraId="3D451345">
      <w:pPr>
        <w:bidi w:val="0"/>
        <w:rPr>
          <w:rFonts w:hint="eastAsia"/>
          <w:color w:val="auto"/>
          <w:highlight w:val="none"/>
          <w:lang w:val="en-US" w:eastAsia="zh-CN"/>
        </w:rPr>
      </w:pPr>
      <w:bookmarkStart w:id="44" w:name="_Toc14747"/>
      <w:bookmarkStart w:id="45" w:name="_Toc4766"/>
      <w:r>
        <w:rPr>
          <w:rFonts w:hint="eastAsia"/>
          <w:color w:val="auto"/>
          <w:highlight w:val="none"/>
          <w:lang w:val="en-US" w:eastAsia="zh-CN"/>
        </w:rPr>
        <w:t>3.富民强村有新突破</w:t>
      </w:r>
      <w:bookmarkEnd w:id="44"/>
      <w:bookmarkEnd w:id="45"/>
    </w:p>
    <w:p w14:paraId="44642DB7">
      <w:pPr>
        <w:bidi w:val="0"/>
        <w:rPr>
          <w:rFonts w:hint="eastAsia"/>
          <w:color w:val="auto"/>
          <w:highlight w:val="none"/>
          <w:lang w:val="en-US" w:eastAsia="zh-CN"/>
        </w:rPr>
      </w:pPr>
      <w:r>
        <w:rPr>
          <w:rFonts w:hint="eastAsia"/>
          <w:color w:val="auto"/>
          <w:highlight w:val="none"/>
          <w:lang w:val="en-US" w:eastAsia="zh-CN"/>
        </w:rPr>
        <w:t>农民收入结构优化：城乡居民收入比缩小至1.8:1。</w:t>
      </w:r>
    </w:p>
    <w:p w14:paraId="048B78F9">
      <w:pPr>
        <w:bidi w:val="0"/>
        <w:rPr>
          <w:rFonts w:hint="eastAsia"/>
          <w:color w:val="auto"/>
          <w:highlight w:val="none"/>
          <w:lang w:val="en-US" w:eastAsia="zh-CN"/>
        </w:rPr>
      </w:pPr>
      <w:r>
        <w:rPr>
          <w:rFonts w:hint="eastAsia"/>
          <w:color w:val="auto"/>
          <w:highlight w:val="none"/>
          <w:lang w:val="en-US" w:eastAsia="zh-CN"/>
        </w:rPr>
        <w:t>联农带农机制深化：培育龙头企业5家，农企联农带农户比率85%，高素质农民占比25%。</w:t>
      </w:r>
    </w:p>
    <w:p w14:paraId="7D7C2BF2">
      <w:pPr>
        <w:bidi w:val="0"/>
        <w:rPr>
          <w:rFonts w:hint="eastAsia"/>
          <w:color w:val="auto"/>
          <w:highlight w:val="none"/>
          <w:lang w:val="en-US" w:eastAsia="zh-CN"/>
        </w:rPr>
      </w:pPr>
      <w:bookmarkStart w:id="46" w:name="_Toc8994"/>
      <w:bookmarkStart w:id="47" w:name="_Toc18516"/>
      <w:r>
        <w:rPr>
          <w:rFonts w:hint="eastAsia"/>
          <w:color w:val="auto"/>
          <w:highlight w:val="none"/>
          <w:lang w:val="en-US" w:eastAsia="zh-CN"/>
        </w:rPr>
        <w:t>4.文化善治展新风貌</w:t>
      </w:r>
      <w:bookmarkEnd w:id="46"/>
      <w:bookmarkEnd w:id="47"/>
    </w:p>
    <w:p w14:paraId="57B96596">
      <w:pPr>
        <w:bidi w:val="0"/>
        <w:rPr>
          <w:rFonts w:hint="eastAsia"/>
          <w:color w:val="auto"/>
          <w:highlight w:val="none"/>
          <w:lang w:val="en-US" w:eastAsia="zh-CN"/>
        </w:rPr>
      </w:pPr>
      <w:r>
        <w:rPr>
          <w:rFonts w:hint="eastAsia"/>
          <w:color w:val="auto"/>
          <w:highlight w:val="none"/>
          <w:lang w:val="en-US" w:eastAsia="zh-CN"/>
        </w:rPr>
        <w:t>长城文化传承彰显特色：深入挖掘与活化利用长城文化资源，打造1条独具魅力的长城文化乡村展示带。</w:t>
      </w:r>
    </w:p>
    <w:p w14:paraId="04A8DF8C">
      <w:pPr>
        <w:bidi w:val="0"/>
        <w:rPr>
          <w:rFonts w:hint="eastAsia"/>
          <w:color w:val="auto"/>
          <w:highlight w:val="none"/>
          <w:lang w:val="en-US" w:eastAsia="zh-CN"/>
        </w:rPr>
      </w:pPr>
      <w:r>
        <w:rPr>
          <w:rFonts w:hint="eastAsia"/>
          <w:color w:val="auto"/>
          <w:highlight w:val="none"/>
          <w:lang w:val="en-US" w:eastAsia="zh-CN"/>
        </w:rPr>
        <w:t>智慧治理效能跃升：“接诉即办”响应率、解决率、满意率均达95%以上。</w:t>
      </w:r>
    </w:p>
    <w:p w14:paraId="5B5F1DAA">
      <w:pPr>
        <w:bidi w:val="0"/>
        <w:rPr>
          <w:rFonts w:hint="eastAsia"/>
          <w:color w:val="auto"/>
          <w:highlight w:val="none"/>
          <w:lang w:val="en-US" w:eastAsia="zh-CN"/>
        </w:rPr>
      </w:pPr>
      <w:bookmarkStart w:id="48" w:name="_Toc3952"/>
      <w:bookmarkStart w:id="49" w:name="_Toc8792"/>
      <w:r>
        <w:rPr>
          <w:rFonts w:hint="eastAsia"/>
          <w:color w:val="auto"/>
          <w:highlight w:val="none"/>
          <w:lang w:val="en-US" w:eastAsia="zh-CN"/>
        </w:rPr>
        <w:t>5.治理效能创新模式</w:t>
      </w:r>
      <w:bookmarkEnd w:id="48"/>
      <w:bookmarkEnd w:id="49"/>
    </w:p>
    <w:p w14:paraId="1A226594">
      <w:pPr>
        <w:bidi w:val="0"/>
        <w:rPr>
          <w:rFonts w:hint="eastAsia"/>
          <w:color w:val="auto"/>
          <w:highlight w:val="none"/>
          <w:lang w:val="en-US" w:eastAsia="zh-CN"/>
        </w:rPr>
      </w:pPr>
      <w:r>
        <w:rPr>
          <w:rFonts w:hint="eastAsia"/>
          <w:color w:val="auto"/>
          <w:highlight w:val="none"/>
          <w:lang w:val="en-US" w:eastAsia="zh-CN"/>
        </w:rPr>
        <w:t>生态治理体系成熟：推进山区低碳乡村建设，推广“乡村生态管家”和“生态积分”长效管护机制。</w:t>
      </w:r>
    </w:p>
    <w:p w14:paraId="3D6D1056">
      <w:pPr>
        <w:bidi w:val="0"/>
        <w:rPr>
          <w:rFonts w:hint="eastAsia"/>
          <w:color w:val="auto"/>
          <w:highlight w:val="none"/>
          <w:lang w:val="en-US" w:eastAsia="zh-CN"/>
        </w:rPr>
      </w:pPr>
      <w:r>
        <w:rPr>
          <w:rFonts w:hint="eastAsia"/>
          <w:color w:val="auto"/>
          <w:highlight w:val="none"/>
          <w:lang w:val="en-US" w:eastAsia="zh-CN"/>
        </w:rPr>
        <w:t>组织引领坚强有力：有效引导建立村集体经济组织领办农民专业合作社，乡村振兴人才驿站、科技小院辐射带动所有涉农乡镇。</w:t>
      </w:r>
    </w:p>
    <w:p w14:paraId="2A7332DD">
      <w:pPr>
        <w:keepNext w:val="0"/>
        <w:keepLines w:val="0"/>
        <w:pageBreakBefore w:val="0"/>
        <w:widowControl w:val="0"/>
        <w:pBdr>
          <w:top w:val="none" w:color="auto" w:sz="0" w:space="1"/>
          <w:bottom w:val="none" w:color="auto" w:sz="0" w:space="16"/>
        </w:pBdr>
        <w:tabs>
          <w:tab w:val="left" w:pos="1440"/>
        </w:tabs>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_GB2312" w:hAnsi="仿宋_GB2312" w:eastAsia="仿宋_GB2312" w:cs="仿宋_GB2312"/>
          <w:i w:val="0"/>
          <w:iCs w:val="0"/>
          <w:caps w:val="0"/>
          <w:color w:val="auto"/>
          <w:spacing w:val="0"/>
          <w:sz w:val="32"/>
          <w:szCs w:val="32"/>
          <w:highlight w:val="none"/>
          <w:u w:val="none"/>
          <w:lang w:val="en-US" w:eastAsia="zh-CN"/>
        </w:rPr>
      </w:pPr>
      <w:r>
        <w:rPr>
          <w:rFonts w:hint="eastAsia" w:ascii="仿宋_GB2312" w:hAnsi="仿宋_GB2312" w:eastAsia="仿宋_GB2312" w:cs="仿宋_GB2312"/>
          <w:color w:val="auto"/>
          <w:kern w:val="2"/>
          <w:sz w:val="32"/>
          <w:szCs w:val="32"/>
          <w:highlight w:val="none"/>
          <w:lang w:val="en-US" w:eastAsia="zh-CN" w:bidi="ar-SA"/>
        </w:rPr>
        <w:t>“十五五”时期推进农业农村现代化规划指标体系</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526"/>
        <w:gridCol w:w="4600"/>
        <w:gridCol w:w="1150"/>
        <w:gridCol w:w="1262"/>
        <w:gridCol w:w="708"/>
      </w:tblGrid>
      <w:tr w14:paraId="1E5A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shd w:val="clear" w:color="auto" w:fill="auto"/>
            <w:vAlign w:val="center"/>
          </w:tcPr>
          <w:p w14:paraId="0270F6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rPr>
              <w:t>指标类别</w:t>
            </w:r>
          </w:p>
        </w:tc>
        <w:tc>
          <w:tcPr>
            <w:tcW w:w="526" w:type="dxa"/>
            <w:shd w:val="clear" w:color="auto" w:fill="auto"/>
            <w:vAlign w:val="center"/>
          </w:tcPr>
          <w:p w14:paraId="7A3D966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序号</w:t>
            </w:r>
          </w:p>
        </w:tc>
        <w:tc>
          <w:tcPr>
            <w:tcW w:w="4600" w:type="dxa"/>
            <w:shd w:val="clear" w:color="auto" w:fill="auto"/>
            <w:vAlign w:val="center"/>
          </w:tcPr>
          <w:p w14:paraId="5EC05DA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rPr>
              <w:t>指标名称</w:t>
            </w:r>
          </w:p>
        </w:tc>
        <w:tc>
          <w:tcPr>
            <w:tcW w:w="1150" w:type="dxa"/>
            <w:shd w:val="clear" w:color="auto" w:fill="auto"/>
            <w:vAlign w:val="center"/>
          </w:tcPr>
          <w:p w14:paraId="39BE59C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rPr>
              <w:t>2025年</w:t>
            </w:r>
            <w:r>
              <w:rPr>
                <w:rFonts w:hint="eastAsia"/>
                <w:color w:val="auto"/>
                <w:sz w:val="24"/>
                <w:szCs w:val="24"/>
                <w:highlight w:val="none"/>
                <w:lang w:val="en-US" w:eastAsia="zh-CN"/>
              </w:rPr>
              <w:t>基础值</w:t>
            </w:r>
          </w:p>
        </w:tc>
        <w:tc>
          <w:tcPr>
            <w:tcW w:w="1262" w:type="dxa"/>
            <w:shd w:val="clear" w:color="auto" w:fill="auto"/>
            <w:vAlign w:val="center"/>
          </w:tcPr>
          <w:p w14:paraId="70D9757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2030年目标值</w:t>
            </w:r>
          </w:p>
        </w:tc>
        <w:tc>
          <w:tcPr>
            <w:tcW w:w="708" w:type="dxa"/>
            <w:shd w:val="clear" w:color="auto" w:fill="auto"/>
            <w:vAlign w:val="center"/>
          </w:tcPr>
          <w:p w14:paraId="66158E1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属性</w:t>
            </w:r>
          </w:p>
        </w:tc>
      </w:tr>
      <w:tr w14:paraId="1740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tcPr>
          <w:p w14:paraId="105FBE9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p w14:paraId="162463B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p w14:paraId="0C58DE6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p w14:paraId="3FE6166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p w14:paraId="7595950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p w14:paraId="7A1364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p w14:paraId="1A35663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产业发展</w:t>
            </w:r>
          </w:p>
        </w:tc>
        <w:tc>
          <w:tcPr>
            <w:tcW w:w="526" w:type="dxa"/>
            <w:shd w:val="clear" w:color="auto" w:fill="auto"/>
            <w:vAlign w:val="center"/>
          </w:tcPr>
          <w:p w14:paraId="1F35BC6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w:t>
            </w:r>
          </w:p>
        </w:tc>
        <w:tc>
          <w:tcPr>
            <w:tcW w:w="4600" w:type="dxa"/>
            <w:shd w:val="clear" w:color="auto" w:fill="auto"/>
            <w:vAlign w:val="center"/>
          </w:tcPr>
          <w:p w14:paraId="6F5C95F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粮食综合生产能力（</w:t>
            </w:r>
            <w:r>
              <w:rPr>
                <w:rFonts w:hint="eastAsia"/>
                <w:color w:val="auto"/>
                <w:sz w:val="24"/>
                <w:szCs w:val="24"/>
                <w:highlight w:val="none"/>
              </w:rPr>
              <w:t>万吨</w:t>
            </w:r>
            <w:r>
              <w:rPr>
                <w:rFonts w:hint="eastAsia"/>
                <w:color w:val="auto"/>
                <w:sz w:val="24"/>
                <w:szCs w:val="24"/>
                <w:highlight w:val="none"/>
                <w:lang w:val="en-US" w:eastAsia="zh-CN"/>
              </w:rPr>
              <w:t>）</w:t>
            </w:r>
          </w:p>
        </w:tc>
        <w:tc>
          <w:tcPr>
            <w:tcW w:w="1150" w:type="dxa"/>
            <w:shd w:val="clear" w:color="auto" w:fill="auto"/>
            <w:vAlign w:val="center"/>
          </w:tcPr>
          <w:p w14:paraId="13474A6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7.5</w:t>
            </w:r>
          </w:p>
        </w:tc>
        <w:tc>
          <w:tcPr>
            <w:tcW w:w="1262" w:type="dxa"/>
            <w:shd w:val="clear" w:color="auto" w:fill="auto"/>
            <w:vAlign w:val="center"/>
          </w:tcPr>
          <w:p w14:paraId="512F043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eastAsia="zh-CN"/>
              </w:rPr>
            </w:pPr>
            <w:r>
              <w:rPr>
                <w:rFonts w:hint="eastAsia"/>
                <w:color w:val="auto"/>
                <w:sz w:val="24"/>
                <w:szCs w:val="24"/>
                <w:highlight w:val="none"/>
                <w:lang w:eastAsia="zh-CN"/>
              </w:rPr>
              <w:t>与市级看齐</w:t>
            </w:r>
          </w:p>
        </w:tc>
        <w:tc>
          <w:tcPr>
            <w:tcW w:w="708" w:type="dxa"/>
            <w:shd w:val="clear" w:color="auto" w:fill="auto"/>
            <w:vAlign w:val="center"/>
          </w:tcPr>
          <w:p w14:paraId="09D0953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65F6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1228E7F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c>
          <w:tcPr>
            <w:tcW w:w="526" w:type="dxa"/>
            <w:shd w:val="clear" w:color="auto" w:fill="auto"/>
            <w:vAlign w:val="center"/>
          </w:tcPr>
          <w:p w14:paraId="3455634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2</w:t>
            </w:r>
          </w:p>
        </w:tc>
        <w:tc>
          <w:tcPr>
            <w:tcW w:w="4600" w:type="dxa"/>
            <w:shd w:val="clear" w:color="auto" w:fill="auto"/>
            <w:vAlign w:val="center"/>
          </w:tcPr>
          <w:p w14:paraId="66270B3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蔬菜产量（</w:t>
            </w:r>
            <w:r>
              <w:rPr>
                <w:rFonts w:hint="eastAsia"/>
                <w:color w:val="auto"/>
                <w:sz w:val="24"/>
                <w:szCs w:val="24"/>
                <w:highlight w:val="none"/>
              </w:rPr>
              <w:t>万吨</w:t>
            </w:r>
            <w:r>
              <w:rPr>
                <w:rFonts w:hint="eastAsia"/>
                <w:color w:val="auto"/>
                <w:sz w:val="24"/>
                <w:szCs w:val="24"/>
                <w:highlight w:val="none"/>
                <w:lang w:val="en-US" w:eastAsia="zh-CN"/>
              </w:rPr>
              <w:t>）</w:t>
            </w:r>
          </w:p>
        </w:tc>
        <w:tc>
          <w:tcPr>
            <w:tcW w:w="1150" w:type="dxa"/>
            <w:shd w:val="clear" w:color="auto" w:fill="auto"/>
            <w:vAlign w:val="center"/>
          </w:tcPr>
          <w:p w14:paraId="6BB41FB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10.8</w:t>
            </w:r>
          </w:p>
        </w:tc>
        <w:tc>
          <w:tcPr>
            <w:tcW w:w="1262" w:type="dxa"/>
            <w:shd w:val="clear" w:color="auto" w:fill="auto"/>
            <w:vAlign w:val="center"/>
          </w:tcPr>
          <w:p w14:paraId="363240F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eastAsia="zh-CN"/>
              </w:rPr>
            </w:pPr>
            <w:r>
              <w:rPr>
                <w:rFonts w:hint="eastAsia"/>
                <w:color w:val="auto"/>
                <w:sz w:val="24"/>
                <w:szCs w:val="24"/>
                <w:highlight w:val="none"/>
                <w:lang w:eastAsia="zh-CN"/>
              </w:rPr>
              <w:t>与市级看齐</w:t>
            </w:r>
          </w:p>
        </w:tc>
        <w:tc>
          <w:tcPr>
            <w:tcW w:w="708" w:type="dxa"/>
            <w:shd w:val="clear" w:color="auto" w:fill="auto"/>
            <w:vAlign w:val="center"/>
          </w:tcPr>
          <w:p w14:paraId="4808BA6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117A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5E95A38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2EC1DBF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3</w:t>
            </w:r>
          </w:p>
        </w:tc>
        <w:tc>
          <w:tcPr>
            <w:tcW w:w="4600" w:type="dxa"/>
            <w:shd w:val="clear" w:color="auto" w:fill="auto"/>
            <w:vAlign w:val="center"/>
          </w:tcPr>
          <w:p w14:paraId="7C25CED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高标准农田建成面积（万亩）</w:t>
            </w:r>
          </w:p>
        </w:tc>
        <w:tc>
          <w:tcPr>
            <w:tcW w:w="1150" w:type="dxa"/>
            <w:shd w:val="clear" w:color="auto" w:fill="auto"/>
            <w:vAlign w:val="center"/>
          </w:tcPr>
          <w:p w14:paraId="377E23B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10.56</w:t>
            </w:r>
          </w:p>
        </w:tc>
        <w:tc>
          <w:tcPr>
            <w:tcW w:w="1262" w:type="dxa"/>
            <w:shd w:val="clear" w:color="auto" w:fill="auto"/>
            <w:vAlign w:val="center"/>
          </w:tcPr>
          <w:p w14:paraId="6F8B29C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r>
              <w:rPr>
                <w:rFonts w:hint="eastAsia"/>
                <w:color w:val="auto"/>
                <w:sz w:val="24"/>
                <w:szCs w:val="24"/>
                <w:highlight w:val="none"/>
                <w:lang w:eastAsia="zh-CN"/>
              </w:rPr>
              <w:t>与市级看齐</w:t>
            </w:r>
          </w:p>
        </w:tc>
        <w:tc>
          <w:tcPr>
            <w:tcW w:w="708" w:type="dxa"/>
            <w:shd w:val="clear" w:color="auto" w:fill="auto"/>
            <w:vAlign w:val="center"/>
          </w:tcPr>
          <w:p w14:paraId="631D2A9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6BF7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26CA791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311C606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4</w:t>
            </w:r>
          </w:p>
        </w:tc>
        <w:tc>
          <w:tcPr>
            <w:tcW w:w="4600" w:type="dxa"/>
            <w:shd w:val="clear" w:color="auto" w:fill="auto"/>
            <w:vAlign w:val="center"/>
          </w:tcPr>
          <w:p w14:paraId="3B236AA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永久基本农田（万亩）</w:t>
            </w:r>
          </w:p>
        </w:tc>
        <w:tc>
          <w:tcPr>
            <w:tcW w:w="1150" w:type="dxa"/>
            <w:shd w:val="clear" w:color="auto" w:fill="auto"/>
            <w:vAlign w:val="center"/>
          </w:tcPr>
          <w:p w14:paraId="6D42A69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20.8</w:t>
            </w:r>
          </w:p>
        </w:tc>
        <w:tc>
          <w:tcPr>
            <w:tcW w:w="1262" w:type="dxa"/>
            <w:shd w:val="clear" w:color="auto" w:fill="auto"/>
            <w:vAlign w:val="center"/>
          </w:tcPr>
          <w:p w14:paraId="1D02BF8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r>
              <w:rPr>
                <w:rFonts w:hint="eastAsia"/>
                <w:color w:val="auto"/>
                <w:sz w:val="24"/>
                <w:szCs w:val="24"/>
                <w:highlight w:val="none"/>
                <w:lang w:eastAsia="zh-CN"/>
              </w:rPr>
              <w:t>与市级看齐</w:t>
            </w:r>
          </w:p>
        </w:tc>
        <w:tc>
          <w:tcPr>
            <w:tcW w:w="708" w:type="dxa"/>
            <w:shd w:val="clear" w:color="auto" w:fill="auto"/>
            <w:vAlign w:val="center"/>
          </w:tcPr>
          <w:p w14:paraId="226522D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1F58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0B37E6E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1DE3F07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5</w:t>
            </w:r>
          </w:p>
        </w:tc>
        <w:tc>
          <w:tcPr>
            <w:tcW w:w="4600" w:type="dxa"/>
            <w:shd w:val="clear" w:color="auto" w:fill="auto"/>
            <w:vAlign w:val="center"/>
          </w:tcPr>
          <w:p w14:paraId="657E934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绿色有机农产品产量（万吨）</w:t>
            </w:r>
          </w:p>
        </w:tc>
        <w:tc>
          <w:tcPr>
            <w:tcW w:w="1150" w:type="dxa"/>
            <w:shd w:val="clear" w:color="auto" w:fill="auto"/>
            <w:vAlign w:val="center"/>
          </w:tcPr>
          <w:p w14:paraId="519ED55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2.9</w:t>
            </w:r>
          </w:p>
        </w:tc>
        <w:tc>
          <w:tcPr>
            <w:tcW w:w="1262" w:type="dxa"/>
            <w:shd w:val="clear" w:color="auto" w:fill="auto"/>
            <w:vAlign w:val="center"/>
          </w:tcPr>
          <w:p w14:paraId="6C1174C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szCs w:val="24"/>
                <w:highlight w:val="none"/>
              </w:rPr>
            </w:pPr>
            <w:r>
              <w:rPr>
                <w:rFonts w:hint="eastAsia"/>
                <w:color w:val="auto"/>
                <w:sz w:val="24"/>
                <w:szCs w:val="24"/>
                <w:highlight w:val="none"/>
                <w:lang w:val="en-US" w:eastAsia="zh-CN"/>
              </w:rPr>
              <w:t>3.0</w:t>
            </w:r>
          </w:p>
        </w:tc>
        <w:tc>
          <w:tcPr>
            <w:tcW w:w="708" w:type="dxa"/>
            <w:shd w:val="clear" w:color="auto" w:fill="auto"/>
            <w:vAlign w:val="center"/>
          </w:tcPr>
          <w:p w14:paraId="6AB2372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498C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18BC764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2A8BD3C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6</w:t>
            </w:r>
          </w:p>
        </w:tc>
        <w:tc>
          <w:tcPr>
            <w:tcW w:w="4600" w:type="dxa"/>
            <w:shd w:val="clear" w:color="auto" w:fill="auto"/>
            <w:vAlign w:val="center"/>
          </w:tcPr>
          <w:p w14:paraId="40D6596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农作物病虫害绿色防控覆盖面积 （林果类） （万亩）</w:t>
            </w:r>
          </w:p>
        </w:tc>
        <w:tc>
          <w:tcPr>
            <w:tcW w:w="1150" w:type="dxa"/>
            <w:shd w:val="clear" w:color="auto" w:fill="auto"/>
            <w:vAlign w:val="center"/>
          </w:tcPr>
          <w:p w14:paraId="1358DA8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0.3</w:t>
            </w:r>
          </w:p>
        </w:tc>
        <w:tc>
          <w:tcPr>
            <w:tcW w:w="1262" w:type="dxa"/>
            <w:shd w:val="clear" w:color="auto" w:fill="auto"/>
            <w:vAlign w:val="center"/>
          </w:tcPr>
          <w:p w14:paraId="6053826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r>
              <w:rPr>
                <w:rFonts w:hint="eastAsia"/>
                <w:color w:val="auto"/>
                <w:sz w:val="24"/>
                <w:szCs w:val="24"/>
                <w:highlight w:val="none"/>
                <w:lang w:eastAsia="zh-CN"/>
              </w:rPr>
              <w:t>与市级看齐</w:t>
            </w:r>
          </w:p>
        </w:tc>
        <w:tc>
          <w:tcPr>
            <w:tcW w:w="708" w:type="dxa"/>
            <w:shd w:val="clear" w:color="auto" w:fill="auto"/>
            <w:vAlign w:val="center"/>
          </w:tcPr>
          <w:p w14:paraId="5B78E59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4531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0F2920C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1319104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7</w:t>
            </w:r>
          </w:p>
        </w:tc>
        <w:tc>
          <w:tcPr>
            <w:tcW w:w="4600" w:type="dxa"/>
            <w:shd w:val="clear" w:color="auto" w:fill="auto"/>
            <w:vAlign w:val="center"/>
          </w:tcPr>
          <w:p w14:paraId="415C807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农作物病虫害绿色防控覆盖率 （粮食类%）</w:t>
            </w:r>
          </w:p>
        </w:tc>
        <w:tc>
          <w:tcPr>
            <w:tcW w:w="1150" w:type="dxa"/>
            <w:shd w:val="clear" w:color="auto" w:fill="auto"/>
            <w:vAlign w:val="center"/>
          </w:tcPr>
          <w:p w14:paraId="4267523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68.33</w:t>
            </w:r>
          </w:p>
        </w:tc>
        <w:tc>
          <w:tcPr>
            <w:tcW w:w="1262" w:type="dxa"/>
            <w:shd w:val="clear" w:color="auto" w:fill="auto"/>
            <w:vAlign w:val="center"/>
          </w:tcPr>
          <w:p w14:paraId="7EE53B3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r>
              <w:rPr>
                <w:rFonts w:hint="eastAsia"/>
                <w:color w:val="auto"/>
                <w:sz w:val="24"/>
                <w:szCs w:val="24"/>
                <w:highlight w:val="none"/>
                <w:lang w:eastAsia="zh-CN"/>
              </w:rPr>
              <w:t>与市级看齐</w:t>
            </w:r>
          </w:p>
        </w:tc>
        <w:tc>
          <w:tcPr>
            <w:tcW w:w="708" w:type="dxa"/>
            <w:shd w:val="clear" w:color="auto" w:fill="auto"/>
            <w:vAlign w:val="center"/>
          </w:tcPr>
          <w:p w14:paraId="0491925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5C71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71DD300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3B4A224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8</w:t>
            </w:r>
          </w:p>
        </w:tc>
        <w:tc>
          <w:tcPr>
            <w:tcW w:w="4600" w:type="dxa"/>
            <w:shd w:val="clear" w:color="auto" w:fill="auto"/>
            <w:vAlign w:val="center"/>
          </w:tcPr>
          <w:p w14:paraId="5F878F7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 xml:space="preserve">农作物病虫害绿色防控覆盖率 （蔬菜类%） </w:t>
            </w:r>
          </w:p>
        </w:tc>
        <w:tc>
          <w:tcPr>
            <w:tcW w:w="1150" w:type="dxa"/>
            <w:shd w:val="clear" w:color="auto" w:fill="auto"/>
            <w:vAlign w:val="center"/>
          </w:tcPr>
          <w:p w14:paraId="45DB0F5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83.3</w:t>
            </w:r>
          </w:p>
        </w:tc>
        <w:tc>
          <w:tcPr>
            <w:tcW w:w="1262" w:type="dxa"/>
            <w:shd w:val="clear" w:color="auto" w:fill="auto"/>
            <w:vAlign w:val="center"/>
          </w:tcPr>
          <w:p w14:paraId="7945A9C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r>
              <w:rPr>
                <w:rFonts w:hint="eastAsia"/>
                <w:color w:val="auto"/>
                <w:sz w:val="24"/>
                <w:szCs w:val="24"/>
                <w:highlight w:val="none"/>
                <w:lang w:eastAsia="zh-CN"/>
              </w:rPr>
              <w:t>与市级看齐</w:t>
            </w:r>
          </w:p>
        </w:tc>
        <w:tc>
          <w:tcPr>
            <w:tcW w:w="708" w:type="dxa"/>
            <w:shd w:val="clear" w:color="auto" w:fill="auto"/>
            <w:vAlign w:val="center"/>
          </w:tcPr>
          <w:p w14:paraId="2293681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6FC5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2EEC09E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57BA95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9</w:t>
            </w:r>
          </w:p>
        </w:tc>
        <w:tc>
          <w:tcPr>
            <w:tcW w:w="4600" w:type="dxa"/>
            <w:shd w:val="clear" w:color="auto" w:fill="auto"/>
            <w:vAlign w:val="center"/>
          </w:tcPr>
          <w:p w14:paraId="48989E4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农产品加工转化率（%）</w:t>
            </w:r>
          </w:p>
        </w:tc>
        <w:tc>
          <w:tcPr>
            <w:tcW w:w="1150" w:type="dxa"/>
            <w:shd w:val="clear" w:color="auto" w:fill="auto"/>
            <w:vAlign w:val="center"/>
          </w:tcPr>
          <w:p w14:paraId="0DDCBF6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1262" w:type="dxa"/>
            <w:shd w:val="clear" w:color="auto" w:fill="auto"/>
            <w:vAlign w:val="center"/>
          </w:tcPr>
          <w:p w14:paraId="040A204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708" w:type="dxa"/>
            <w:shd w:val="clear" w:color="auto" w:fill="auto"/>
            <w:vAlign w:val="center"/>
          </w:tcPr>
          <w:p w14:paraId="4CD10B9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57DE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20A6669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1B9B736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10</w:t>
            </w:r>
          </w:p>
        </w:tc>
        <w:tc>
          <w:tcPr>
            <w:tcW w:w="4600" w:type="dxa"/>
            <w:shd w:val="clear" w:color="auto" w:fill="auto"/>
            <w:vAlign w:val="center"/>
          </w:tcPr>
          <w:p w14:paraId="6F97D26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能繁母猪保有量</w:t>
            </w:r>
          </w:p>
        </w:tc>
        <w:tc>
          <w:tcPr>
            <w:tcW w:w="1150" w:type="dxa"/>
            <w:shd w:val="clear" w:color="auto" w:fill="auto"/>
            <w:vAlign w:val="center"/>
          </w:tcPr>
          <w:p w14:paraId="42F9909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5500-5600</w:t>
            </w:r>
          </w:p>
        </w:tc>
        <w:tc>
          <w:tcPr>
            <w:tcW w:w="1262" w:type="dxa"/>
            <w:shd w:val="clear" w:color="auto" w:fill="auto"/>
            <w:vAlign w:val="center"/>
          </w:tcPr>
          <w:p w14:paraId="18C7C7C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5520以上</w:t>
            </w:r>
          </w:p>
        </w:tc>
        <w:tc>
          <w:tcPr>
            <w:tcW w:w="708" w:type="dxa"/>
            <w:shd w:val="clear" w:color="auto" w:fill="auto"/>
            <w:vAlign w:val="center"/>
          </w:tcPr>
          <w:p w14:paraId="1B9CED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7C90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6EB64BB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5AE66FF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11</w:t>
            </w:r>
          </w:p>
        </w:tc>
        <w:tc>
          <w:tcPr>
            <w:tcW w:w="4600" w:type="dxa"/>
            <w:shd w:val="clear" w:color="auto" w:fill="auto"/>
            <w:vAlign w:val="center"/>
          </w:tcPr>
          <w:p w14:paraId="560E5CA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规模化养殖场畜禽粪污综合利用率（%）</w:t>
            </w:r>
          </w:p>
        </w:tc>
        <w:tc>
          <w:tcPr>
            <w:tcW w:w="1150" w:type="dxa"/>
            <w:shd w:val="clear" w:color="auto" w:fill="auto"/>
            <w:vAlign w:val="center"/>
          </w:tcPr>
          <w:p w14:paraId="1D3B80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96.01</w:t>
            </w:r>
          </w:p>
        </w:tc>
        <w:tc>
          <w:tcPr>
            <w:tcW w:w="1262" w:type="dxa"/>
            <w:shd w:val="clear" w:color="auto" w:fill="auto"/>
            <w:vAlign w:val="center"/>
          </w:tcPr>
          <w:p w14:paraId="3AF5975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eastAsia="zh-CN"/>
              </w:rPr>
              <w:t>与市级看齐</w:t>
            </w:r>
          </w:p>
        </w:tc>
        <w:tc>
          <w:tcPr>
            <w:tcW w:w="708" w:type="dxa"/>
            <w:shd w:val="clear" w:color="auto" w:fill="auto"/>
            <w:vAlign w:val="center"/>
          </w:tcPr>
          <w:p w14:paraId="792AF32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119F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65400AB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57A20E8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12</w:t>
            </w:r>
          </w:p>
        </w:tc>
        <w:tc>
          <w:tcPr>
            <w:tcW w:w="4600" w:type="dxa"/>
            <w:shd w:val="clear" w:color="auto" w:fill="auto"/>
            <w:vAlign w:val="center"/>
          </w:tcPr>
          <w:p w14:paraId="63F78FC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农作物秸秆综合利用率（%）</w:t>
            </w:r>
          </w:p>
        </w:tc>
        <w:tc>
          <w:tcPr>
            <w:tcW w:w="1150" w:type="dxa"/>
            <w:shd w:val="clear" w:color="auto" w:fill="auto"/>
            <w:vAlign w:val="center"/>
          </w:tcPr>
          <w:p w14:paraId="1D4143C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&gt;99</w:t>
            </w:r>
          </w:p>
        </w:tc>
        <w:tc>
          <w:tcPr>
            <w:tcW w:w="1262" w:type="dxa"/>
            <w:shd w:val="clear" w:color="auto" w:fill="auto"/>
            <w:vAlign w:val="center"/>
          </w:tcPr>
          <w:p w14:paraId="2B5B745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eastAsia="zh-CN"/>
              </w:rPr>
              <w:t>与市级看齐</w:t>
            </w:r>
          </w:p>
        </w:tc>
        <w:tc>
          <w:tcPr>
            <w:tcW w:w="708" w:type="dxa"/>
            <w:shd w:val="clear" w:color="auto" w:fill="auto"/>
            <w:vAlign w:val="center"/>
          </w:tcPr>
          <w:p w14:paraId="20B71D4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730B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46B92C2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6FEFF69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13</w:t>
            </w:r>
          </w:p>
        </w:tc>
        <w:tc>
          <w:tcPr>
            <w:tcW w:w="4600" w:type="dxa"/>
            <w:shd w:val="clear" w:color="auto" w:fill="auto"/>
            <w:vAlign w:val="center"/>
          </w:tcPr>
          <w:p w14:paraId="40DF4DF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智慧农业应用覆盖率（%）</w:t>
            </w:r>
          </w:p>
        </w:tc>
        <w:tc>
          <w:tcPr>
            <w:tcW w:w="1150" w:type="dxa"/>
            <w:shd w:val="clear" w:color="auto" w:fill="auto"/>
            <w:vAlign w:val="center"/>
          </w:tcPr>
          <w:p w14:paraId="6119401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c>
          <w:tcPr>
            <w:tcW w:w="1262" w:type="dxa"/>
            <w:shd w:val="clear" w:color="auto" w:fill="auto"/>
            <w:vAlign w:val="center"/>
          </w:tcPr>
          <w:p w14:paraId="03C2276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c>
          <w:tcPr>
            <w:tcW w:w="708" w:type="dxa"/>
            <w:shd w:val="clear" w:color="auto" w:fill="auto"/>
            <w:vAlign w:val="center"/>
          </w:tcPr>
          <w:p w14:paraId="0AE634D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201E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36" w:type="dxa"/>
            <w:vMerge w:val="continue"/>
          </w:tcPr>
          <w:p w14:paraId="61AB8E3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1E4FD7D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14</w:t>
            </w:r>
          </w:p>
        </w:tc>
        <w:tc>
          <w:tcPr>
            <w:tcW w:w="4600" w:type="dxa"/>
            <w:shd w:val="clear" w:color="auto" w:fill="auto"/>
            <w:vAlign w:val="center"/>
          </w:tcPr>
          <w:p w14:paraId="52E28BF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大田农业机械化率（%）</w:t>
            </w:r>
          </w:p>
        </w:tc>
        <w:tc>
          <w:tcPr>
            <w:tcW w:w="1150" w:type="dxa"/>
            <w:shd w:val="clear" w:color="auto" w:fill="auto"/>
            <w:vAlign w:val="center"/>
          </w:tcPr>
          <w:p w14:paraId="15617AA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75</w:t>
            </w:r>
          </w:p>
        </w:tc>
        <w:tc>
          <w:tcPr>
            <w:tcW w:w="1262" w:type="dxa"/>
            <w:shd w:val="clear" w:color="auto" w:fill="auto"/>
            <w:vAlign w:val="center"/>
          </w:tcPr>
          <w:p w14:paraId="400F2AB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eastAsia="zh-CN"/>
              </w:rPr>
              <w:t>与市级看齐</w:t>
            </w:r>
          </w:p>
        </w:tc>
        <w:tc>
          <w:tcPr>
            <w:tcW w:w="708" w:type="dxa"/>
            <w:shd w:val="clear" w:color="auto" w:fill="auto"/>
            <w:vAlign w:val="center"/>
          </w:tcPr>
          <w:p w14:paraId="3AE1F1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1B90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76F4F37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5F9776D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15</w:t>
            </w:r>
          </w:p>
        </w:tc>
        <w:tc>
          <w:tcPr>
            <w:tcW w:w="4600" w:type="dxa"/>
            <w:shd w:val="clear" w:color="auto" w:fill="auto"/>
            <w:vAlign w:val="center"/>
          </w:tcPr>
          <w:p w14:paraId="7D45720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设施农业机械化率（%）</w:t>
            </w:r>
          </w:p>
        </w:tc>
        <w:tc>
          <w:tcPr>
            <w:tcW w:w="1150" w:type="dxa"/>
            <w:shd w:val="clear" w:color="auto" w:fill="auto"/>
            <w:vAlign w:val="center"/>
          </w:tcPr>
          <w:p w14:paraId="094EEA8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50</w:t>
            </w:r>
          </w:p>
        </w:tc>
        <w:tc>
          <w:tcPr>
            <w:tcW w:w="1262" w:type="dxa"/>
            <w:shd w:val="clear" w:color="auto" w:fill="auto"/>
            <w:vAlign w:val="center"/>
          </w:tcPr>
          <w:p w14:paraId="30F797D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eastAsia="zh-CN"/>
              </w:rPr>
              <w:t>与市级看齐</w:t>
            </w:r>
          </w:p>
        </w:tc>
        <w:tc>
          <w:tcPr>
            <w:tcW w:w="708" w:type="dxa"/>
            <w:shd w:val="clear" w:color="auto" w:fill="auto"/>
            <w:vAlign w:val="center"/>
          </w:tcPr>
          <w:p w14:paraId="10F5F7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179E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017F8D8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5CE69A0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16</w:t>
            </w:r>
          </w:p>
        </w:tc>
        <w:tc>
          <w:tcPr>
            <w:tcW w:w="4600" w:type="dxa"/>
            <w:shd w:val="clear" w:color="auto" w:fill="auto"/>
            <w:vAlign w:val="center"/>
          </w:tcPr>
          <w:p w14:paraId="7D95773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农作物良种覆盖率（%）</w:t>
            </w:r>
          </w:p>
        </w:tc>
        <w:tc>
          <w:tcPr>
            <w:tcW w:w="1150" w:type="dxa"/>
            <w:shd w:val="clear" w:color="auto" w:fill="auto"/>
            <w:vAlign w:val="center"/>
          </w:tcPr>
          <w:p w14:paraId="2716931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c>
          <w:tcPr>
            <w:tcW w:w="1262" w:type="dxa"/>
            <w:shd w:val="clear" w:color="auto" w:fill="auto"/>
            <w:vAlign w:val="center"/>
          </w:tcPr>
          <w:p w14:paraId="6EAAC30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99</w:t>
            </w:r>
          </w:p>
        </w:tc>
        <w:tc>
          <w:tcPr>
            <w:tcW w:w="708" w:type="dxa"/>
            <w:shd w:val="clear" w:color="auto" w:fill="auto"/>
            <w:vAlign w:val="center"/>
          </w:tcPr>
          <w:p w14:paraId="790A0B7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4820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tcPr>
          <w:p w14:paraId="1E43118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p w14:paraId="1EAFBB2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生态</w:t>
            </w:r>
          </w:p>
          <w:p w14:paraId="2DF2CA9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r>
              <w:rPr>
                <w:rFonts w:hint="eastAsia"/>
                <w:color w:val="auto"/>
                <w:sz w:val="24"/>
                <w:szCs w:val="24"/>
                <w:highlight w:val="none"/>
                <w:lang w:val="en-US" w:eastAsia="zh-CN"/>
              </w:rPr>
              <w:t>宜居</w:t>
            </w:r>
          </w:p>
        </w:tc>
        <w:tc>
          <w:tcPr>
            <w:tcW w:w="526" w:type="dxa"/>
            <w:shd w:val="clear" w:color="auto" w:fill="auto"/>
            <w:vAlign w:val="center"/>
          </w:tcPr>
          <w:p w14:paraId="4D8ADBA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17</w:t>
            </w:r>
          </w:p>
        </w:tc>
        <w:tc>
          <w:tcPr>
            <w:tcW w:w="4600" w:type="dxa"/>
            <w:shd w:val="clear" w:color="auto" w:fill="auto"/>
            <w:vAlign w:val="center"/>
          </w:tcPr>
          <w:p w14:paraId="26E65DE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农村地区生活污水处理率（%）</w:t>
            </w:r>
          </w:p>
        </w:tc>
        <w:tc>
          <w:tcPr>
            <w:tcW w:w="1150" w:type="dxa"/>
            <w:shd w:val="clear" w:color="auto" w:fill="auto"/>
            <w:vAlign w:val="center"/>
          </w:tcPr>
          <w:p w14:paraId="60743C8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rPr>
              <w:t>84.1</w:t>
            </w:r>
          </w:p>
        </w:tc>
        <w:tc>
          <w:tcPr>
            <w:tcW w:w="1262" w:type="dxa"/>
            <w:shd w:val="clear" w:color="auto" w:fill="auto"/>
            <w:vAlign w:val="center"/>
          </w:tcPr>
          <w:p w14:paraId="568833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708" w:type="dxa"/>
            <w:shd w:val="clear" w:color="auto" w:fill="auto"/>
            <w:vAlign w:val="center"/>
          </w:tcPr>
          <w:p w14:paraId="79D6BA2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686E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657AC2F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51D0672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18</w:t>
            </w:r>
          </w:p>
        </w:tc>
        <w:tc>
          <w:tcPr>
            <w:tcW w:w="4600" w:type="dxa"/>
            <w:shd w:val="clear" w:color="auto" w:fill="auto"/>
            <w:vAlign w:val="center"/>
          </w:tcPr>
          <w:p w14:paraId="4504136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农村地区煤改清洁能源覆盖率（%）</w:t>
            </w:r>
          </w:p>
        </w:tc>
        <w:tc>
          <w:tcPr>
            <w:tcW w:w="1150" w:type="dxa"/>
            <w:shd w:val="clear" w:color="auto" w:fill="auto"/>
            <w:vAlign w:val="center"/>
          </w:tcPr>
          <w:p w14:paraId="663D039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rPr>
              <w:t>90.44</w:t>
            </w:r>
          </w:p>
        </w:tc>
        <w:tc>
          <w:tcPr>
            <w:tcW w:w="1262" w:type="dxa"/>
            <w:shd w:val="clear" w:color="auto" w:fill="auto"/>
            <w:vAlign w:val="center"/>
          </w:tcPr>
          <w:p w14:paraId="13691A5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708" w:type="dxa"/>
            <w:shd w:val="clear" w:color="auto" w:fill="auto"/>
            <w:vAlign w:val="center"/>
          </w:tcPr>
          <w:p w14:paraId="7A16888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013E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304FFBA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5B4C1FD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19</w:t>
            </w:r>
          </w:p>
        </w:tc>
        <w:tc>
          <w:tcPr>
            <w:tcW w:w="4600" w:type="dxa"/>
            <w:shd w:val="clear" w:color="auto" w:fill="auto"/>
            <w:vAlign w:val="center"/>
          </w:tcPr>
          <w:p w14:paraId="16FEAEA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一体化村卫生室建设率（%）、</w:t>
            </w:r>
          </w:p>
          <w:p w14:paraId="7942CD6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乡村医养结合服务覆盖率（%）</w:t>
            </w:r>
          </w:p>
        </w:tc>
        <w:tc>
          <w:tcPr>
            <w:tcW w:w="1150" w:type="dxa"/>
            <w:shd w:val="clear" w:color="auto" w:fill="auto"/>
            <w:vAlign w:val="center"/>
          </w:tcPr>
          <w:p w14:paraId="5A44FE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100%</w:t>
            </w:r>
          </w:p>
          <w:p w14:paraId="44A9468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p>
        </w:tc>
        <w:tc>
          <w:tcPr>
            <w:tcW w:w="1262" w:type="dxa"/>
            <w:shd w:val="clear" w:color="auto" w:fill="auto"/>
            <w:vAlign w:val="center"/>
          </w:tcPr>
          <w:p w14:paraId="189EC90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eastAsia="zh-CN"/>
              </w:rPr>
              <w:t>与市级看齐</w:t>
            </w:r>
          </w:p>
        </w:tc>
        <w:tc>
          <w:tcPr>
            <w:tcW w:w="708" w:type="dxa"/>
            <w:shd w:val="clear" w:color="auto" w:fill="auto"/>
            <w:vAlign w:val="center"/>
          </w:tcPr>
          <w:p w14:paraId="2D2A227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78B4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tcPr>
          <w:p w14:paraId="1D42419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p w14:paraId="7D3184D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r>
              <w:rPr>
                <w:rFonts w:hint="eastAsia"/>
                <w:color w:val="auto"/>
                <w:sz w:val="24"/>
                <w:szCs w:val="24"/>
                <w:highlight w:val="none"/>
                <w:lang w:val="en-US" w:eastAsia="zh-CN"/>
              </w:rPr>
              <w:t>富民强村</w:t>
            </w:r>
          </w:p>
        </w:tc>
        <w:tc>
          <w:tcPr>
            <w:tcW w:w="526" w:type="dxa"/>
            <w:shd w:val="clear" w:color="auto" w:fill="auto"/>
            <w:vAlign w:val="center"/>
          </w:tcPr>
          <w:p w14:paraId="3EACEFB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20</w:t>
            </w:r>
          </w:p>
        </w:tc>
        <w:tc>
          <w:tcPr>
            <w:tcW w:w="4600" w:type="dxa"/>
            <w:shd w:val="clear" w:color="auto" w:fill="auto"/>
            <w:vAlign w:val="center"/>
          </w:tcPr>
          <w:p w14:paraId="1516A7C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城乡居民收入比</w:t>
            </w:r>
          </w:p>
        </w:tc>
        <w:tc>
          <w:tcPr>
            <w:tcW w:w="1150" w:type="dxa"/>
            <w:shd w:val="clear" w:color="auto" w:fill="auto"/>
            <w:vAlign w:val="center"/>
          </w:tcPr>
          <w:p w14:paraId="44537B5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rPr>
              <w:t>1.97:1</w:t>
            </w:r>
          </w:p>
        </w:tc>
        <w:tc>
          <w:tcPr>
            <w:tcW w:w="1262" w:type="dxa"/>
            <w:shd w:val="clear" w:color="auto" w:fill="auto"/>
            <w:vAlign w:val="center"/>
          </w:tcPr>
          <w:p w14:paraId="2A32A84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1.8:1</w:t>
            </w:r>
          </w:p>
        </w:tc>
        <w:tc>
          <w:tcPr>
            <w:tcW w:w="708" w:type="dxa"/>
            <w:shd w:val="clear" w:color="auto" w:fill="auto"/>
            <w:vAlign w:val="center"/>
          </w:tcPr>
          <w:p w14:paraId="616C4DD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65B2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5CB10A2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41FF0D2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21</w:t>
            </w:r>
          </w:p>
        </w:tc>
        <w:tc>
          <w:tcPr>
            <w:tcW w:w="4600" w:type="dxa"/>
            <w:shd w:val="clear" w:color="auto" w:fill="auto"/>
            <w:vAlign w:val="center"/>
          </w:tcPr>
          <w:p w14:paraId="639315D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农村居民人均可支配收入年均增速（%）</w:t>
            </w:r>
          </w:p>
        </w:tc>
        <w:tc>
          <w:tcPr>
            <w:tcW w:w="1150" w:type="dxa"/>
            <w:shd w:val="clear" w:color="auto" w:fill="auto"/>
            <w:vAlign w:val="center"/>
          </w:tcPr>
          <w:p w14:paraId="2CF1E11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rPr>
              <w:t>6.2（高于GDP）</w:t>
            </w:r>
          </w:p>
        </w:tc>
        <w:tc>
          <w:tcPr>
            <w:tcW w:w="1262" w:type="dxa"/>
            <w:shd w:val="clear" w:color="auto" w:fill="auto"/>
            <w:vAlign w:val="center"/>
          </w:tcPr>
          <w:p w14:paraId="030189A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708" w:type="dxa"/>
            <w:shd w:val="clear" w:color="auto" w:fill="auto"/>
            <w:vAlign w:val="center"/>
          </w:tcPr>
          <w:p w14:paraId="17620D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1F4F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5C4CD4B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176E9CF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22</w:t>
            </w:r>
          </w:p>
        </w:tc>
        <w:tc>
          <w:tcPr>
            <w:tcW w:w="4600" w:type="dxa"/>
            <w:shd w:val="clear" w:color="auto" w:fill="auto"/>
            <w:vAlign w:val="center"/>
          </w:tcPr>
          <w:p w14:paraId="20ABC78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集体经济强村占比（%）</w:t>
            </w:r>
          </w:p>
        </w:tc>
        <w:tc>
          <w:tcPr>
            <w:tcW w:w="1150" w:type="dxa"/>
            <w:shd w:val="clear" w:color="auto" w:fill="auto"/>
            <w:vAlign w:val="center"/>
          </w:tcPr>
          <w:p w14:paraId="6782DC6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c>
          <w:tcPr>
            <w:tcW w:w="1262" w:type="dxa"/>
            <w:shd w:val="clear" w:color="auto" w:fill="auto"/>
            <w:vAlign w:val="center"/>
          </w:tcPr>
          <w:p w14:paraId="3AE2F39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c>
          <w:tcPr>
            <w:tcW w:w="708" w:type="dxa"/>
            <w:shd w:val="clear" w:color="auto" w:fill="auto"/>
            <w:vAlign w:val="center"/>
          </w:tcPr>
          <w:p w14:paraId="6A483C0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5413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2BCACDB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78C95DA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23</w:t>
            </w:r>
          </w:p>
        </w:tc>
        <w:tc>
          <w:tcPr>
            <w:tcW w:w="4600" w:type="dxa"/>
            <w:shd w:val="clear" w:color="auto" w:fill="auto"/>
            <w:vAlign w:val="center"/>
          </w:tcPr>
          <w:p w14:paraId="7211746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农企联农带农户比率（%）</w:t>
            </w:r>
          </w:p>
        </w:tc>
        <w:tc>
          <w:tcPr>
            <w:tcW w:w="1150" w:type="dxa"/>
            <w:shd w:val="clear" w:color="auto" w:fill="auto"/>
            <w:vAlign w:val="center"/>
          </w:tcPr>
          <w:p w14:paraId="7F086C8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c>
          <w:tcPr>
            <w:tcW w:w="1262" w:type="dxa"/>
            <w:shd w:val="clear" w:color="auto" w:fill="auto"/>
            <w:vAlign w:val="center"/>
          </w:tcPr>
          <w:p w14:paraId="1FDFED1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c>
          <w:tcPr>
            <w:tcW w:w="708" w:type="dxa"/>
            <w:shd w:val="clear" w:color="auto" w:fill="auto"/>
            <w:vAlign w:val="center"/>
          </w:tcPr>
          <w:p w14:paraId="4B1A151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746D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6750CE4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0AF7273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24</w:t>
            </w:r>
          </w:p>
        </w:tc>
        <w:tc>
          <w:tcPr>
            <w:tcW w:w="4600" w:type="dxa"/>
            <w:shd w:val="clear" w:color="auto" w:fill="auto"/>
            <w:vAlign w:val="center"/>
          </w:tcPr>
          <w:p w14:paraId="655D2B1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城乡（农村）居民基本养老保险待遇水平（元/人/月）</w:t>
            </w:r>
          </w:p>
        </w:tc>
        <w:tc>
          <w:tcPr>
            <w:tcW w:w="1150" w:type="dxa"/>
            <w:shd w:val="clear" w:color="auto" w:fill="auto"/>
            <w:vAlign w:val="center"/>
          </w:tcPr>
          <w:p w14:paraId="405E630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998</w:t>
            </w:r>
          </w:p>
        </w:tc>
        <w:tc>
          <w:tcPr>
            <w:tcW w:w="1262" w:type="dxa"/>
            <w:shd w:val="clear" w:color="auto" w:fill="auto"/>
            <w:vAlign w:val="center"/>
          </w:tcPr>
          <w:p w14:paraId="636E1F7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eastAsia="zh-CN"/>
              </w:rPr>
              <w:t>与市级看齐</w:t>
            </w:r>
          </w:p>
        </w:tc>
        <w:tc>
          <w:tcPr>
            <w:tcW w:w="708" w:type="dxa"/>
            <w:shd w:val="clear" w:color="auto" w:fill="auto"/>
            <w:vAlign w:val="center"/>
          </w:tcPr>
          <w:p w14:paraId="1986463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r w14:paraId="2ACD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28F3B82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59BD3BD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25</w:t>
            </w:r>
          </w:p>
        </w:tc>
        <w:tc>
          <w:tcPr>
            <w:tcW w:w="4600" w:type="dxa"/>
            <w:shd w:val="clear" w:color="auto" w:fill="auto"/>
            <w:vAlign w:val="center"/>
          </w:tcPr>
          <w:p w14:paraId="48E7E30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“接诉即办”响应率、解决率、满意率（%）</w:t>
            </w:r>
          </w:p>
        </w:tc>
        <w:tc>
          <w:tcPr>
            <w:tcW w:w="1150" w:type="dxa"/>
          </w:tcPr>
          <w:p w14:paraId="1B78F1E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95</w:t>
            </w:r>
          </w:p>
        </w:tc>
        <w:tc>
          <w:tcPr>
            <w:tcW w:w="1262" w:type="dxa"/>
          </w:tcPr>
          <w:p w14:paraId="477313B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eastAsia="zh-CN"/>
              </w:rPr>
            </w:pPr>
            <w:r>
              <w:rPr>
                <w:rFonts w:hint="eastAsia"/>
                <w:color w:val="auto"/>
                <w:sz w:val="24"/>
                <w:szCs w:val="24"/>
                <w:highlight w:val="none"/>
                <w:lang w:eastAsia="zh-CN"/>
              </w:rPr>
              <w:t>与市级看齐</w:t>
            </w:r>
          </w:p>
        </w:tc>
        <w:tc>
          <w:tcPr>
            <w:tcW w:w="708" w:type="dxa"/>
          </w:tcPr>
          <w:p w14:paraId="1D8BDCB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r>
      <w:tr w14:paraId="43F9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4023282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rPr>
            </w:pPr>
          </w:p>
        </w:tc>
        <w:tc>
          <w:tcPr>
            <w:tcW w:w="526" w:type="dxa"/>
            <w:shd w:val="clear" w:color="auto" w:fill="auto"/>
            <w:vAlign w:val="center"/>
          </w:tcPr>
          <w:p w14:paraId="5E4E25C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26</w:t>
            </w:r>
          </w:p>
        </w:tc>
        <w:tc>
          <w:tcPr>
            <w:tcW w:w="4600" w:type="dxa"/>
            <w:shd w:val="clear" w:color="auto" w:fill="auto"/>
            <w:vAlign w:val="center"/>
          </w:tcPr>
          <w:p w14:paraId="49F5C70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乡村振兴人才驿站及科技小院</w:t>
            </w:r>
          </w:p>
        </w:tc>
        <w:tc>
          <w:tcPr>
            <w:tcW w:w="1150" w:type="dxa"/>
            <w:shd w:val="clear" w:color="auto" w:fill="auto"/>
            <w:vAlign w:val="center"/>
          </w:tcPr>
          <w:p w14:paraId="39BF5A6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c>
          <w:tcPr>
            <w:tcW w:w="1262" w:type="dxa"/>
            <w:shd w:val="clear" w:color="auto" w:fill="auto"/>
            <w:vAlign w:val="center"/>
          </w:tcPr>
          <w:p w14:paraId="70480DB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辐射带动所有涉农乡镇</w:t>
            </w:r>
          </w:p>
        </w:tc>
        <w:tc>
          <w:tcPr>
            <w:tcW w:w="708" w:type="dxa"/>
            <w:shd w:val="clear" w:color="auto" w:fill="auto"/>
            <w:vAlign w:val="center"/>
          </w:tcPr>
          <w:p w14:paraId="437C117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szCs w:val="24"/>
                <w:highlight w:val="none"/>
                <w:lang w:val="en-US" w:eastAsia="zh-CN"/>
              </w:rPr>
            </w:pPr>
          </w:p>
        </w:tc>
      </w:tr>
    </w:tbl>
    <w:p w14:paraId="3DAF6BED">
      <w:pPr>
        <w:jc w:val="right"/>
        <w:rPr>
          <w:rFonts w:hint="eastAsia" w:ascii="黑体" w:hAnsi="黑体" w:eastAsia="黑体"/>
          <w:b w:val="0"/>
          <w:bCs/>
          <w:color w:val="auto"/>
          <w:sz w:val="32"/>
          <w:szCs w:val="32"/>
          <w:highlight w:val="none"/>
        </w:rPr>
      </w:pPr>
      <w:bookmarkStart w:id="50" w:name="_Toc7971"/>
      <w:bookmarkStart w:id="51" w:name="_Toc14989"/>
      <w:r>
        <w:rPr>
          <w:rFonts w:hint="eastAsia" w:ascii="黑体" w:hAnsi="黑体" w:eastAsia="黑体"/>
          <w:b w:val="0"/>
          <w:bCs/>
          <w:color w:val="auto"/>
          <w:sz w:val="32"/>
          <w:szCs w:val="32"/>
          <w:highlight w:val="none"/>
        </w:rPr>
        <w:br w:type="page"/>
      </w:r>
    </w:p>
    <w:bookmarkEnd w:id="50"/>
    <w:bookmarkEnd w:id="51"/>
    <w:p w14:paraId="03CA0EE5">
      <w:pPr>
        <w:pStyle w:val="3"/>
        <w:numPr>
          <w:ilvl w:val="0"/>
          <w:numId w:val="2"/>
        </w:numPr>
        <w:bidi w:val="0"/>
        <w:rPr>
          <w:rFonts w:hint="eastAsia"/>
          <w:color w:val="auto"/>
          <w:highlight w:val="none"/>
          <w:lang w:eastAsia="zh-CN"/>
        </w:rPr>
      </w:pPr>
      <w:bookmarkStart w:id="52" w:name="_Toc5408"/>
      <w:bookmarkStart w:id="53" w:name="_Toc29796"/>
      <w:bookmarkStart w:id="54" w:name="_Toc31304"/>
      <w:r>
        <w:rPr>
          <w:rFonts w:hint="eastAsia"/>
          <w:color w:val="auto"/>
          <w:highlight w:val="none"/>
          <w:lang w:val="en-US" w:eastAsia="zh-CN"/>
        </w:rPr>
        <w:t>重点任务一：</w:t>
      </w:r>
      <w:bookmarkEnd w:id="52"/>
      <w:bookmarkEnd w:id="53"/>
      <w:bookmarkStart w:id="55" w:name="_Toc16786"/>
      <w:bookmarkStart w:id="56" w:name="_Toc17381"/>
      <w:r>
        <w:rPr>
          <w:rFonts w:hint="eastAsia"/>
          <w:color w:val="auto"/>
          <w:highlight w:val="none"/>
          <w:lang w:eastAsia="zh-CN"/>
        </w:rPr>
        <w:t>提高粮食和重要农产品供给保障水平，夯实粮食安全根基</w:t>
      </w:r>
      <w:bookmarkEnd w:id="54"/>
      <w:bookmarkEnd w:id="55"/>
      <w:bookmarkEnd w:id="56"/>
    </w:p>
    <w:p w14:paraId="6D29D6C2">
      <w:pPr>
        <w:pStyle w:val="4"/>
        <w:bidi w:val="0"/>
        <w:rPr>
          <w:rFonts w:hint="eastAsia"/>
          <w:color w:val="auto"/>
          <w:highlight w:val="none"/>
          <w:lang w:val="en-US" w:eastAsia="zh-CN"/>
        </w:rPr>
      </w:pPr>
      <w:bookmarkStart w:id="57" w:name="_Toc29458"/>
      <w:bookmarkStart w:id="58" w:name="_Toc13149"/>
      <w:bookmarkStart w:id="59" w:name="_Toc4823"/>
      <w:r>
        <w:rPr>
          <w:rFonts w:hint="eastAsia"/>
          <w:color w:val="auto"/>
          <w:highlight w:val="none"/>
          <w:lang w:val="en-US" w:eastAsia="zh-CN"/>
        </w:rPr>
        <w:t>（一）严格落实粮食安全党政同责和耕地保护责任制</w:t>
      </w:r>
      <w:bookmarkEnd w:id="57"/>
      <w:bookmarkEnd w:id="58"/>
      <w:bookmarkEnd w:id="59"/>
    </w:p>
    <w:p w14:paraId="0F7D3EEA">
      <w:pPr>
        <w:bidi w:val="0"/>
        <w:rPr>
          <w:rFonts w:hint="eastAsia"/>
          <w:color w:val="auto"/>
          <w:highlight w:val="none"/>
          <w:lang w:val="en-US" w:eastAsia="zh-CN"/>
        </w:rPr>
      </w:pPr>
      <w:r>
        <w:rPr>
          <w:rFonts w:hint="eastAsia"/>
          <w:color w:val="auto"/>
          <w:highlight w:val="none"/>
          <w:lang w:val="en-US" w:eastAsia="zh-CN"/>
        </w:rPr>
        <w:t>坚持稳面积、提单产两手发力，粮食播种面积稳定在16万亩以上，实施大面积单产提升行动，建设一批高产高效示范区、示范田。扩大鲜食玉米、有机杂粮等高附加值经济作物种植面积。推进粮食节约和反食品浪费行动。制定补充耕地质量评价验收细则，推动复耕复垦耕地质量提升。健全高标准农田建设验收管护机制，打造规模化智能化的高标准农田示范区。优化农业灌溉机井布局。持续整治“大棚房”、乱占耕地建房等问题。</w:t>
      </w:r>
    </w:p>
    <w:p w14:paraId="00D28AE9">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9"/>
      </w:tblGrid>
      <w:tr w14:paraId="5E04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9" w:type="dxa"/>
          </w:tcPr>
          <w:p w14:paraId="649D45A5">
            <w:pPr>
              <w:widowControl/>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专栏</w:t>
            </w:r>
            <w:r>
              <w:rPr>
                <w:rFonts w:hint="eastAsia" w:ascii="仿宋_GB2312" w:hAnsi="仿宋_GB2312" w:cs="仿宋_GB2312"/>
                <w:b/>
                <w:bCs/>
                <w:color w:val="auto"/>
                <w:sz w:val="30"/>
                <w:szCs w:val="30"/>
                <w:highlight w:val="none"/>
                <w:lang w:val="en-US" w:eastAsia="zh-CN"/>
              </w:rPr>
              <w:t>一</w:t>
            </w:r>
          </w:p>
          <w:p w14:paraId="03C88199">
            <w:pPr>
              <w:widowControl/>
              <w:ind w:left="0" w:leftChars="0" w:firstLine="0" w:firstLineChars="0"/>
              <w:jc w:val="center"/>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高效示范田及高附加值示范田建设</w:t>
            </w:r>
          </w:p>
          <w:p w14:paraId="57CB2A0B">
            <w:pPr>
              <w:widowControl/>
              <w:numPr>
                <w:ilvl w:val="-1"/>
                <w:numId w:val="0"/>
              </w:numPr>
              <w:spacing w:line="560" w:lineRule="exact"/>
              <w:ind w:firstLine="640" w:firstLineChars="200"/>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高标准农田建设项目</w:t>
            </w:r>
            <w:r>
              <w:rPr>
                <w:rFonts w:hint="eastAsia" w:ascii="仿宋_GB2312" w:hAnsi="仿宋_GB2312" w:eastAsia="仿宋_GB2312" w:cs="仿宋_GB2312"/>
                <w:color w:val="auto"/>
                <w:sz w:val="32"/>
                <w:szCs w:val="32"/>
                <w:highlight w:val="none"/>
                <w:lang w:eastAsia="zh-CN"/>
              </w:rPr>
              <w:t>：通过实施高标准农田建设，实现“一平二通三提升”，建设内容包括田块整治工程、灌溉与排水工程、田间道路工程及农田地力提升工程等建设内容。预计建成高标准农田3万亩。</w:t>
            </w:r>
            <w:r>
              <w:rPr>
                <w:rFonts w:hint="eastAsia" w:ascii="仿宋_GB2312" w:hAnsi="仿宋_GB2312" w:eastAsia="仿宋_GB2312" w:cs="仿宋_GB2312"/>
                <w:color w:val="auto"/>
                <w:sz w:val="32"/>
                <w:szCs w:val="32"/>
                <w:highlight w:val="none"/>
              </w:rPr>
              <w:t>在康庄镇、旧县镇、香营</w:t>
            </w:r>
            <w:r>
              <w:rPr>
                <w:rFonts w:hint="eastAsia" w:ascii="仿宋_GB2312" w:hAnsi="仿宋_GB2312" w:eastAsia="仿宋_GB2312" w:cs="仿宋_GB2312"/>
                <w:color w:val="auto"/>
                <w:sz w:val="32"/>
                <w:szCs w:val="32"/>
                <w:highlight w:val="none"/>
                <w:lang w:eastAsia="zh-CN"/>
              </w:rPr>
              <w:t>乡等</w:t>
            </w:r>
            <w:r>
              <w:rPr>
                <w:rFonts w:hint="eastAsia" w:ascii="仿宋_GB2312" w:hAnsi="仿宋_GB2312" w:eastAsia="仿宋_GB2312" w:cs="仿宋_GB2312"/>
                <w:color w:val="auto"/>
                <w:sz w:val="32"/>
                <w:szCs w:val="32"/>
                <w:highlight w:val="none"/>
              </w:rPr>
              <w:t>打造千亩双高智慧示范田，推广旱稻、鲜食玉米等高附加值作物。</w:t>
            </w:r>
            <w:r>
              <w:rPr>
                <w:rFonts w:hint="eastAsia" w:ascii="仿宋_GB2312" w:hAnsi="仿宋_GB2312" w:eastAsia="仿宋_GB2312" w:cs="仿宋_GB2312"/>
                <w:color w:val="auto"/>
                <w:sz w:val="32"/>
                <w:szCs w:val="32"/>
                <w:highlight w:val="none"/>
                <w:lang w:val="en-US" w:eastAsia="zh-CN"/>
              </w:rPr>
              <w:t>在大榆树打造3000亩高标准示范田。</w:t>
            </w:r>
            <w:r>
              <w:rPr>
                <w:rFonts w:hint="eastAsia" w:ascii="仿宋_GB2312" w:hAnsi="仿宋_GB2312" w:cs="仿宋_GB2312"/>
                <w:color w:val="auto"/>
                <w:sz w:val="32"/>
                <w:szCs w:val="32"/>
                <w:highlight w:val="none"/>
                <w:lang w:val="en-US" w:eastAsia="zh-CN"/>
              </w:rPr>
              <w:t>（见附图1）</w:t>
            </w:r>
          </w:p>
          <w:p w14:paraId="36F63D90">
            <w:pPr>
              <w:pStyle w:val="6"/>
              <w:rPr>
                <w:color w:val="auto"/>
                <w:highlight w:val="none"/>
              </w:rPr>
            </w:pPr>
          </w:p>
        </w:tc>
      </w:tr>
    </w:tbl>
    <w:p w14:paraId="7DC39C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textAlignment w:val="auto"/>
        <w:outlineLvl w:val="2"/>
        <w:rPr>
          <w:rFonts w:hint="eastAsia" w:ascii="仿宋_GB2312" w:hAnsi="仿宋_GB2312" w:eastAsia="仿宋_GB2312" w:cs="仿宋_GB2312"/>
          <w:color w:val="auto"/>
          <w:kern w:val="2"/>
          <w:sz w:val="32"/>
          <w:szCs w:val="32"/>
          <w:highlight w:val="none"/>
          <w:lang w:val="en-US" w:eastAsia="zh-CN" w:bidi="ar-SA"/>
        </w:rPr>
      </w:pPr>
      <w:bookmarkStart w:id="60" w:name="_Toc27020"/>
      <w:bookmarkStart w:id="61" w:name="_Toc7724"/>
    </w:p>
    <w:p w14:paraId="0BDD02C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textAlignment w:val="auto"/>
        <w:outlineLvl w:val="2"/>
        <w:rPr>
          <w:rFonts w:hint="eastAsia" w:ascii="仿宋_GB2312" w:hAnsi="仿宋_GB2312" w:eastAsia="仿宋_GB2312" w:cs="仿宋_GB2312"/>
          <w:color w:val="auto"/>
          <w:kern w:val="2"/>
          <w:sz w:val="32"/>
          <w:szCs w:val="32"/>
          <w:highlight w:val="none"/>
          <w:lang w:val="en-US" w:eastAsia="zh-CN" w:bidi="ar-SA"/>
        </w:rPr>
      </w:pPr>
    </w:p>
    <w:p w14:paraId="032DAEF9">
      <w:pPr>
        <w:pStyle w:val="4"/>
        <w:bidi w:val="0"/>
        <w:ind w:firstLine="880"/>
        <w:rPr>
          <w:rFonts w:hint="eastAsia" w:ascii="Arial" w:hAnsi="Arial"/>
          <w:b w:val="0"/>
          <w:color w:val="auto"/>
          <w:highlight w:val="none"/>
          <w:lang w:val="en-US" w:eastAsia="zh-CN"/>
        </w:rPr>
      </w:pPr>
      <w:bookmarkStart w:id="62" w:name="_Toc11098"/>
      <w:r>
        <w:rPr>
          <w:rFonts w:hint="eastAsia" w:ascii="Arial" w:hAnsi="Arial"/>
          <w:b w:val="0"/>
          <w:color w:val="auto"/>
          <w:highlight w:val="none"/>
          <w:lang w:val="en-US" w:eastAsia="zh-CN"/>
        </w:rPr>
        <w:t>（二）提升“菜篮子”保障供应水平</w:t>
      </w:r>
      <w:bookmarkEnd w:id="60"/>
      <w:bookmarkEnd w:id="61"/>
      <w:bookmarkEnd w:id="62"/>
    </w:p>
    <w:p w14:paraId="725E9C97">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压实“菜篮子”区长负责制，蔬菜年产量稳定在10万吨。优化蔬菜生产布局，提高供给保障能力，蔬菜播种面积5万亩左右。打造1条产业推进带及多个规模提升群。一体化推进蔬菜育苗、生产、初加工等全产业链发展。优化生猪产能调控机制，保证能繁母猪保有量，提升福利蛋鸡养殖、奶业产业集群等设施建设。强化农产品质量安全监管，健全农业全产业链标准体系。大力提倡健康饮食。</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3"/>
      </w:tblGrid>
      <w:tr w14:paraId="6272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3" w:type="dxa"/>
          </w:tcPr>
          <w:p w14:paraId="2A2231AF">
            <w:pPr>
              <w:widowControl/>
              <w:ind w:left="0" w:leftChars="0" w:firstLine="0" w:firstLineChars="0"/>
              <w:jc w:val="center"/>
              <w:rPr>
                <w:rFonts w:hint="eastAsia" w:ascii="仿宋_GB2312" w:hAnsi="仿宋_GB2312" w:eastAsia="仿宋_GB2312" w:cs="仿宋_GB2312"/>
                <w:b/>
                <w:bCs/>
                <w:color w:val="auto"/>
                <w:sz w:val="30"/>
                <w:szCs w:val="30"/>
                <w:highlight w:val="none"/>
                <w:lang w:eastAsia="zh-CN"/>
              </w:rPr>
            </w:pPr>
            <w:bookmarkStart w:id="63" w:name="_Toc2729"/>
            <w:r>
              <w:rPr>
                <w:rFonts w:hint="eastAsia" w:ascii="仿宋_GB2312" w:hAnsi="仿宋_GB2312" w:eastAsia="仿宋_GB2312" w:cs="仿宋_GB2312"/>
                <w:b/>
                <w:bCs/>
                <w:color w:val="auto"/>
                <w:sz w:val="30"/>
                <w:szCs w:val="30"/>
                <w:highlight w:val="none"/>
              </w:rPr>
              <w:t>专栏</w:t>
            </w:r>
            <w:r>
              <w:rPr>
                <w:rFonts w:hint="eastAsia" w:ascii="仿宋_GB2312" w:hAnsi="仿宋_GB2312" w:cs="仿宋_GB2312"/>
                <w:b/>
                <w:bCs/>
                <w:color w:val="auto"/>
                <w:sz w:val="30"/>
                <w:szCs w:val="30"/>
                <w:highlight w:val="none"/>
                <w:lang w:val="en-US" w:eastAsia="zh-CN"/>
              </w:rPr>
              <w:t>二</w:t>
            </w:r>
          </w:p>
          <w:p w14:paraId="6DDBB912">
            <w:pPr>
              <w:widowControl/>
              <w:ind w:left="0" w:leftChars="0" w:firstLine="0" w:firstLineChars="0"/>
              <w:jc w:val="center"/>
              <w:rPr>
                <w:rFonts w:hint="eastAsia" w:ascii="仿宋_GB2312" w:hAnsi="仿宋_GB2312" w:eastAsia="仿宋_GB2312" w:cs="仿宋_GB2312"/>
                <w:b/>
                <w:bCs/>
                <w:color w:val="auto"/>
                <w:sz w:val="30"/>
                <w:szCs w:val="30"/>
                <w:highlight w:val="none"/>
                <w:lang w:eastAsia="zh-CN"/>
              </w:rPr>
            </w:pPr>
            <w:r>
              <w:rPr>
                <w:rFonts w:hint="eastAsia" w:ascii="仿宋_GB2312" w:hAnsi="仿宋_GB2312" w:eastAsia="仿宋_GB2312" w:cs="仿宋_GB2312"/>
                <w:b/>
                <w:bCs/>
                <w:color w:val="auto"/>
                <w:sz w:val="30"/>
                <w:szCs w:val="30"/>
                <w:highlight w:val="none"/>
              </w:rPr>
              <w:t>露地冷凉蔬菜示范园及育苗基地</w:t>
            </w:r>
            <w:r>
              <w:rPr>
                <w:rFonts w:hint="eastAsia" w:ascii="仿宋_GB2312" w:hAnsi="仿宋_GB2312" w:eastAsia="仿宋_GB2312" w:cs="仿宋_GB2312"/>
                <w:b/>
                <w:bCs/>
                <w:color w:val="auto"/>
                <w:sz w:val="30"/>
                <w:szCs w:val="30"/>
                <w:highlight w:val="none"/>
                <w:lang w:eastAsia="zh-CN"/>
              </w:rPr>
              <w:t>提升工程</w:t>
            </w:r>
          </w:p>
          <w:p w14:paraId="20C0E542">
            <w:pPr>
              <w:widowControl/>
              <w:numPr>
                <w:ilvl w:val="-1"/>
                <w:numId w:val="0"/>
              </w:numPr>
              <w:spacing w:line="56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以永宁镇为核心，联合旧县镇、沈家营镇、香营</w:t>
            </w:r>
            <w:r>
              <w:rPr>
                <w:rFonts w:hint="eastAsia" w:ascii="仿宋_GB2312" w:hAnsi="仿宋_GB2312" w:eastAsia="仿宋_GB2312" w:cs="仿宋_GB2312"/>
                <w:color w:val="auto"/>
                <w:sz w:val="32"/>
                <w:szCs w:val="32"/>
                <w:highlight w:val="none"/>
                <w:lang w:eastAsia="zh-CN"/>
              </w:rPr>
              <w:t>乡提升</w:t>
            </w:r>
            <w:r>
              <w:rPr>
                <w:rFonts w:hint="eastAsia" w:ascii="仿宋_GB2312" w:hAnsi="仿宋_GB2312" w:eastAsia="仿宋_GB2312" w:cs="仿宋_GB2312"/>
                <w:color w:val="auto"/>
                <w:sz w:val="32"/>
                <w:szCs w:val="32"/>
                <w:highlight w:val="none"/>
              </w:rPr>
              <w:t>打造一条川区蔬菜推进带，以万达有机农场为引领，打造</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个</w:t>
            </w:r>
            <w:r>
              <w:rPr>
                <w:rFonts w:hint="eastAsia" w:ascii="仿宋_GB2312" w:hAnsi="仿宋_GB2312" w:eastAsia="仿宋_GB2312" w:cs="仿宋_GB2312"/>
                <w:color w:val="auto"/>
                <w:sz w:val="32"/>
                <w:szCs w:val="32"/>
                <w:highlight w:val="none"/>
                <w:lang w:eastAsia="zh-CN"/>
              </w:rPr>
              <w:t>叶菜类产业示范园。</w:t>
            </w:r>
          </w:p>
          <w:p w14:paraId="1A72E04B">
            <w:pPr>
              <w:widowControl/>
              <w:numPr>
                <w:ilvl w:val="-1"/>
                <w:numId w:val="0"/>
              </w:numPr>
              <w:spacing w:line="56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在永宁镇打造冷凉蔬菜集约化育苗中心，在大榆树镇打造草莓种苗繁育中心，扩大蔬果优质种苗商品化供给覆盖面，有效解决小农户育苗难、成本高、质量差的问题。</w:t>
            </w:r>
          </w:p>
          <w:p w14:paraId="3DA53D3C">
            <w:pPr>
              <w:widowControl/>
              <w:numPr>
                <w:ilvl w:val="-1"/>
                <w:numId w:val="0"/>
              </w:numPr>
              <w:spacing w:line="560" w:lineRule="exact"/>
              <w:ind w:firstLine="640" w:firstLineChars="200"/>
              <w:jc w:val="left"/>
              <w:rPr>
                <w:rFonts w:hint="default"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2"/>
                <w:szCs w:val="32"/>
                <w:highlight w:val="none"/>
                <w:lang w:val="en-US" w:eastAsia="zh-CN"/>
              </w:rPr>
              <w:t>打造阳光果蔬种植基地，</w:t>
            </w:r>
            <w:r>
              <w:rPr>
                <w:rFonts w:hint="eastAsia" w:ascii="仿宋_GB2312" w:hAnsi="仿宋_GB2312" w:eastAsia="仿宋_GB2312" w:cs="仿宋_GB2312"/>
                <w:color w:val="auto"/>
                <w:sz w:val="32"/>
                <w:szCs w:val="32"/>
                <w:highlight w:val="none"/>
              </w:rPr>
              <w:t>以“一主园三辅园”为核心，主园区为绿富隆东羊坊基地，位于旧县镇东羊坊村，占地300亩，主要种植生菜、番茄、黄瓜等叶菜类、茄果类高需求品类</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三个辅园区分别位于沈家营镇西王化营村、永宁镇孔化营村和前平坊村，总面积达2500余亩，主要生产红薯、马铃薯、西兰花等大宗蔬果。依托博士后科研工作站的专家力量，积极开展优质种苗培育等技术研发，通过改良品种、优化育苗环境，培育出更多抗病性强、产量高、品质好的种苗。将在自主种植培育的基础上，深化源头直采，统筹统购延庆区18家合作社、村集体的种植资源，并明确统一的种植、管理、采摘标准，进行一体化分拣配送，确保提供健康安全的优质农产品，带动当地农户增收。</w:t>
            </w:r>
            <w:r>
              <w:rPr>
                <w:rFonts w:hint="eastAsia" w:ascii="仿宋_GB2312" w:hAnsi="仿宋_GB2312" w:cs="仿宋_GB2312"/>
                <w:color w:val="auto"/>
                <w:sz w:val="32"/>
                <w:szCs w:val="32"/>
                <w:highlight w:val="none"/>
                <w:lang w:val="en-US" w:eastAsia="zh-CN"/>
              </w:rPr>
              <w:t>（见附图2）</w:t>
            </w:r>
          </w:p>
        </w:tc>
      </w:tr>
    </w:tbl>
    <w:p w14:paraId="0AC3B4C4">
      <w:pPr>
        <w:keepNext w:val="0"/>
        <w:keepLines w:val="0"/>
        <w:pageBreakBefore w:val="0"/>
        <w:widowControl w:val="0"/>
        <w:kinsoku/>
        <w:wordWrap/>
        <w:overflowPunct/>
        <w:topLinePunct w:val="0"/>
        <w:autoSpaceDE/>
        <w:autoSpaceDN/>
        <w:bidi w:val="0"/>
        <w:adjustRightInd/>
        <w:snapToGrid/>
        <w:spacing w:beforeAutospacing="0" w:afterAutospacing="0" w:line="570" w:lineRule="exact"/>
        <w:textAlignment w:val="auto"/>
        <w:outlineLvl w:val="2"/>
        <w:rPr>
          <w:rFonts w:hint="eastAsia" w:ascii="仿宋_GB2312" w:hAnsi="仿宋_GB2312" w:eastAsia="仿宋_GB2312" w:cs="仿宋_GB2312"/>
          <w:color w:val="auto"/>
          <w:kern w:val="2"/>
          <w:sz w:val="32"/>
          <w:szCs w:val="32"/>
          <w:highlight w:val="none"/>
          <w:lang w:val="en-US" w:eastAsia="zh-CN" w:bidi="ar-SA"/>
        </w:rPr>
      </w:pPr>
      <w:bookmarkStart w:id="64" w:name="_Toc6972"/>
    </w:p>
    <w:p w14:paraId="67347A58">
      <w:pPr>
        <w:pStyle w:val="4"/>
        <w:bidi w:val="0"/>
        <w:rPr>
          <w:rFonts w:hint="eastAsia"/>
          <w:color w:val="auto"/>
          <w:highlight w:val="none"/>
          <w:lang w:val="en-US" w:eastAsia="zh-CN"/>
        </w:rPr>
      </w:pPr>
      <w:bookmarkStart w:id="65" w:name="_Toc32237"/>
      <w:r>
        <w:rPr>
          <w:rFonts w:hint="eastAsia"/>
          <w:color w:val="auto"/>
          <w:highlight w:val="none"/>
          <w:lang w:val="en-US" w:eastAsia="zh-CN"/>
        </w:rPr>
        <w:t>（三）发展现代林果业</w:t>
      </w:r>
      <w:bookmarkEnd w:id="63"/>
      <w:bookmarkEnd w:id="64"/>
      <w:bookmarkEnd w:id="65"/>
    </w:p>
    <w:p w14:paraId="4D71B276">
      <w:pPr>
        <w:bidi w:val="0"/>
        <w:rPr>
          <w:rFonts w:hint="eastAsia"/>
          <w:color w:val="auto"/>
          <w:highlight w:val="none"/>
          <w:lang w:val="en-US" w:eastAsia="zh-CN"/>
        </w:rPr>
      </w:pPr>
      <w:r>
        <w:rPr>
          <w:rFonts w:hint="eastAsia"/>
          <w:color w:val="auto"/>
          <w:highlight w:val="none"/>
          <w:lang w:val="en-US" w:eastAsia="zh-CN"/>
        </w:rPr>
        <w:t>以科技赋能与全链增值为核心，构建延庆特色果品与适宜优新品种相结合、传统模式与现代化模式相结合、实用技术与高新技术相结合的特色果品产业。推广“延庆国光苹果”“延怀河谷葡萄”两大国家地理标志农产品，优化品种结构与区域布局，集成推广绿色生态栽培、节水抗旱与土壤健康管理等技术，示范建设集智能水肥、绿色防控、数字管理于一体的智慧果园。同步推动产加销一体化，发展果品采后商品化处理与精深加工，并深度挖掘果园的生态涵养、观光采摘与科普体验价值，促进农文旅融合。加强新型集体林场建设管理，稳定农民绿岗就业。到2030年，实现改造低效果园1万亩，推动延庆成为首都生态精品果园科技标杆。</w:t>
      </w:r>
    </w:p>
    <w:p w14:paraId="471575D0">
      <w:pPr>
        <w:keepNext w:val="0"/>
        <w:keepLines w:val="0"/>
        <w:pageBreakBefore w:val="0"/>
        <w:widowControl w:val="0"/>
        <w:kinsoku/>
        <w:wordWrap/>
        <w:overflowPunct/>
        <w:topLinePunct w:val="0"/>
        <w:autoSpaceDE/>
        <w:autoSpaceDN/>
        <w:bidi w:val="0"/>
        <w:adjustRightInd/>
        <w:snapToGrid/>
        <w:spacing w:beforeAutospacing="0" w:afterAutospacing="0" w:line="57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5"/>
      </w:tblGrid>
      <w:tr w14:paraId="19F0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5" w:type="dxa"/>
          </w:tcPr>
          <w:p w14:paraId="2DF1EBE0">
            <w:pPr>
              <w:widowControl/>
              <w:ind w:left="0" w:leftChars="0" w:firstLine="0" w:firstLineChars="0"/>
              <w:jc w:val="center"/>
              <w:rPr>
                <w:rFonts w:hint="eastAsia" w:ascii="仿宋_GB2312" w:hAnsi="仿宋_GB2312" w:eastAsia="仿宋_GB2312" w:cs="仿宋_GB2312"/>
                <w:b/>
                <w:bCs/>
                <w:color w:val="auto"/>
                <w:sz w:val="30"/>
                <w:szCs w:val="30"/>
                <w:highlight w:val="none"/>
                <w:lang w:eastAsia="zh-CN"/>
              </w:rPr>
            </w:pPr>
            <w:r>
              <w:rPr>
                <w:rFonts w:hint="eastAsia" w:ascii="仿宋_GB2312" w:hAnsi="仿宋_GB2312" w:eastAsia="仿宋_GB2312" w:cs="仿宋_GB2312"/>
                <w:b/>
                <w:bCs/>
                <w:color w:val="auto"/>
                <w:sz w:val="30"/>
                <w:szCs w:val="30"/>
                <w:highlight w:val="none"/>
              </w:rPr>
              <w:t>专栏</w:t>
            </w:r>
            <w:r>
              <w:rPr>
                <w:rFonts w:hint="eastAsia" w:ascii="仿宋_GB2312" w:hAnsi="仿宋_GB2312" w:cs="仿宋_GB2312"/>
                <w:b/>
                <w:bCs/>
                <w:color w:val="auto"/>
                <w:sz w:val="30"/>
                <w:szCs w:val="30"/>
                <w:highlight w:val="none"/>
                <w:lang w:val="en-US" w:eastAsia="zh-CN"/>
              </w:rPr>
              <w:t>三</w:t>
            </w:r>
          </w:p>
          <w:p w14:paraId="1F6AC27B">
            <w:pPr>
              <w:widowControl/>
              <w:ind w:left="0" w:leftChars="0" w:firstLine="0" w:firstLineChars="0"/>
              <w:jc w:val="center"/>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低效果园更新及智慧化绿色果园建设</w:t>
            </w:r>
          </w:p>
          <w:p w14:paraId="27E7C5C5">
            <w:pPr>
              <w:widowControl/>
              <w:numPr>
                <w:ilvl w:val="-1"/>
                <w:numId w:val="0"/>
              </w:numPr>
              <w:spacing w:line="56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品种更新行动：引进优良品种，提高</w:t>
            </w:r>
            <w:r>
              <w:rPr>
                <w:rFonts w:hint="eastAsia" w:ascii="仿宋_GB2312" w:hAnsi="仿宋_GB2312" w:eastAsia="仿宋_GB2312" w:cs="仿宋_GB2312"/>
                <w:color w:val="auto"/>
                <w:sz w:val="32"/>
                <w:szCs w:val="32"/>
                <w:highlight w:val="none"/>
                <w:lang w:val="en-US" w:eastAsia="zh-CN"/>
              </w:rPr>
              <w:t>优良品种</w:t>
            </w:r>
            <w:r>
              <w:rPr>
                <w:rFonts w:hint="eastAsia" w:ascii="仿宋_GB2312" w:hAnsi="仿宋_GB2312" w:eastAsia="仿宋_GB2312" w:cs="仿宋_GB2312"/>
                <w:color w:val="auto"/>
                <w:sz w:val="32"/>
                <w:szCs w:val="32"/>
                <w:highlight w:val="none"/>
              </w:rPr>
              <w:t>覆盖率。有序推进苹果、葡萄、杏等低效果园品种更新和果园设施提升。</w:t>
            </w:r>
          </w:p>
          <w:p w14:paraId="60EA0CD6">
            <w:pPr>
              <w:widowControl/>
              <w:numPr>
                <w:ilvl w:val="-1"/>
                <w:numId w:val="0"/>
              </w:numPr>
              <w:spacing w:line="560" w:lineRule="exact"/>
              <w:ind w:firstLine="640" w:firstLineChars="200"/>
              <w:jc w:val="left"/>
              <w:rPr>
                <w:color w:val="auto"/>
                <w:highlight w:val="none"/>
              </w:rPr>
            </w:pPr>
            <w:r>
              <w:rPr>
                <w:rFonts w:hint="eastAsia" w:ascii="仿宋_GB2312" w:hAnsi="仿宋_GB2312" w:eastAsia="仿宋_GB2312" w:cs="仿宋_GB2312"/>
                <w:color w:val="auto"/>
                <w:sz w:val="32"/>
                <w:szCs w:val="32"/>
                <w:highlight w:val="none"/>
              </w:rPr>
              <w:t>智慧果园建设：提升</w:t>
            </w:r>
            <w:r>
              <w:rPr>
                <w:rFonts w:hint="eastAsia" w:ascii="仿宋_GB2312" w:hAnsi="仿宋_GB2312" w:eastAsia="仿宋_GB2312" w:cs="仿宋_GB2312"/>
                <w:color w:val="auto"/>
                <w:kern w:val="2"/>
                <w:sz w:val="32"/>
                <w:szCs w:val="32"/>
                <w:highlight w:val="none"/>
                <w:lang w:val="en-US" w:eastAsia="zh-CN" w:bidi="ar-SA"/>
              </w:rPr>
              <w:t>“延庆</w:t>
            </w:r>
            <w:r>
              <w:rPr>
                <w:rFonts w:hint="eastAsia" w:ascii="仿宋_GB2312" w:hAnsi="仿宋_GB2312" w:eastAsia="仿宋_GB2312" w:cs="仿宋_GB2312"/>
                <w:strike w:val="0"/>
                <w:dstrike w:val="0"/>
                <w:color w:val="auto"/>
                <w:kern w:val="2"/>
                <w:sz w:val="32"/>
                <w:szCs w:val="32"/>
                <w:highlight w:val="none"/>
                <w:lang w:val="en-US" w:eastAsia="zh-CN" w:bidi="ar-SA"/>
              </w:rPr>
              <w:t>国光苹果</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trike w:val="0"/>
                <w:dstrike w:val="0"/>
                <w:color w:val="auto"/>
                <w:kern w:val="2"/>
                <w:sz w:val="32"/>
                <w:szCs w:val="32"/>
                <w:highlight w:val="none"/>
                <w:lang w:val="en-US" w:eastAsia="zh-CN" w:bidi="ar-SA"/>
              </w:rPr>
              <w:t>和“延怀河谷葡萄”</w:t>
            </w:r>
            <w:r>
              <w:rPr>
                <w:rFonts w:hint="eastAsia" w:ascii="仿宋_GB2312" w:hAnsi="仿宋_GB2312" w:eastAsia="仿宋_GB2312" w:cs="仿宋_GB2312"/>
                <w:color w:val="auto"/>
                <w:kern w:val="2"/>
                <w:sz w:val="32"/>
                <w:szCs w:val="32"/>
                <w:highlight w:val="none"/>
                <w:lang w:val="en-US" w:eastAsia="zh-CN" w:bidi="ar-SA"/>
              </w:rPr>
              <w:t>两个国家地理标志农产品</w:t>
            </w:r>
            <w:r>
              <w:rPr>
                <w:rFonts w:hint="eastAsia" w:ascii="仿宋_GB2312" w:hAnsi="仿宋_GB2312" w:eastAsia="仿宋_GB2312" w:cs="仿宋_GB2312"/>
                <w:color w:val="auto"/>
                <w:sz w:val="32"/>
                <w:szCs w:val="32"/>
                <w:highlight w:val="none"/>
              </w:rPr>
              <w:t>的果园更新和智慧化果园建设，</w:t>
            </w:r>
            <w:r>
              <w:rPr>
                <w:rFonts w:hint="eastAsia" w:ascii="仿宋_GB2312" w:hAnsi="仿宋_GB2312" w:cs="仿宋_GB2312"/>
                <w:color w:val="auto"/>
                <w:sz w:val="32"/>
                <w:szCs w:val="32"/>
                <w:highlight w:val="none"/>
                <w:lang w:val="en-US" w:eastAsia="zh-CN"/>
              </w:rPr>
              <w:t>在张山营镇打造千亩智慧化苹果园、三千亩葡萄园，在旧县镇打造千亩国光苹果园，</w:t>
            </w:r>
            <w:r>
              <w:rPr>
                <w:rFonts w:hint="eastAsia" w:ascii="仿宋_GB2312" w:hAnsi="仿宋_GB2312" w:eastAsia="仿宋_GB2312" w:cs="仿宋_GB2312"/>
                <w:color w:val="auto"/>
                <w:sz w:val="32"/>
                <w:szCs w:val="32"/>
                <w:highlight w:val="none"/>
              </w:rPr>
              <w:t>在香营乡打造千亩八棱脆海棠智慧绿色果园。</w:t>
            </w:r>
            <w:r>
              <w:rPr>
                <w:rFonts w:hint="eastAsia" w:ascii="仿宋_GB2312" w:hAnsi="仿宋_GB2312" w:cs="仿宋_GB2312"/>
                <w:color w:val="auto"/>
                <w:sz w:val="32"/>
                <w:szCs w:val="32"/>
                <w:highlight w:val="none"/>
                <w:lang w:val="en-US" w:eastAsia="zh-CN"/>
              </w:rPr>
              <w:t>（见附图3）</w:t>
            </w:r>
          </w:p>
        </w:tc>
      </w:tr>
    </w:tbl>
    <w:p w14:paraId="69EF787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outlineLvl w:val="2"/>
        <w:rPr>
          <w:rFonts w:hint="eastAsia" w:ascii="仿宋_GB2312" w:hAnsi="仿宋_GB2312" w:eastAsia="仿宋_GB2312" w:cs="仿宋_GB2312"/>
          <w:color w:val="auto"/>
          <w:kern w:val="2"/>
          <w:sz w:val="32"/>
          <w:szCs w:val="32"/>
          <w:highlight w:val="none"/>
          <w:lang w:val="en-US" w:eastAsia="zh-CN" w:bidi="ar-SA"/>
        </w:rPr>
      </w:pPr>
      <w:bookmarkStart w:id="66" w:name="_Toc25764"/>
      <w:bookmarkStart w:id="67" w:name="_Toc29894"/>
    </w:p>
    <w:p w14:paraId="2F7F8A49">
      <w:pPr>
        <w:pStyle w:val="4"/>
        <w:bidi w:val="0"/>
        <w:rPr>
          <w:rFonts w:hint="eastAsia"/>
          <w:color w:val="auto"/>
          <w:highlight w:val="none"/>
          <w:lang w:val="en-US" w:eastAsia="zh-CN"/>
        </w:rPr>
      </w:pPr>
      <w:bookmarkStart w:id="68" w:name="_Toc10701"/>
      <w:r>
        <w:rPr>
          <w:rFonts w:hint="eastAsia"/>
          <w:color w:val="auto"/>
          <w:highlight w:val="none"/>
          <w:lang w:val="en-US" w:eastAsia="zh-CN"/>
        </w:rPr>
        <w:t>（四）发展林下经济</w:t>
      </w:r>
      <w:bookmarkEnd w:id="66"/>
      <w:bookmarkEnd w:id="67"/>
      <w:bookmarkEnd w:id="68"/>
    </w:p>
    <w:p w14:paraId="018133EF">
      <w:pPr>
        <w:bidi w:val="0"/>
        <w:rPr>
          <w:rFonts w:hint="default"/>
          <w:color w:val="auto"/>
          <w:highlight w:val="none"/>
          <w:lang w:val="en-US" w:eastAsia="zh-CN"/>
        </w:rPr>
      </w:pPr>
      <w:r>
        <w:rPr>
          <w:rFonts w:hint="eastAsia"/>
          <w:color w:val="auto"/>
          <w:highlight w:val="none"/>
          <w:lang w:val="en-US" w:eastAsia="zh-CN"/>
        </w:rPr>
        <w:t>鼓励新型集体经济林场适地开发林菌、林药、林蜂、林游特色模式，着重利用集体林场发展林菌和林蜂产业，在生态林区探索发展林禽、林蛙养殖。以集体林场为依托，在四海镇、张山营镇建设万亩林下经济示范园，构建“林菌药禽”立体循环产业体系，通过物联网、大数据、人工智能等技术赋能，形成“智慧生产—生态观光—加工销售”全产业链融合模式，实现“生态有保护、产业有收益、农民有增收、技术可复制”的全国引领性效果。</w:t>
      </w:r>
    </w:p>
    <w:p w14:paraId="3912D80D">
      <w:pPr>
        <w:rPr>
          <w:rFonts w:hint="eastAsia"/>
          <w:color w:val="auto"/>
          <w:highlight w:val="none"/>
          <w:lang w:val="en-US" w:eastAsia="zh-CN"/>
        </w:rPr>
      </w:pPr>
    </w:p>
    <w:p w14:paraId="7FEEB911">
      <w:pPr>
        <w:pStyle w:val="3"/>
        <w:numPr>
          <w:ilvl w:val="0"/>
          <w:numId w:val="2"/>
        </w:numPr>
        <w:bidi w:val="0"/>
        <w:rPr>
          <w:rFonts w:hint="eastAsia"/>
          <w:color w:val="auto"/>
          <w:highlight w:val="none"/>
          <w:lang w:val="en-US" w:eastAsia="zh-CN"/>
        </w:rPr>
      </w:pPr>
      <w:bookmarkStart w:id="69" w:name="_Toc5011"/>
      <w:r>
        <w:rPr>
          <w:rFonts w:hint="eastAsia"/>
          <w:color w:val="auto"/>
          <w:highlight w:val="none"/>
          <w:lang w:val="en-US" w:eastAsia="zh-CN"/>
        </w:rPr>
        <w:t>重点任务二：</w:t>
      </w:r>
      <w:bookmarkStart w:id="70" w:name="_Toc31972"/>
      <w:bookmarkStart w:id="71" w:name="_Toc7025"/>
      <w:r>
        <w:rPr>
          <w:rFonts w:hint="eastAsia"/>
          <w:color w:val="auto"/>
          <w:highlight w:val="none"/>
          <w:lang w:val="en-US" w:eastAsia="zh-CN"/>
        </w:rPr>
        <w:t>强化农业科技创新引领，培育农业新质生产力</w:t>
      </w:r>
      <w:bookmarkEnd w:id="69"/>
      <w:bookmarkEnd w:id="70"/>
      <w:bookmarkEnd w:id="71"/>
    </w:p>
    <w:p w14:paraId="6BDC6180">
      <w:pPr>
        <w:pStyle w:val="4"/>
        <w:numPr>
          <w:ilvl w:val="0"/>
          <w:numId w:val="3"/>
        </w:numPr>
        <w:bidi w:val="0"/>
        <w:rPr>
          <w:rFonts w:hint="eastAsia"/>
          <w:color w:val="auto"/>
          <w:highlight w:val="none"/>
          <w:lang w:val="en-US" w:eastAsia="zh-CN"/>
        </w:rPr>
      </w:pPr>
      <w:bookmarkStart w:id="72" w:name="_Toc17789"/>
      <w:r>
        <w:rPr>
          <w:rFonts w:hint="eastAsia"/>
          <w:color w:val="auto"/>
          <w:highlight w:val="none"/>
          <w:lang w:val="en-US" w:eastAsia="zh-CN"/>
        </w:rPr>
        <w:t>做强现代种业</w:t>
      </w:r>
      <w:bookmarkEnd w:id="72"/>
    </w:p>
    <w:p w14:paraId="3A0649D0">
      <w:pPr>
        <w:bidi w:val="0"/>
        <w:rPr>
          <w:rFonts w:hint="eastAsia"/>
          <w:color w:val="auto"/>
          <w:highlight w:val="none"/>
          <w:lang w:val="en-US" w:eastAsia="zh-CN"/>
        </w:rPr>
      </w:pPr>
      <w:r>
        <w:rPr>
          <w:rFonts w:hint="eastAsia"/>
          <w:color w:val="auto"/>
          <w:highlight w:val="none"/>
          <w:lang w:val="en-US" w:eastAsia="zh-CN"/>
        </w:rPr>
        <w:t>全面落实国家《种业振兴行动方案》和北京市“种业之都”建设要求，立足延庆生态涵养区定位，聚焦“林果花草蜂药”特色种业，一是打造特色种业新高地。强化种质资源保护与利用，推动“林果花草蜂药”种质资源库建设或提升；二是推动特色产业全链条升级。在林果花草蜂药产业上，推动特色繁育基地建设，提高种苗供应能力</w:t>
      </w:r>
      <w:r>
        <w:rPr>
          <w:color w:val="auto"/>
          <w:highlight w:val="none"/>
        </w:rPr>
        <w:commentReference w:id="0"/>
      </w:r>
      <w:r>
        <w:rPr>
          <w:rFonts w:hint="eastAsia"/>
          <w:color w:val="auto"/>
          <w:highlight w:val="none"/>
          <w:lang w:val="en-US" w:eastAsia="zh-CN"/>
        </w:rPr>
        <w:t>。</w:t>
      </w:r>
    </w:p>
    <w:p w14:paraId="56B8F6C6">
      <w:pPr>
        <w:bidi w:val="0"/>
        <w:rPr>
          <w:rFonts w:hint="eastAsia" w:ascii="仿宋_GB2312" w:hAnsi="仿宋_GB2312" w:eastAsia="仿宋_GB2312" w:cs="仿宋_GB2312"/>
          <w:color w:val="auto"/>
          <w:kern w:val="2"/>
          <w:szCs w:val="32"/>
          <w:highlight w:val="none"/>
          <w:lang w:val="en-US" w:eastAsia="zh-CN" w:bidi="ar-SA"/>
        </w:rPr>
      </w:pPr>
      <w:r>
        <w:rPr>
          <w:rFonts w:hint="eastAsia"/>
          <w:color w:val="auto"/>
          <w:highlight w:val="none"/>
          <w:lang w:val="en-US" w:eastAsia="zh-CN"/>
        </w:rPr>
        <w:t>打造“北纬40°香甜事业”“妫水农耕”等区域品牌，开发“京花”“京果”系列产品。推动三产融合，发展“种业+”模式，组织开展推介活动。依托北京黑六牧业、鲟龙澎湃等企业，加强北京黑猪、八达岭油鸡、鲟鱼等特色品种的保护与商业化开发。在畜禽水产产业上，加大规模化养殖，推动黑六牧业年出栏商品猪增量，鲟龙澎湃鱼苗年产量突破2000万尾。在马铃薯与草莓产业上，依托国际马铃薯中心亚太中心，建设马铃薯种质资源备份库，推广专用型新品种。扩大草莓育苗至800亩，推动“延庆草莓苗”品牌化，配套冷链物流体系建设。破解发展瓶颈，统筹荒山荒坡、闲置建设用地，优先保障种业科研用地，优化畜禽养殖环评审批流程。推广生态养殖技术（如鲟鱼循环水养殖），降低环境负荷。弥补资金与人才短板，设立延庆种业发展基金，吸引社会资本参与种业创新。实施“种业人才计划”，给予科研团队落户、子女教育等政策倾斜。破解市场衔接不畅难题，搭建种业科技成果交易平台，推动科研机构与企业“订单式”育种。联合京东、盒马等渠道，建立延庆种业产品直供销售网络。</w:t>
      </w:r>
    </w:p>
    <w:p w14:paraId="470CE89C">
      <w:pPr>
        <w:pStyle w:val="2"/>
        <w:ind w:left="0" w:leftChars="0" w:firstLine="0" w:firstLineChars="0"/>
        <w:rPr>
          <w:rFonts w:hint="eastAsia"/>
          <w:color w:val="auto"/>
          <w:highlight w:val="none"/>
          <w:lang w:val="en-US" w:eastAsia="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14:paraId="7E49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4" w:type="dxa"/>
          </w:tcPr>
          <w:p w14:paraId="252B7D5B">
            <w:pPr>
              <w:widowControl/>
              <w:ind w:left="0" w:leftChars="0" w:firstLine="0" w:firstLineChars="0"/>
              <w:jc w:val="center"/>
              <w:rPr>
                <w:rFonts w:hint="eastAsia" w:ascii="仿宋_GB2312" w:hAnsi="仿宋_GB2312" w:eastAsia="仿宋_GB2312" w:cs="仿宋_GB2312"/>
                <w:b/>
                <w:bCs/>
                <w:color w:val="auto"/>
                <w:sz w:val="30"/>
                <w:szCs w:val="30"/>
                <w:highlight w:val="none"/>
                <w:lang w:eastAsia="zh-CN"/>
              </w:rPr>
            </w:pPr>
            <w:r>
              <w:rPr>
                <w:rFonts w:hint="eastAsia" w:ascii="仿宋_GB2312" w:hAnsi="仿宋_GB2312" w:eastAsia="仿宋_GB2312" w:cs="仿宋_GB2312"/>
                <w:b/>
                <w:bCs/>
                <w:color w:val="auto"/>
                <w:sz w:val="30"/>
                <w:szCs w:val="30"/>
                <w:highlight w:val="none"/>
              </w:rPr>
              <w:t>专栏</w:t>
            </w:r>
            <w:r>
              <w:rPr>
                <w:rFonts w:hint="eastAsia" w:ascii="仿宋_GB2312" w:hAnsi="仿宋_GB2312" w:cs="仿宋_GB2312"/>
                <w:b/>
                <w:bCs/>
                <w:color w:val="auto"/>
                <w:sz w:val="30"/>
                <w:szCs w:val="30"/>
                <w:highlight w:val="none"/>
                <w:lang w:val="en-US" w:eastAsia="zh-CN"/>
              </w:rPr>
              <w:t>四</w:t>
            </w:r>
          </w:p>
          <w:p w14:paraId="31BDBC27">
            <w:pPr>
              <w:widowControl/>
              <w:ind w:left="0" w:leftChars="0" w:firstLine="0" w:firstLineChars="0"/>
              <w:jc w:val="center"/>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北京延庆林果花草蜂药种业创新孵化基地建设</w:t>
            </w:r>
          </w:p>
          <w:p w14:paraId="54006F27">
            <w:pPr>
              <w:widowControl/>
              <w:numPr>
                <w:ilvl w:val="0"/>
                <w:numId w:val="0"/>
              </w:numPr>
              <w:spacing w:line="560" w:lineRule="exact"/>
              <w:ind w:firstLine="640" w:firstLineChars="200"/>
              <w:jc w:val="left"/>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围绕落实国家种业振兴战略，聚焦林果、花卉、草本植物、蜂业及药用植物等特色领域，建设集资源保护、技术研发、企业孵化、成果转化于一体的种业创新孵化基地。旨在突破种业关键核心技术，强化优异种质资源保护与利用，培育具有市场竞争力的种业主体和特色品牌，构建现代种业全产业链，为区域农业高质量发展和乡村产业振兴提供核心支撑。</w:t>
            </w:r>
          </w:p>
          <w:p w14:paraId="2463081D">
            <w:pPr>
              <w:widowControl/>
              <w:numPr>
                <w:ilvl w:val="0"/>
                <w:numId w:val="0"/>
              </w:numPr>
              <w:spacing w:line="560" w:lineRule="exact"/>
              <w:ind w:firstLine="640" w:firstLineChars="200"/>
              <w:jc w:val="left"/>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建设林果花草蜂药种质资源保护体系。系统开展域内特色种质资源普查、收集与鉴定评价；建设与升级一批专业化、标准化的种质资源圃和备份库，积极申报省（市）级、国家级资源库（圃）；建立种质资源信息共享平台，实现资源安全保存与高效利用。</w:t>
            </w:r>
          </w:p>
          <w:p w14:paraId="75DD34D1">
            <w:pPr>
              <w:widowControl/>
              <w:numPr>
                <w:ilvl w:val="0"/>
                <w:numId w:val="0"/>
              </w:numPr>
              <w:spacing w:line="560" w:lineRule="exact"/>
              <w:ind w:firstLine="640" w:firstLineChars="200"/>
              <w:jc w:val="left"/>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打造种业关键技术攻关与创新平台。依托种业公共实验室和孵化基地，支持开展具有自主知识产权的新品种选育与国外优新品种的引育创新；重点开展分子育种等关键技术研发与应用，推动形成一批突破性优良品种、专利与技术标准。</w:t>
            </w:r>
          </w:p>
          <w:p w14:paraId="66DF87B0">
            <w:pPr>
              <w:widowControl/>
              <w:numPr>
                <w:ilvl w:val="0"/>
                <w:numId w:val="0"/>
              </w:numPr>
              <w:spacing w:line="560" w:lineRule="exact"/>
              <w:ind w:firstLine="640" w:firstLineChars="200"/>
              <w:jc w:val="left"/>
              <w:rPr>
                <w:rFonts w:hint="default"/>
                <w:color w:val="auto"/>
                <w:highlight w:val="none"/>
                <w:lang w:val="en-US"/>
              </w:rPr>
            </w:pPr>
            <w:r>
              <w:rPr>
                <w:rFonts w:hint="eastAsia" w:ascii="仿宋_GB2312" w:hAnsi="仿宋_GB2312" w:eastAsia="仿宋_GB2312" w:cs="仿宋_GB2312"/>
                <w:color w:val="auto"/>
                <w:kern w:val="2"/>
                <w:sz w:val="32"/>
                <w:szCs w:val="32"/>
                <w:highlight w:val="none"/>
                <w:lang w:val="en-US" w:eastAsia="zh-CN" w:bidi="ar-SA"/>
              </w:rPr>
              <w:t>构建现代种业产业孵化与成果转化体系。制定并落实种业创新孵化扶持政策，吸引和培育科技型种业企业；深化产学研合作，建立高效的科技成果转移转化机制；打造“种业+”产业集群，推动建设集品种展示、技术集成、品牌营销、研学体验于一体的产业示范园区，促进种业与休闲旅游、森林康养等产业深度融合。</w:t>
            </w:r>
            <w:r>
              <w:rPr>
                <w:rFonts w:hint="eastAsia" w:ascii="仿宋_GB2312" w:hAnsi="仿宋_GB2312" w:cs="仿宋_GB2312"/>
                <w:color w:val="auto"/>
                <w:sz w:val="32"/>
                <w:szCs w:val="32"/>
                <w:highlight w:val="none"/>
                <w:lang w:val="en-US" w:eastAsia="zh-CN"/>
              </w:rPr>
              <w:t>（见附图4）</w:t>
            </w:r>
          </w:p>
        </w:tc>
      </w:tr>
    </w:tbl>
    <w:p w14:paraId="0A7023DD">
      <w:pPr>
        <w:pStyle w:val="4"/>
        <w:bidi w:val="0"/>
        <w:rPr>
          <w:rFonts w:hint="eastAsia"/>
          <w:color w:val="auto"/>
          <w:highlight w:val="none"/>
          <w:lang w:val="en-US" w:eastAsia="zh-CN"/>
        </w:rPr>
      </w:pPr>
      <w:bookmarkStart w:id="73" w:name="_Toc31677"/>
      <w:r>
        <w:rPr>
          <w:rFonts w:hint="eastAsia"/>
          <w:color w:val="auto"/>
          <w:highlight w:val="none"/>
          <w:lang w:val="en-US" w:eastAsia="zh-CN"/>
        </w:rPr>
        <w:t>（二）发展智慧农业</w:t>
      </w:r>
      <w:bookmarkEnd w:id="73"/>
    </w:p>
    <w:p w14:paraId="687FB3E8">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重要农业生产乡镇开展数字农业基础设施建设，逐步推动农业物联网覆盖工程，建设10个物联网示范基地，部署智能监测设备500台套。在中心区部署农业大数据平台，整合生产、经营、管理、服务全链条数据，开发智能决策分析系统。逐步推行智能装备，扩大智能农机装备使用场景，建设3个无人农场示范基地，推广智能农机500台套，建设数字农业服务平台，开发</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sz w:val="32"/>
          <w:szCs w:val="32"/>
          <w:highlight w:val="none"/>
        </w:rPr>
        <w:t>延庆数字农服</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sz w:val="32"/>
          <w:szCs w:val="32"/>
          <w:highlight w:val="none"/>
        </w:rPr>
        <w:t>APP，建设5个镇级数字农业服务站，辐射带动全区普及数字农业服务。</w:t>
      </w:r>
    </w:p>
    <w:p w14:paraId="4DBF1C99">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color w:val="auto"/>
          <w:sz w:val="32"/>
          <w:szCs w:val="32"/>
          <w:highlight w:val="none"/>
          <w:lang w:val="en-US" w:eastAsia="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3"/>
      </w:tblGrid>
      <w:tr w14:paraId="0DF1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3" w:type="dxa"/>
          </w:tcPr>
          <w:p w14:paraId="3EBACC07">
            <w:pPr>
              <w:widowControl/>
              <w:ind w:left="0" w:leftChars="0" w:firstLine="0" w:firstLineChars="0"/>
              <w:jc w:val="center"/>
              <w:rPr>
                <w:rFonts w:hint="eastAsia" w:ascii="仿宋_GB2312" w:hAnsi="仿宋_GB2312" w:eastAsia="仿宋_GB2312" w:cs="仿宋_GB2312"/>
                <w:b/>
                <w:bCs/>
                <w:color w:val="auto"/>
                <w:sz w:val="30"/>
                <w:szCs w:val="30"/>
                <w:highlight w:val="none"/>
                <w:lang w:eastAsia="zh-CN"/>
              </w:rPr>
            </w:pPr>
            <w:r>
              <w:rPr>
                <w:rFonts w:hint="eastAsia" w:ascii="仿宋_GB2312" w:hAnsi="仿宋_GB2312" w:eastAsia="仿宋_GB2312" w:cs="仿宋_GB2312"/>
                <w:b/>
                <w:bCs/>
                <w:color w:val="auto"/>
                <w:sz w:val="30"/>
                <w:szCs w:val="30"/>
                <w:highlight w:val="none"/>
              </w:rPr>
              <w:t>专栏</w:t>
            </w:r>
            <w:r>
              <w:rPr>
                <w:rFonts w:hint="eastAsia" w:ascii="仿宋_GB2312" w:hAnsi="仿宋_GB2312" w:cs="仿宋_GB2312"/>
                <w:b/>
                <w:bCs/>
                <w:color w:val="auto"/>
                <w:sz w:val="30"/>
                <w:szCs w:val="30"/>
                <w:highlight w:val="none"/>
                <w:lang w:val="en-US" w:eastAsia="zh-CN"/>
              </w:rPr>
              <w:t>五</w:t>
            </w:r>
          </w:p>
          <w:p w14:paraId="31325C7B">
            <w:pPr>
              <w:widowControl/>
              <w:ind w:left="0" w:leftChars="0" w:firstLine="0" w:firstLineChars="0"/>
              <w:jc w:val="center"/>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无人农场示范基地及数字平台建设</w:t>
            </w:r>
          </w:p>
          <w:p w14:paraId="4C2837B7">
            <w:pPr>
              <w:widowControl/>
              <w:numPr>
                <w:ilvl w:val="-1"/>
                <w:numId w:val="0"/>
              </w:numPr>
              <w:spacing w:line="56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数字平台建设：在延庆镇</w:t>
            </w:r>
            <w:r>
              <w:rPr>
                <w:rFonts w:hint="eastAsia" w:ascii="仿宋_GB2312" w:hAnsi="仿宋_GB2312" w:eastAsia="仿宋_GB2312" w:cs="仿宋_GB2312"/>
                <w:color w:val="auto"/>
                <w:sz w:val="32"/>
                <w:szCs w:val="32"/>
                <w:highlight w:val="none"/>
                <w:lang w:eastAsia="zh-CN"/>
              </w:rPr>
              <w:t>推广</w:t>
            </w:r>
            <w:r>
              <w:rPr>
                <w:rFonts w:hint="eastAsia" w:ascii="仿宋_GB2312" w:hAnsi="仿宋_GB2312" w:eastAsia="仿宋_GB2312" w:cs="仿宋_GB2312"/>
                <w:color w:val="auto"/>
                <w:sz w:val="32"/>
                <w:szCs w:val="32"/>
                <w:highlight w:val="none"/>
                <w:lang w:val="en-US" w:eastAsia="zh-CN"/>
              </w:rPr>
              <w:t>烽火惠农</w:t>
            </w:r>
            <w:r>
              <w:rPr>
                <w:rFonts w:hint="eastAsia" w:ascii="仿宋_GB2312" w:hAnsi="仿宋_GB2312" w:eastAsia="仿宋_GB2312" w:cs="仿宋_GB2312"/>
                <w:color w:val="auto"/>
                <w:sz w:val="32"/>
                <w:szCs w:val="32"/>
                <w:highlight w:val="none"/>
              </w:rPr>
              <w:t>智能服务平台，实现</w:t>
            </w:r>
            <w:r>
              <w:rPr>
                <w:rFonts w:hint="eastAsia" w:ascii="仿宋_GB2312" w:hAnsi="仿宋_GB2312" w:eastAsia="仿宋_GB2312" w:cs="仿宋_GB2312"/>
                <w:color w:val="auto"/>
                <w:sz w:val="32"/>
                <w:szCs w:val="32"/>
                <w:highlight w:val="none"/>
                <w:lang w:eastAsia="zh-CN"/>
              </w:rPr>
              <w:t>对生产中水肥管理等环节的精准控制</w:t>
            </w:r>
            <w:r>
              <w:rPr>
                <w:rFonts w:hint="eastAsia" w:ascii="仿宋_GB2312" w:hAnsi="仿宋_GB2312" w:eastAsia="仿宋_GB2312" w:cs="仿宋_GB2312"/>
                <w:color w:val="auto"/>
                <w:sz w:val="32"/>
                <w:szCs w:val="32"/>
                <w:highlight w:val="none"/>
              </w:rPr>
              <w:t>，实时监测土壤湿度、肥力、气候等数据，确保果蔬在最佳的环境中生长，用科技守护“舌尖上的安全”。</w:t>
            </w:r>
          </w:p>
          <w:p w14:paraId="374D3869">
            <w:pPr>
              <w:widowControl/>
              <w:numPr>
                <w:ilvl w:val="0"/>
                <w:numId w:val="0"/>
              </w:numPr>
              <w:spacing w:line="560" w:lineRule="exact"/>
              <w:ind w:firstLine="640" w:firstLineChars="200"/>
              <w:jc w:val="left"/>
              <w:rPr>
                <w:color w:val="auto"/>
                <w:highlight w:val="none"/>
              </w:rPr>
            </w:pPr>
            <w:r>
              <w:rPr>
                <w:rFonts w:hint="eastAsia" w:ascii="仿宋_GB2312" w:hAnsi="仿宋_GB2312" w:eastAsia="仿宋_GB2312" w:cs="仿宋_GB2312"/>
                <w:color w:val="auto"/>
                <w:kern w:val="2"/>
                <w:sz w:val="32"/>
                <w:szCs w:val="32"/>
                <w:highlight w:val="none"/>
                <w:lang w:val="en-US" w:eastAsia="zh-CN" w:bidi="ar-SA"/>
              </w:rPr>
              <w:t>农业农村用地“一张图”建设：共建全区农业农村用地“一张图”，推动各类涉农数据上图入库，建设耕地、永久基本农田、高标准农田、承包地、宅基地、耕地种植用途、养殖坑塘用地等专题图层，为每块地建立数字档案。鼓励各乡镇涉农部门和各类主体依托用地“一张图”，开发耕地种植用途管控、防灾减灾、生产托管、农机精准作业等各类应用。</w:t>
            </w:r>
          </w:p>
        </w:tc>
      </w:tr>
    </w:tbl>
    <w:p w14:paraId="3DA34FE8">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p>
    <w:p w14:paraId="1F2CFC12">
      <w:pPr>
        <w:pStyle w:val="4"/>
        <w:bidi w:val="0"/>
        <w:rPr>
          <w:rFonts w:hint="eastAsia"/>
          <w:color w:val="auto"/>
          <w:highlight w:val="none"/>
          <w:lang w:val="en-US" w:eastAsia="zh-CN"/>
        </w:rPr>
      </w:pPr>
      <w:bookmarkStart w:id="74" w:name="_Toc26605"/>
      <w:r>
        <w:rPr>
          <w:rFonts w:hint="eastAsia"/>
          <w:color w:val="auto"/>
          <w:highlight w:val="none"/>
          <w:lang w:val="en-US" w:eastAsia="zh-CN"/>
        </w:rPr>
        <w:t>（三）发展现代设施农业</w:t>
      </w:r>
      <w:bookmarkEnd w:id="74"/>
    </w:p>
    <w:p w14:paraId="6AA09418">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立足延庆区实际，进一步加大现代设施农业规模，设施蔬菜产量占蔬菜总产量比重提升至40%，持续提升设施农业科技水平，设施农业科技进步率与机械化率分别达到70%和55%，智能装备与数字化管理水平明显提高。在设施农业大镇有序推进实施老旧低效设施改造，升级水肥一体等设施装备。在城区近郊发展都市型设施农业标准化园区。</w:t>
      </w:r>
    </w:p>
    <w:p w14:paraId="08394894">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5"/>
      </w:tblGrid>
      <w:tr w14:paraId="718A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5" w:type="dxa"/>
          </w:tcPr>
          <w:p w14:paraId="79E018E4">
            <w:pPr>
              <w:keepNext w:val="0"/>
              <w:keepLines w:val="0"/>
              <w:pageBreakBefore w:val="0"/>
              <w:widowControl/>
              <w:kinsoku/>
              <w:wordWrap/>
              <w:overflowPunct/>
              <w:topLinePunct w:val="0"/>
              <w:autoSpaceDE/>
              <w:autoSpaceDN/>
              <w:bidi w:val="0"/>
              <w:adjustRightInd/>
              <w:snapToGrid/>
              <w:spacing w:line="540" w:lineRule="exact"/>
              <w:ind w:left="0" w:leftChars="0" w:firstLine="0" w:firstLineChars="0"/>
              <w:jc w:val="center"/>
              <w:textAlignment w:val="auto"/>
              <w:rPr>
                <w:rFonts w:hint="eastAsia" w:ascii="仿宋_GB2312" w:hAnsi="仿宋_GB2312" w:eastAsia="仿宋_GB2312" w:cs="仿宋_GB2312"/>
                <w:b/>
                <w:bCs/>
                <w:color w:val="auto"/>
                <w:sz w:val="30"/>
                <w:szCs w:val="30"/>
                <w:highlight w:val="none"/>
                <w:lang w:eastAsia="zh-CN"/>
              </w:rPr>
            </w:pPr>
            <w:r>
              <w:rPr>
                <w:rFonts w:hint="eastAsia" w:ascii="仿宋_GB2312" w:hAnsi="仿宋_GB2312" w:eastAsia="仿宋_GB2312" w:cs="仿宋_GB2312"/>
                <w:b/>
                <w:bCs/>
                <w:color w:val="auto"/>
                <w:sz w:val="30"/>
                <w:szCs w:val="30"/>
                <w:highlight w:val="none"/>
              </w:rPr>
              <w:t>专栏</w:t>
            </w:r>
            <w:r>
              <w:rPr>
                <w:rFonts w:hint="eastAsia" w:ascii="仿宋_GB2312" w:hAnsi="仿宋_GB2312" w:cs="仿宋_GB2312"/>
                <w:b/>
                <w:bCs/>
                <w:color w:val="auto"/>
                <w:sz w:val="30"/>
                <w:szCs w:val="30"/>
                <w:highlight w:val="none"/>
                <w:lang w:val="en-US" w:eastAsia="zh-CN"/>
              </w:rPr>
              <w:t>六</w:t>
            </w:r>
          </w:p>
          <w:p w14:paraId="6027A91A">
            <w:pPr>
              <w:keepNext w:val="0"/>
              <w:keepLines w:val="0"/>
              <w:pageBreakBefore w:val="0"/>
              <w:widowControl/>
              <w:kinsoku/>
              <w:wordWrap/>
              <w:overflowPunct/>
              <w:topLinePunct w:val="0"/>
              <w:autoSpaceDE/>
              <w:autoSpaceDN/>
              <w:bidi w:val="0"/>
              <w:adjustRightInd/>
              <w:snapToGrid/>
              <w:spacing w:line="540" w:lineRule="exact"/>
              <w:ind w:left="0" w:leftChars="0" w:firstLine="0" w:firstLineChars="0"/>
              <w:jc w:val="center"/>
              <w:textAlignment w:val="auto"/>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现代设施农业提升工程</w:t>
            </w:r>
          </w:p>
          <w:p w14:paraId="3C09A565">
            <w:pPr>
              <w:keepNext w:val="0"/>
              <w:keepLines w:val="0"/>
              <w:pageBreakBefore w:val="0"/>
              <w:widowControl/>
              <w:numPr>
                <w:ilvl w:val="-1"/>
                <w:numId w:val="0"/>
              </w:numPr>
              <w:kinsoku/>
              <w:wordWrap/>
              <w:overflowPunct/>
              <w:topLinePunct w:val="0"/>
              <w:autoSpaceDE/>
              <w:autoSpaceDN/>
              <w:bidi w:val="0"/>
              <w:adjustRightInd/>
              <w:snapToGrid/>
              <w:spacing w:line="540" w:lineRule="exact"/>
              <w:ind w:firstLine="640" w:firstLineChars="200"/>
              <w:jc w:val="left"/>
              <w:textAlignment w:val="auto"/>
              <w:rPr>
                <w:color w:val="auto"/>
                <w:highlight w:val="none"/>
              </w:rPr>
            </w:pPr>
            <w:r>
              <w:rPr>
                <w:rFonts w:hint="eastAsia" w:ascii="仿宋_GB2312" w:hAnsi="仿宋_GB2312" w:eastAsia="仿宋_GB2312" w:cs="仿宋_GB2312"/>
                <w:color w:val="auto"/>
                <w:sz w:val="32"/>
                <w:szCs w:val="32"/>
                <w:highlight w:val="none"/>
              </w:rPr>
              <w:t>现代设施农业改造提升项目：以延庆镇、张山营镇、康庄镇、大榆树镇、沈家营镇、旧县镇、永宁镇、香营乡为重点逐步推动老旧设施整镇改造提升，重点完成</w:t>
            </w:r>
            <w:r>
              <w:rPr>
                <w:rFonts w:hint="eastAsia" w:ascii="仿宋_GB2312" w:hAnsi="仿宋_GB2312" w:eastAsia="仿宋_GB2312" w:cs="仿宋_GB2312"/>
                <w:color w:val="auto"/>
                <w:sz w:val="32"/>
                <w:szCs w:val="32"/>
                <w:highlight w:val="none"/>
                <w:lang w:eastAsia="zh-CN"/>
              </w:rPr>
              <w:t>新建及改造</w:t>
            </w:r>
            <w:r>
              <w:rPr>
                <w:rFonts w:hint="eastAsia" w:ascii="仿宋_GB2312" w:hAnsi="仿宋_GB2312" w:eastAsia="仿宋_GB2312" w:cs="仿宋_GB2312"/>
                <w:color w:val="auto"/>
                <w:sz w:val="32"/>
                <w:szCs w:val="32"/>
                <w:highlight w:val="none"/>
              </w:rPr>
              <w:t>提升</w:t>
            </w:r>
            <w:r>
              <w:rPr>
                <w:rFonts w:hint="eastAsia" w:ascii="仿宋_GB2312" w:hAnsi="仿宋_GB2312" w:eastAsia="仿宋_GB2312" w:cs="仿宋_GB2312"/>
                <w:color w:val="auto"/>
                <w:sz w:val="32"/>
                <w:szCs w:val="32"/>
                <w:highlight w:val="none"/>
                <w:lang w:val="en-US" w:eastAsia="zh-CN"/>
              </w:rPr>
              <w:t>2500</w:t>
            </w:r>
            <w:r>
              <w:rPr>
                <w:rFonts w:hint="eastAsia" w:ascii="仿宋_GB2312" w:hAnsi="仿宋_GB2312" w:eastAsia="仿宋_GB2312" w:cs="仿宋_GB2312"/>
                <w:color w:val="auto"/>
                <w:sz w:val="32"/>
                <w:szCs w:val="32"/>
                <w:highlight w:val="none"/>
              </w:rPr>
              <w:t>亩，促进信息化和设施化融合，推动设施结构与环境控制设备向智能化转型，示范带动全区加快设施农业改造升级。</w:t>
            </w:r>
            <w:r>
              <w:rPr>
                <w:rFonts w:hint="eastAsia" w:ascii="仿宋_GB2312" w:hAnsi="仿宋_GB2312" w:cs="仿宋_GB2312"/>
                <w:color w:val="auto"/>
                <w:sz w:val="32"/>
                <w:szCs w:val="32"/>
                <w:highlight w:val="none"/>
                <w:lang w:val="en-US" w:eastAsia="zh-CN"/>
              </w:rPr>
              <w:t>（见附图5）</w:t>
            </w:r>
          </w:p>
        </w:tc>
      </w:tr>
    </w:tbl>
    <w:p w14:paraId="166222D1">
      <w:pPr>
        <w:pStyle w:val="4"/>
        <w:bidi w:val="0"/>
        <w:rPr>
          <w:rFonts w:hint="eastAsia"/>
          <w:color w:val="auto"/>
          <w:highlight w:val="none"/>
          <w:lang w:val="en-US" w:eastAsia="zh-CN"/>
        </w:rPr>
      </w:pPr>
      <w:bookmarkStart w:id="75" w:name="_Toc23997"/>
      <w:bookmarkStart w:id="76" w:name="_Toc17016"/>
      <w:bookmarkStart w:id="77" w:name="_Toc11015"/>
      <w:r>
        <w:rPr>
          <w:rFonts w:hint="eastAsia"/>
          <w:color w:val="auto"/>
          <w:highlight w:val="none"/>
          <w:lang w:val="en-US" w:eastAsia="zh-CN"/>
        </w:rPr>
        <w:t>（四）发展绿色生态农业</w:t>
      </w:r>
      <w:bookmarkEnd w:id="75"/>
      <w:bookmarkEnd w:id="76"/>
      <w:bookmarkEnd w:id="77"/>
    </w:p>
    <w:p w14:paraId="75D93D1D">
      <w:pPr>
        <w:bidi w:val="0"/>
        <w:rPr>
          <w:rFonts w:hint="eastAsia"/>
          <w:color w:val="auto"/>
          <w:highlight w:val="none"/>
          <w:lang w:val="en-US" w:eastAsia="zh-CN"/>
        </w:rPr>
      </w:pPr>
      <w:r>
        <w:rPr>
          <w:rFonts w:hint="eastAsia"/>
          <w:color w:val="auto"/>
          <w:highlight w:val="none"/>
          <w:lang w:val="en-US" w:eastAsia="zh-CN"/>
        </w:rPr>
        <w:t>1.做大有机农业。推动有机农业技术创新，强化科技支撑，促进有机农业技术落地。扩大有机种植规模，重点发展有机果蔬（如生菜、西红柿、苹果、草莓等）、有机杂粮（如玉米、甘薯、小米、豆类）、有机中药材（如黄芩、苍术）等特色作物。在特色农产品产地区域建设多个千亩有机农业示范区，推广“企业+农民专业合作社+农户”订单模式。对接北京高端消费市场，推动有机农产品直供商超、社区团购和电商平台。鼓励基地开展有机认证，并向市区积极争取认证补贴，降低认证成本。推动种养循环与低碳农业，推广“有机肥替代化肥”行动，利用畜禽粪污、秸秆等资源生产有机肥。</w:t>
      </w:r>
    </w:p>
    <w:p w14:paraId="298D131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5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3"/>
      </w:tblGrid>
      <w:tr w14:paraId="2E88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8943" w:type="dxa"/>
          </w:tcPr>
          <w:p w14:paraId="447A600B">
            <w:pPr>
              <w:keepNext w:val="0"/>
              <w:keepLines w:val="0"/>
              <w:pageBreakBefore w:val="0"/>
              <w:widowControl/>
              <w:kinsoku/>
              <w:wordWrap/>
              <w:overflowPunct/>
              <w:topLinePunct w:val="0"/>
              <w:autoSpaceDE/>
              <w:autoSpaceDN/>
              <w:bidi w:val="0"/>
              <w:adjustRightInd/>
              <w:snapToGrid/>
              <w:spacing w:beforeAutospacing="0" w:afterAutospacing="0" w:line="550" w:lineRule="exact"/>
              <w:ind w:left="0" w:leftChars="0" w:firstLine="0" w:firstLineChars="0"/>
              <w:jc w:val="center"/>
              <w:textAlignment w:val="auto"/>
              <w:rPr>
                <w:rFonts w:hint="eastAsia" w:ascii="仿宋_GB2312" w:hAnsi="仿宋_GB2312" w:eastAsia="仿宋_GB2312" w:cs="仿宋_GB2312"/>
                <w:b/>
                <w:bCs/>
                <w:color w:val="auto"/>
                <w:sz w:val="30"/>
                <w:szCs w:val="30"/>
                <w:highlight w:val="none"/>
                <w:lang w:eastAsia="zh-CN"/>
              </w:rPr>
            </w:pPr>
            <w:r>
              <w:rPr>
                <w:rFonts w:hint="eastAsia" w:ascii="仿宋_GB2312" w:hAnsi="仿宋_GB2312" w:eastAsia="仿宋_GB2312" w:cs="仿宋_GB2312"/>
                <w:b/>
                <w:bCs/>
                <w:color w:val="auto"/>
                <w:sz w:val="30"/>
                <w:szCs w:val="30"/>
                <w:highlight w:val="none"/>
              </w:rPr>
              <w:t>专栏</w:t>
            </w:r>
            <w:r>
              <w:rPr>
                <w:rFonts w:hint="eastAsia" w:ascii="仿宋_GB2312" w:hAnsi="仿宋_GB2312" w:cs="仿宋_GB2312"/>
                <w:b/>
                <w:bCs/>
                <w:color w:val="auto"/>
                <w:sz w:val="30"/>
                <w:szCs w:val="30"/>
                <w:highlight w:val="none"/>
                <w:lang w:val="en-US" w:eastAsia="zh-CN"/>
              </w:rPr>
              <w:t>七</w:t>
            </w:r>
          </w:p>
          <w:p w14:paraId="1EA78B93">
            <w:pPr>
              <w:keepNext w:val="0"/>
              <w:keepLines w:val="0"/>
              <w:pageBreakBefore w:val="0"/>
              <w:widowControl/>
              <w:kinsoku/>
              <w:wordWrap/>
              <w:overflowPunct/>
              <w:topLinePunct w:val="0"/>
              <w:autoSpaceDE/>
              <w:autoSpaceDN/>
              <w:bidi w:val="0"/>
              <w:adjustRightInd/>
              <w:snapToGrid/>
              <w:spacing w:beforeAutospacing="0" w:afterAutospacing="0" w:line="550" w:lineRule="exact"/>
              <w:ind w:left="0" w:leftChars="0" w:firstLine="0" w:firstLineChars="0"/>
              <w:jc w:val="center"/>
              <w:textAlignment w:val="auto"/>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kern w:val="2"/>
                <w:sz w:val="30"/>
                <w:szCs w:val="30"/>
                <w:highlight w:val="none"/>
                <w:lang w:val="en-US" w:eastAsia="zh-CN" w:bidi="ar-SA"/>
              </w:rPr>
              <w:t>有机果蔬示范基地</w:t>
            </w:r>
          </w:p>
          <w:p w14:paraId="2C7DB3FC">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在延庆镇、永宁镇、康庄镇打造千亩有机蔬菜示范基地，在张山营镇打造千亩有机果品示范基地。</w:t>
            </w:r>
            <w:r>
              <w:rPr>
                <w:rFonts w:hint="eastAsia" w:ascii="仿宋_GB2312" w:hAnsi="仿宋_GB2312" w:cs="仿宋_GB2312"/>
                <w:color w:val="auto"/>
                <w:sz w:val="32"/>
                <w:szCs w:val="32"/>
                <w:highlight w:val="none"/>
                <w:lang w:val="en-US" w:eastAsia="zh-CN"/>
              </w:rPr>
              <w:t>（见附图6）</w:t>
            </w:r>
          </w:p>
          <w:p w14:paraId="4BF6E548">
            <w:pPr>
              <w:keepNext w:val="0"/>
              <w:keepLines w:val="0"/>
              <w:pageBreakBefore w:val="0"/>
              <w:widowControl/>
              <w:numPr>
                <w:ilvl w:val="-1"/>
                <w:numId w:val="0"/>
              </w:numPr>
              <w:kinsoku/>
              <w:wordWrap/>
              <w:overflowPunct/>
              <w:topLinePunct w:val="0"/>
              <w:autoSpaceDE/>
              <w:autoSpaceDN/>
              <w:bidi w:val="0"/>
              <w:adjustRightInd/>
              <w:snapToGrid/>
              <w:spacing w:beforeAutospacing="0" w:afterAutospacing="0" w:line="550" w:lineRule="exact"/>
              <w:ind w:left="0" w:leftChars="0" w:firstLine="0" w:firstLineChars="0"/>
              <w:jc w:val="left"/>
              <w:textAlignment w:val="auto"/>
              <w:rPr>
                <w:rFonts w:hint="eastAsia" w:eastAsiaTheme="minorEastAsia"/>
                <w:color w:val="auto"/>
                <w:highlight w:val="none"/>
                <w:lang w:eastAsia="zh-CN"/>
              </w:rPr>
            </w:pPr>
          </w:p>
        </w:tc>
      </w:tr>
    </w:tbl>
    <w:p w14:paraId="2DFA475E">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5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p>
    <w:p w14:paraId="49C3AAC6">
      <w:pPr>
        <w:bidi w:val="0"/>
        <w:rPr>
          <w:rFonts w:hint="eastAsia"/>
          <w:color w:val="auto"/>
          <w:highlight w:val="none"/>
          <w:lang w:val="en-US" w:eastAsia="zh-CN"/>
        </w:rPr>
      </w:pPr>
      <w:r>
        <w:rPr>
          <w:rFonts w:hint="eastAsia"/>
          <w:color w:val="auto"/>
          <w:highlight w:val="none"/>
          <w:lang w:val="en-US" w:eastAsia="zh-CN"/>
        </w:rPr>
        <w:t>2.创新绿色防控。减少化学农药使用，构建全域绿色防控体系，保障农产品质量安全与生态平衡。推广生物防控技术，引入天敌昆虫（如赤眼蜂防治玉米螟）、微生物制剂（如苏云金杆菌）替代化学农药。在康庄镇、延庆镇设施农业园区试点“以虫治虫”智能监测系统，实现精准防控。建设数字化防控平台，搭建农业病虫害预警平台，通过物联网设备监测田间数据，提前发布防控建议。开发“延庆农安”APP，农户可在线咨询专家、获取绿色防控方案。完善农产品质量安全监督检查机制，建立以区农安中心技术主导、乡镇站点协助筛查、生产主体配合自查，三级农安检测体系。</w:t>
      </w:r>
    </w:p>
    <w:p w14:paraId="2FFC0739">
      <w:pPr>
        <w:pStyle w:val="13"/>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50" w:lineRule="exact"/>
        <w:ind w:leftChars="200" w:right="0" w:rightChars="0"/>
        <w:textAlignment w:val="auto"/>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2"/>
      </w:tblGrid>
      <w:tr w14:paraId="6EA2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2" w:type="dxa"/>
          </w:tcPr>
          <w:p w14:paraId="5DBCD689">
            <w:pPr>
              <w:pageBreakBefore w:val="0"/>
              <w:widowControl/>
              <w:kinsoku/>
              <w:overflowPunct/>
              <w:topLinePunct w:val="0"/>
              <w:autoSpaceDE/>
              <w:autoSpaceDN/>
              <w:bidi w:val="0"/>
              <w:adjustRightInd/>
              <w:snapToGrid/>
              <w:spacing w:beforeAutospacing="0" w:afterAutospacing="0"/>
              <w:ind w:left="0" w:leftChars="0" w:firstLine="0" w:firstLineChars="0"/>
              <w:jc w:val="center"/>
              <w:textAlignment w:val="auto"/>
              <w:rPr>
                <w:rFonts w:hint="eastAsia" w:ascii="仿宋_GB2312" w:hAnsi="仿宋_GB2312" w:eastAsia="仿宋_GB2312" w:cs="仿宋_GB2312"/>
                <w:b/>
                <w:bCs/>
                <w:color w:val="auto"/>
                <w:sz w:val="30"/>
                <w:szCs w:val="30"/>
                <w:highlight w:val="none"/>
                <w:lang w:eastAsia="zh-CN"/>
              </w:rPr>
            </w:pPr>
            <w:r>
              <w:rPr>
                <w:rFonts w:hint="eastAsia" w:ascii="仿宋_GB2312" w:hAnsi="仿宋_GB2312" w:eastAsia="仿宋_GB2312" w:cs="仿宋_GB2312"/>
                <w:b/>
                <w:bCs/>
                <w:color w:val="auto"/>
                <w:sz w:val="30"/>
                <w:szCs w:val="30"/>
                <w:highlight w:val="none"/>
              </w:rPr>
              <w:t>专栏</w:t>
            </w:r>
            <w:r>
              <w:rPr>
                <w:rFonts w:hint="eastAsia" w:ascii="仿宋_GB2312" w:hAnsi="仿宋_GB2312" w:cs="仿宋_GB2312"/>
                <w:b/>
                <w:bCs/>
                <w:color w:val="auto"/>
                <w:sz w:val="30"/>
                <w:szCs w:val="30"/>
                <w:highlight w:val="none"/>
                <w:lang w:val="en-US" w:eastAsia="zh-CN"/>
              </w:rPr>
              <w:t>八</w:t>
            </w:r>
          </w:p>
          <w:p w14:paraId="0876FAE0">
            <w:pPr>
              <w:pageBreakBefore w:val="0"/>
              <w:widowControl/>
              <w:kinsoku/>
              <w:overflowPunct/>
              <w:topLinePunct w:val="0"/>
              <w:autoSpaceDE/>
              <w:autoSpaceDN/>
              <w:bidi w:val="0"/>
              <w:adjustRightInd/>
              <w:snapToGrid/>
              <w:spacing w:beforeAutospacing="0" w:afterAutospacing="0"/>
              <w:ind w:left="0" w:leftChars="0" w:firstLine="0" w:firstLineChars="0"/>
              <w:jc w:val="center"/>
              <w:textAlignment w:val="auto"/>
              <w:rPr>
                <w:rFonts w:hint="default"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生物天敌</w:t>
            </w:r>
            <w:r>
              <w:rPr>
                <w:rFonts w:hint="eastAsia" w:ascii="仿宋_GB2312" w:hAnsi="仿宋_GB2312" w:cs="仿宋_GB2312"/>
                <w:b/>
                <w:bCs/>
                <w:color w:val="auto"/>
                <w:sz w:val="30"/>
                <w:szCs w:val="30"/>
                <w:highlight w:val="none"/>
                <w:lang w:val="en-US" w:eastAsia="zh-CN"/>
              </w:rPr>
              <w:t>品牌推广</w:t>
            </w:r>
          </w:p>
          <w:p w14:paraId="39DBC16F">
            <w:pPr>
              <w:pageBreakBefore w:val="0"/>
              <w:widowControl/>
              <w:numPr>
                <w:ilvl w:val="-1"/>
                <w:numId w:val="0"/>
              </w:numPr>
              <w:kinsoku/>
              <w:overflowPunct/>
              <w:topLinePunct w:val="0"/>
              <w:autoSpaceDE/>
              <w:autoSpaceDN/>
              <w:bidi w:val="0"/>
              <w:adjustRightInd/>
              <w:snapToGrid/>
              <w:spacing w:beforeAutospacing="0" w:afterAutospacing="0" w:line="560" w:lineRule="exact"/>
              <w:ind w:left="0" w:leftChars="0" w:firstLine="640" w:firstLineChars="200"/>
              <w:jc w:val="left"/>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康庄镇依托现有研发和生产植物天敌的阔野田园生物技术有限公司，建设智能化昆虫繁育工厂，扩大现有天敌昆虫产能。与中国农科院合作开发“天敌昆虫精准释放技术”，通过无人机投放蜂球，建立害虫-天敌数据库，动态匹配不同作物虫害的最佳防治方案。逐步</w:t>
            </w:r>
            <w:r>
              <w:rPr>
                <w:rFonts w:hint="eastAsia" w:ascii="仿宋_GB2312" w:hAnsi="仿宋_GB2312" w:cs="仿宋_GB2312"/>
                <w:color w:val="auto"/>
                <w:sz w:val="32"/>
                <w:szCs w:val="32"/>
                <w:highlight w:val="none"/>
                <w:lang w:val="en-US" w:eastAsia="zh-CN"/>
              </w:rPr>
              <w:t>推进</w:t>
            </w:r>
            <w:r>
              <w:rPr>
                <w:rFonts w:hint="eastAsia" w:ascii="仿宋_GB2312" w:hAnsi="仿宋_GB2312" w:eastAsia="仿宋_GB2312" w:cs="仿宋_GB2312"/>
                <w:color w:val="auto"/>
                <w:sz w:val="32"/>
                <w:szCs w:val="32"/>
                <w:highlight w:val="none"/>
              </w:rPr>
              <w:t>品牌输出的场景化应用示范</w:t>
            </w:r>
            <w:r>
              <w:rPr>
                <w:rFonts w:hint="eastAsia" w:ascii="仿宋_GB2312" w:hAnsi="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在设施农业</w:t>
            </w:r>
            <w:r>
              <w:rPr>
                <w:rFonts w:hint="eastAsia" w:ascii="仿宋_GB2312" w:hAnsi="仿宋_GB2312" w:cs="仿宋_GB2312"/>
                <w:color w:val="auto"/>
                <w:sz w:val="32"/>
                <w:szCs w:val="32"/>
                <w:highlight w:val="none"/>
                <w:lang w:val="en-US" w:eastAsia="zh-CN"/>
              </w:rPr>
              <w:t>领域</w:t>
            </w:r>
            <w:r>
              <w:rPr>
                <w:rFonts w:hint="eastAsia" w:ascii="仿宋_GB2312" w:hAnsi="仿宋_GB2312" w:eastAsia="仿宋_GB2312" w:cs="仿宋_GB2312"/>
                <w:color w:val="auto"/>
                <w:sz w:val="32"/>
                <w:szCs w:val="32"/>
                <w:highlight w:val="none"/>
              </w:rPr>
              <w:t>，如番茄、草莓种植中的替代化学农药，减少用药量70%；在有机苹果园，通过释放赤眼蜂，降低蛀果率至5%以下；在</w:t>
            </w:r>
            <w:r>
              <w:rPr>
                <w:rFonts w:hint="eastAsia" w:ascii="仿宋_GB2312" w:hAnsi="仿宋_GB2312" w:cs="仿宋_GB2312"/>
                <w:color w:val="auto"/>
                <w:sz w:val="32"/>
                <w:szCs w:val="32"/>
                <w:highlight w:val="none"/>
                <w:lang w:val="en-US" w:eastAsia="zh-CN"/>
              </w:rPr>
              <w:t>绿色蔬菜基地</w:t>
            </w:r>
            <w:r>
              <w:rPr>
                <w:rFonts w:hint="eastAsia" w:ascii="仿宋_GB2312" w:hAnsi="仿宋_GB2312" w:eastAsia="仿宋_GB2312" w:cs="仿宋_GB2312"/>
                <w:color w:val="auto"/>
                <w:sz w:val="32"/>
                <w:szCs w:val="32"/>
                <w:highlight w:val="none"/>
              </w:rPr>
              <w:t>，采用“捕食螨+诱虫板”组合技术，实现零化学农药生产。</w:t>
            </w:r>
          </w:p>
        </w:tc>
      </w:tr>
    </w:tbl>
    <w:p w14:paraId="0BC6A598">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p>
    <w:p w14:paraId="47E3D7DC">
      <w:pPr>
        <w:bidi w:val="0"/>
        <w:rPr>
          <w:rFonts w:hint="eastAsia"/>
          <w:color w:val="auto"/>
          <w:highlight w:val="none"/>
        </w:rPr>
      </w:pPr>
      <w:r>
        <w:rPr>
          <w:rFonts w:hint="eastAsia"/>
          <w:color w:val="auto"/>
          <w:highlight w:val="none"/>
          <w:lang w:val="en-US" w:eastAsia="zh-CN"/>
        </w:rPr>
        <w:t>3.做细农业循环利用。推广旧县镇地膜回收试点经验，通过“村级回收+企业加工”模式，设立镇、村两级回收站点，配备专用运输车辆，实现地膜、农药包装等废弃物的“定点投放—集中清运—统一处理”，回收覆盖全区20万亩农田，覆盖率达到100%。制定秸秆、菜秧等有机废弃物专项处理措施，采用“镇村收集+区域处理”的跨镇协同处理模式，在康庄镇、张山营镇、旧县镇、永宁镇废弃物产量大的镇建设有机肥加工厂，周边镇负责收储转运至处理中心。大力推广有机肥生产技术应用，采用高温堆肥、厌氧发酵等技术，将秸秆/菜秧转化为有机肥或沼气；推广“秸秆—有机肥—生态种植”循环模式，优先供应本地果蔬基地。鼓励企业参与有机肥生产，通过政府采购或税收优惠支持其产品销往其他镇或外区。</w:t>
      </w:r>
    </w:p>
    <w:p w14:paraId="6FEBA8F8">
      <w:pPr>
        <w:pStyle w:val="3"/>
        <w:numPr>
          <w:ilvl w:val="0"/>
          <w:numId w:val="2"/>
        </w:numPr>
        <w:bidi w:val="0"/>
        <w:rPr>
          <w:rFonts w:hint="eastAsia"/>
          <w:color w:val="auto"/>
          <w:highlight w:val="none"/>
          <w:lang w:eastAsia="zh-CN"/>
        </w:rPr>
      </w:pPr>
      <w:bookmarkStart w:id="78" w:name="_Toc22430"/>
      <w:r>
        <w:rPr>
          <w:rFonts w:hint="eastAsia"/>
          <w:color w:val="auto"/>
          <w:highlight w:val="none"/>
          <w:lang w:val="en-US" w:eastAsia="zh-CN"/>
        </w:rPr>
        <w:t>重点任务三：</w:t>
      </w:r>
      <w:bookmarkStart w:id="79" w:name="_Toc7182"/>
      <w:r>
        <w:rPr>
          <w:rFonts w:hint="eastAsia"/>
          <w:color w:val="auto"/>
          <w:highlight w:val="none"/>
          <w:lang w:eastAsia="zh-CN"/>
        </w:rPr>
        <w:t>全环节完善现代农业经营体系，拓宽农民增收渠道</w:t>
      </w:r>
      <w:bookmarkEnd w:id="78"/>
      <w:bookmarkEnd w:id="79"/>
    </w:p>
    <w:p w14:paraId="4564CA78">
      <w:pPr>
        <w:bidi w:val="0"/>
        <w:rPr>
          <w:rFonts w:hint="eastAsia"/>
          <w:color w:val="auto"/>
          <w:highlight w:val="none"/>
          <w:lang w:val="en-US" w:eastAsia="zh-CN"/>
        </w:rPr>
      </w:pPr>
      <w:r>
        <w:rPr>
          <w:rFonts w:hint="eastAsia"/>
          <w:color w:val="auto"/>
          <w:highlight w:val="none"/>
          <w:lang w:val="en-US" w:eastAsia="zh-CN"/>
        </w:rPr>
        <w:t>坚守农村基本经营制度底线（土地公有制性质不改变、耕地红线不突破、农民利益不受损），聚焦提升延庆区特色生态农业发展组织化、规模化、市场化水平。着力创新经营方式、激活主体潜能、健全服务网络、强化利益联结，构建以农户家庭经营为基础、合作与联合为纽带、社会化服务为支撑的立体式复合型现代农业经营体系，为延庆农业农村现代化注入强劲动能，贡献首都农业强区力量。</w:t>
      </w:r>
    </w:p>
    <w:p w14:paraId="767DFE20">
      <w:pPr>
        <w:pStyle w:val="4"/>
        <w:bidi w:val="0"/>
        <w:rPr>
          <w:rFonts w:hint="eastAsia"/>
          <w:color w:val="auto"/>
          <w:highlight w:val="none"/>
          <w:lang w:val="en-US" w:eastAsia="zh-CN"/>
        </w:rPr>
      </w:pPr>
      <w:bookmarkStart w:id="80" w:name="_Toc27875"/>
      <w:bookmarkStart w:id="81" w:name="_Toc31814"/>
      <w:bookmarkStart w:id="82" w:name="_Toc30907"/>
      <w:r>
        <w:rPr>
          <w:rFonts w:hint="eastAsia"/>
          <w:color w:val="auto"/>
          <w:highlight w:val="none"/>
          <w:lang w:val="en-US" w:eastAsia="zh-CN"/>
        </w:rPr>
        <w:t>（一）激发小农户与现代经营融合活力</w:t>
      </w:r>
      <w:bookmarkEnd w:id="80"/>
      <w:bookmarkEnd w:id="81"/>
      <w:bookmarkEnd w:id="82"/>
    </w:p>
    <w:p w14:paraId="27591C62">
      <w:pPr>
        <w:bidi w:val="0"/>
        <w:rPr>
          <w:rFonts w:hint="eastAsia"/>
          <w:color w:val="auto"/>
          <w:highlight w:val="none"/>
          <w:lang w:val="en-US" w:eastAsia="zh-CN"/>
        </w:rPr>
      </w:pPr>
      <w:r>
        <w:rPr>
          <w:rFonts w:hint="eastAsia"/>
          <w:color w:val="auto"/>
          <w:highlight w:val="none"/>
          <w:lang w:val="en-US" w:eastAsia="zh-CN"/>
        </w:rPr>
        <w:t>稳慎实施土地延包改革：</w:t>
      </w:r>
      <w:r>
        <w:rPr>
          <w:rFonts w:hint="eastAsia"/>
          <w:color w:val="auto"/>
          <w:highlight w:val="none"/>
        </w:rPr>
        <w:t>全面开展第二轮土地承包到期后再延长30年工作，制定符合实际的延包实施方案，切实保障农户的土地承包经营权</w:t>
      </w:r>
      <w:r>
        <w:rPr>
          <w:rFonts w:hint="eastAsia"/>
          <w:color w:val="auto"/>
          <w:highlight w:val="none"/>
          <w:lang w:eastAsia="zh-CN"/>
        </w:rPr>
        <w:t>。</w:t>
      </w:r>
      <w:r>
        <w:rPr>
          <w:rFonts w:hint="eastAsia"/>
          <w:color w:val="auto"/>
          <w:highlight w:val="none"/>
          <w:lang w:val="en-US" w:eastAsia="zh-CN"/>
        </w:rPr>
        <w:t>深化“三权分置”改革实践，落实集体所有权、保护农户承包权、规范放活经营权，探索允许经营权向高效生态农业、休闲农业、设施农业合理流转、抵押和入股的创新途径。</w:t>
      </w:r>
    </w:p>
    <w:p w14:paraId="6CD6CE52">
      <w:pPr>
        <w:bidi w:val="0"/>
        <w:rPr>
          <w:rFonts w:hint="eastAsia" w:ascii="仿宋_GB2312" w:hAnsi="仿宋_GB2312" w:eastAsia="仿宋_GB2312" w:cs="仿宋_GB2312"/>
          <w:color w:val="auto"/>
          <w:kern w:val="2"/>
          <w:szCs w:val="32"/>
          <w:highlight w:val="none"/>
          <w:lang w:val="en-US" w:eastAsia="zh-CN" w:bidi="ar-SA"/>
        </w:rPr>
      </w:pPr>
      <w:r>
        <w:rPr>
          <w:rFonts w:hint="eastAsia"/>
          <w:color w:val="auto"/>
          <w:highlight w:val="none"/>
          <w:lang w:val="en-US" w:eastAsia="zh-CN"/>
        </w:rPr>
        <w:t>提升小农户发展能力：实施“延庆生态小农培育工程”，围绕绿色防控、有机种植、精细管理、品牌营销等关键技能进行精准培训。鼓励支持小农户立足山地、冷凉气候特点，发展“小而特、小而精、小而优”的庭院经济、特色种养（如高品质蔬菜、有机杂粮、精品林果、特色花卉）。大力推广“合作社+小农户”“龙头企业+基地+小农户”“联户经营”“联耕联种”等模式，降低小农户融入大市场的门槛和风险。</w:t>
      </w:r>
    </w:p>
    <w:p w14:paraId="4F2CFC72">
      <w:pPr>
        <w:pStyle w:val="4"/>
        <w:bidi w:val="0"/>
        <w:rPr>
          <w:rFonts w:hint="eastAsia"/>
          <w:color w:val="auto"/>
          <w:highlight w:val="none"/>
          <w:lang w:val="en-US" w:eastAsia="zh-CN"/>
        </w:rPr>
      </w:pPr>
      <w:bookmarkStart w:id="83" w:name="_Toc17625"/>
      <w:bookmarkStart w:id="84" w:name="_Toc18201"/>
      <w:bookmarkStart w:id="85" w:name="_Toc17476"/>
      <w:r>
        <w:rPr>
          <w:rFonts w:hint="eastAsia"/>
          <w:color w:val="auto"/>
          <w:highlight w:val="none"/>
          <w:lang w:val="en-US" w:eastAsia="zh-CN"/>
        </w:rPr>
        <w:t>（二）深化集体经济活权赋能改革</w:t>
      </w:r>
      <w:bookmarkEnd w:id="83"/>
      <w:bookmarkEnd w:id="84"/>
      <w:bookmarkEnd w:id="85"/>
    </w:p>
    <w:p w14:paraId="48AC9CF5">
      <w:pPr>
        <w:bidi w:val="0"/>
        <w:rPr>
          <w:rFonts w:hint="eastAsia"/>
          <w:color w:val="auto"/>
          <w:highlight w:val="none"/>
          <w:lang w:val="en-US" w:eastAsia="zh-CN"/>
        </w:rPr>
      </w:pPr>
      <w:bookmarkStart w:id="86" w:name="_Toc31764"/>
      <w:r>
        <w:rPr>
          <w:rFonts w:hint="eastAsia"/>
          <w:color w:val="auto"/>
          <w:highlight w:val="none"/>
          <w:lang w:val="en-US" w:eastAsia="zh-CN"/>
        </w:rPr>
        <w:t>健全集体资产监管运营：深化农村集体产权制度改革成果运用，完善区、镇、村三级联网的农村集体资产信息化监管平台和规范透明的管理体系。强化村级集体经济组织市场主体地位，探索赋予其更加完整的资源开发、资产经营、资本运作等权能。</w:t>
      </w:r>
    </w:p>
    <w:p w14:paraId="491B8F29">
      <w:pPr>
        <w:bidi w:val="0"/>
        <w:rPr>
          <w:rFonts w:hint="eastAsia"/>
          <w:color w:val="auto"/>
          <w:highlight w:val="none"/>
          <w:lang w:val="en-US" w:eastAsia="zh-CN"/>
        </w:rPr>
      </w:pPr>
      <w:r>
        <w:rPr>
          <w:rFonts w:hint="eastAsia"/>
          <w:color w:val="auto"/>
          <w:highlight w:val="none"/>
          <w:lang w:val="en-US" w:eastAsia="zh-CN"/>
        </w:rPr>
        <w:t>提升统筹服务功能：充分发挥集体经济组织联结农户、整合资源、对接市场的优势，强化其在统一绿色生产标准推广、农产品区域品牌（如“妫水农耕”）建设维护、闲置资源（农房、宅基地）盘活利用、协调社会化服务对接等方面的统筹协调功能。</w:t>
      </w:r>
    </w:p>
    <w:p w14:paraId="6694DF69">
      <w:pPr>
        <w:bidi w:val="0"/>
        <w:rPr>
          <w:rFonts w:hint="eastAsia" w:ascii="仿宋_GB2312" w:hAnsi="仿宋_GB2312" w:eastAsia="仿宋_GB2312" w:cs="仿宋_GB2312"/>
          <w:color w:val="auto"/>
          <w:kern w:val="2"/>
          <w:szCs w:val="32"/>
          <w:highlight w:val="none"/>
          <w:lang w:val="en-US" w:eastAsia="zh-CN" w:bidi="ar-SA"/>
        </w:rPr>
      </w:pPr>
      <w:r>
        <w:rPr>
          <w:rFonts w:hint="eastAsia"/>
          <w:color w:val="auto"/>
          <w:highlight w:val="none"/>
          <w:lang w:val="en-US" w:eastAsia="zh-CN"/>
        </w:rPr>
        <w:t>壮大新型农村集体经济：鼓励集体经济组织盘活利用山林、水域、闲置集体建设用地等资源，领办专业合作社，打造“村社合一”模式，发展休闲旅游民宿、生态康养、农产品加工仓储、小微共享冷库等新产业新业态。构建“股权清晰、分配规范、风险可控”的集体经济运行机制，完善集体收益分配制度，切实增加农民财产性收入。探索村集体利用生态资源（如碳汇指标）参与市场化运作的模式。</w:t>
      </w:r>
    </w:p>
    <w:p w14:paraId="5C9497ED">
      <w:pPr>
        <w:pStyle w:val="4"/>
        <w:bidi w:val="0"/>
        <w:rPr>
          <w:rFonts w:hint="eastAsia"/>
          <w:color w:val="auto"/>
          <w:highlight w:val="none"/>
          <w:lang w:val="en-US" w:eastAsia="zh-CN"/>
        </w:rPr>
      </w:pPr>
      <w:bookmarkStart w:id="87" w:name="_Toc27922"/>
      <w:bookmarkStart w:id="88" w:name="_Toc2372"/>
      <w:r>
        <w:rPr>
          <w:rFonts w:hint="eastAsia"/>
          <w:color w:val="auto"/>
          <w:highlight w:val="none"/>
          <w:lang w:val="en-US" w:eastAsia="zh-CN"/>
        </w:rPr>
        <w:t>（三）推动新型主体提质与融合发展</w:t>
      </w:r>
      <w:bookmarkEnd w:id="86"/>
      <w:bookmarkEnd w:id="87"/>
      <w:bookmarkEnd w:id="88"/>
    </w:p>
    <w:p w14:paraId="279B68E3">
      <w:pPr>
        <w:bidi w:val="0"/>
        <w:rPr>
          <w:rFonts w:hint="eastAsia"/>
          <w:color w:val="auto"/>
          <w:highlight w:val="none"/>
          <w:lang w:val="en-US" w:eastAsia="zh-CN"/>
        </w:rPr>
      </w:pPr>
      <w:bookmarkStart w:id="89" w:name="_Toc15097"/>
      <w:r>
        <w:rPr>
          <w:rFonts w:hint="eastAsia"/>
          <w:color w:val="auto"/>
          <w:highlight w:val="none"/>
          <w:lang w:val="en-US" w:eastAsia="zh-CN"/>
        </w:rPr>
        <w:t>做优家庭农场：重点培育以本地农户为主、突出生态特色的“家庭生态农场”。加强对家庭农场在绿色生产技术应用、农产品质量认证、财务管理、市场营销等方面的指导和服务。支持符合条件的家庭农场升级为绿色、有机、供京蔬果等标准化生产基地。</w:t>
      </w:r>
    </w:p>
    <w:p w14:paraId="3A83470D">
      <w:pPr>
        <w:bidi w:val="0"/>
        <w:rPr>
          <w:rFonts w:hint="eastAsia"/>
          <w:color w:val="auto"/>
          <w:highlight w:val="none"/>
          <w:lang w:val="en-US" w:eastAsia="zh-CN"/>
        </w:rPr>
      </w:pPr>
      <w:r>
        <w:rPr>
          <w:rFonts w:hint="eastAsia"/>
          <w:color w:val="auto"/>
          <w:highlight w:val="none"/>
          <w:lang w:val="en-US" w:eastAsia="zh-CN"/>
        </w:rPr>
        <w:t>做强合作社联合：支持农民专业合作社（特别是果蔬、花卉、蜂产业合作社）依法自愿组建区域性、产业型联合社，提升在农资集采、标准化生产、仓储保鲜、加工包装、品牌营销（对接冬奥世园、高端商超、电商平台）等方面的综合实力。鼓励发展“合作社办企业”，延伸产业链。</w:t>
      </w:r>
    </w:p>
    <w:p w14:paraId="00422A0A">
      <w:pPr>
        <w:bidi w:val="0"/>
        <w:rPr>
          <w:rFonts w:hint="eastAsia"/>
          <w:color w:val="auto"/>
          <w:highlight w:val="none"/>
          <w:lang w:val="en-US" w:eastAsia="zh-CN"/>
        </w:rPr>
      </w:pPr>
      <w:r>
        <w:rPr>
          <w:rFonts w:hint="eastAsia"/>
          <w:color w:val="auto"/>
          <w:highlight w:val="none"/>
          <w:lang w:val="en-US" w:eastAsia="zh-CN"/>
        </w:rPr>
        <w:t>强化联农带农机制：完善各类农业龙头企业、农民专业合作社、社会化服务组织等新型经营主体的认定标准和扶持政策，明确将其享受政策力度与其直接带动本地小农户增收（如订单收购、用工、分红、服务收益）的效果紧密挂钩。重点发展“保底收益+按股分红”“订单收购+溢价奖励”等紧密型利益联结关系。</w:t>
      </w:r>
    </w:p>
    <w:p w14:paraId="1EC0A3D9">
      <w:pPr>
        <w:bidi w:val="0"/>
        <w:rPr>
          <w:rFonts w:hint="default" w:ascii="仿宋_GB2312" w:hAnsi="仿宋_GB2312" w:eastAsia="仿宋_GB2312" w:cs="仿宋_GB2312"/>
          <w:color w:val="auto"/>
          <w:kern w:val="2"/>
          <w:szCs w:val="32"/>
          <w:highlight w:val="none"/>
          <w:lang w:val="en-US" w:eastAsia="zh-CN" w:bidi="ar-SA"/>
        </w:rPr>
      </w:pPr>
      <w:r>
        <w:rPr>
          <w:rFonts w:hint="eastAsia"/>
          <w:color w:val="auto"/>
          <w:highlight w:val="none"/>
          <w:lang w:val="en-US" w:eastAsia="zh-CN"/>
        </w:rPr>
        <w:t>深化供销社与国有农场作用：深化区供销合作社综合改革，强化其在农资保障、农产品流通、再生资源回收等领域的服务网络优势，向产加销全程社会化服务延伸。发挥区域国有农场在良种繁育、技术示范、农业基础设施管理和为周边小农户提供专业化服务方面的支撑作用。</w:t>
      </w:r>
    </w:p>
    <w:p w14:paraId="080FDC3E">
      <w:pPr>
        <w:pStyle w:val="4"/>
        <w:bidi w:val="0"/>
        <w:rPr>
          <w:rFonts w:hint="eastAsia"/>
          <w:color w:val="auto"/>
          <w:highlight w:val="none"/>
          <w:lang w:val="en-US" w:eastAsia="zh-CN"/>
        </w:rPr>
      </w:pPr>
      <w:bookmarkStart w:id="90" w:name="_Toc5140"/>
      <w:bookmarkStart w:id="91" w:name="_Toc5466"/>
      <w:r>
        <w:rPr>
          <w:rFonts w:hint="eastAsia"/>
          <w:color w:val="auto"/>
          <w:highlight w:val="none"/>
          <w:lang w:val="en-US" w:eastAsia="zh-CN"/>
        </w:rPr>
        <w:t>（四）构筑高效生态型社会化服务体系</w:t>
      </w:r>
      <w:bookmarkEnd w:id="89"/>
      <w:bookmarkEnd w:id="90"/>
      <w:bookmarkEnd w:id="91"/>
    </w:p>
    <w:p w14:paraId="61912097">
      <w:pPr>
        <w:bidi w:val="0"/>
        <w:rPr>
          <w:rFonts w:hint="default"/>
          <w:color w:val="auto"/>
          <w:highlight w:val="none"/>
          <w:lang w:val="en-US" w:eastAsia="zh-CN"/>
        </w:rPr>
      </w:pPr>
      <w:r>
        <w:rPr>
          <w:rFonts w:hint="eastAsia"/>
          <w:color w:val="auto"/>
          <w:highlight w:val="none"/>
          <w:lang w:val="en-US" w:eastAsia="zh-CN"/>
        </w:rPr>
        <w:t>拓展服务主体与内容：引导涉农科研机构、龙头企业、农民专业合作社、专业服务公司等多元化主体，向生态农业关键环节拓展服务能力。抓好服务主体规范建设与示范创建，重点支持生态农业技术服务联盟、农业社会化服务龙头企业发展，积极推进“空壳社”专项清理工作，鼓励区域性或行业性合作社成立联合社，引导合作社构建生产、加工、销售一条龙的综合发展模式。</w:t>
      </w:r>
      <w:r>
        <w:rPr>
          <w:color w:val="auto"/>
          <w:highlight w:val="none"/>
        </w:rPr>
        <w:commentReference w:id="1"/>
      </w:r>
    </w:p>
    <w:p w14:paraId="206091C5">
      <w:pPr>
        <w:bidi w:val="0"/>
        <w:rPr>
          <w:rFonts w:hint="eastAsia" w:ascii="仿宋_GB2312" w:hAnsi="仿宋_GB2312" w:eastAsia="仿宋_GB2312" w:cs="仿宋_GB2312"/>
          <w:color w:val="auto"/>
          <w:kern w:val="2"/>
          <w:szCs w:val="32"/>
          <w:highlight w:val="none"/>
          <w:lang w:val="en-US" w:eastAsia="zh-CN" w:bidi="ar-SA"/>
        </w:rPr>
      </w:pPr>
      <w:r>
        <w:rPr>
          <w:rFonts w:hint="eastAsia"/>
          <w:color w:val="auto"/>
          <w:highlight w:val="none"/>
          <w:lang w:val="en-US" w:eastAsia="zh-CN"/>
        </w:rPr>
        <w:t>创新服务模式与覆盖：针对延庆山地、冷凉气候特点，大力推广适宜山区的农业机械（小型、智能化）作业托管服务、“单环节/多环节托管+关键技术指导”“全程托管+订单回收”等服务模式。推动服务领域由粮油作物向高品质蔬菜、名优花卉、绿色林果、生态养殖（如蜜蜂、冷水鱼）等优势产业拓展，由单一产中环节向产前（种苗供应、绿色农资）、产后（冷链物流、分级分拣、电商营销）全链条延伸。推进产业科技成果转化落地，大力推进无人机在应急救援、农林植保、巡查巡检、物流配送、文体旅游5大领域场景的示范应用，加快无人机技术在农业农村领域的推广普及。提升服务标准与效能：围绕绿色生产技术、投入品规范使用、质量安全追溯、废弃物资源化利用等关键内容，制定符合首都安全标准的延庆生态农业社会化服务规范。建设区域农业社会化服务综合信息平台，促进供需精准对接、服务质量可追溯。</w:t>
      </w:r>
    </w:p>
    <w:p w14:paraId="0E98F38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3"/>
      </w:tblGrid>
      <w:tr w14:paraId="33A2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3" w:type="dxa"/>
          </w:tcPr>
          <w:p w14:paraId="35B8721C">
            <w:pPr>
              <w:widowControl/>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专栏</w:t>
            </w:r>
            <w:r>
              <w:rPr>
                <w:rFonts w:hint="eastAsia" w:ascii="仿宋_GB2312" w:hAnsi="仿宋_GB2312" w:cs="仿宋_GB2312"/>
                <w:b/>
                <w:bCs/>
                <w:color w:val="auto"/>
                <w:sz w:val="30"/>
                <w:szCs w:val="30"/>
                <w:highlight w:val="none"/>
                <w:lang w:val="en-US" w:eastAsia="zh-CN"/>
              </w:rPr>
              <w:t>九</w:t>
            </w:r>
          </w:p>
          <w:p w14:paraId="11D78275">
            <w:pPr>
              <w:widowControl/>
              <w:numPr>
                <w:ilvl w:val="-1"/>
                <w:numId w:val="0"/>
              </w:numPr>
              <w:ind w:firstLine="0" w:firstLineChars="0"/>
              <w:jc w:val="center"/>
              <w:rPr>
                <w:rFonts w:hint="eastAsia" w:ascii="仿宋_GB2312" w:hAnsi="仿宋_GB2312" w:eastAsia="仿宋_GB2312" w:cs="仿宋_GB2312"/>
                <w:strike/>
                <w:color w:val="auto"/>
                <w:sz w:val="32"/>
                <w:szCs w:val="32"/>
                <w:highlight w:val="none"/>
              </w:rPr>
            </w:pPr>
            <w:r>
              <w:rPr>
                <w:rFonts w:hint="eastAsia" w:ascii="仿宋_GB2312" w:hAnsi="仿宋_GB2312" w:eastAsia="仿宋_GB2312" w:cs="仿宋_GB2312"/>
                <w:b/>
                <w:bCs/>
                <w:color w:val="auto"/>
                <w:sz w:val="30"/>
                <w:szCs w:val="30"/>
                <w:highlight w:val="none"/>
              </w:rPr>
              <w:t>新型农业经营主体和服务主体建设</w:t>
            </w:r>
          </w:p>
          <w:p w14:paraId="0D314DC5">
            <w:pPr>
              <w:widowControl/>
              <w:numPr>
                <w:ilvl w:val="-1"/>
                <w:numId w:val="0"/>
              </w:numPr>
              <w:spacing w:line="56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农业龙头企业培优行动：重点扶持5家具有科技含量、品牌潜力、绿色基因的企业进行培优，通过龙头企业带动全区农业向价值链高端攀升。为重点扶植企业配备“服务官”，实施区领导+部门负责人结对，加大对龙头企业政策</w:t>
            </w:r>
            <w:r>
              <w:rPr>
                <w:rFonts w:hint="eastAsia" w:ascii="仿宋_GB2312" w:hAnsi="仿宋_GB2312" w:eastAsia="仿宋_GB2312" w:cs="仿宋_GB2312"/>
                <w:color w:val="auto"/>
                <w:sz w:val="32"/>
                <w:szCs w:val="32"/>
                <w:highlight w:val="none"/>
                <w:lang w:eastAsia="zh-CN"/>
              </w:rPr>
              <w:t>扶持</w:t>
            </w:r>
            <w:r>
              <w:rPr>
                <w:rFonts w:hint="eastAsia" w:ascii="仿宋_GB2312" w:hAnsi="仿宋_GB2312" w:eastAsia="仿宋_GB2312" w:cs="仿宋_GB2312"/>
                <w:color w:val="auto"/>
                <w:sz w:val="32"/>
                <w:szCs w:val="32"/>
                <w:highlight w:val="none"/>
              </w:rPr>
              <w:t>力度，单列5%建设用地指标优先保障龙头项目</w:t>
            </w:r>
            <w:r>
              <w:rPr>
                <w:rFonts w:hint="eastAsia" w:ascii="仿宋_GB2312" w:hAnsi="仿宋_GB2312" w:cs="仿宋_GB2312"/>
                <w:color w:val="auto"/>
                <w:sz w:val="32"/>
                <w:szCs w:val="32"/>
                <w:highlight w:val="none"/>
                <w:lang w:eastAsia="zh-CN"/>
              </w:rPr>
              <w:t>，对</w:t>
            </w:r>
            <w:r>
              <w:rPr>
                <w:rFonts w:hint="eastAsia" w:ascii="仿宋_GB2312" w:hAnsi="仿宋_GB2312" w:eastAsia="仿宋_GB2312" w:cs="仿宋_GB2312"/>
                <w:color w:val="auto"/>
                <w:sz w:val="32"/>
                <w:szCs w:val="32"/>
                <w:highlight w:val="none"/>
              </w:rPr>
              <w:t>企业引进高层次人才给予户籍指标倾斜。支持企业主导建设5个万亩标准化基地，农户可通过土地、劳务等多形式入股，建立多种形式的利益联结机制。</w:t>
            </w:r>
          </w:p>
          <w:p w14:paraId="0D4B25A1">
            <w:pPr>
              <w:widowControl/>
              <w:numPr>
                <w:ilvl w:val="-1"/>
                <w:numId w:val="0"/>
              </w:numPr>
              <w:spacing w:line="560" w:lineRule="exact"/>
              <w:ind w:firstLine="640" w:firstLineChars="200"/>
              <w:jc w:val="left"/>
              <w:rPr>
                <w:color w:val="auto"/>
                <w:highlight w:val="none"/>
              </w:rPr>
            </w:pPr>
            <w:r>
              <w:rPr>
                <w:rFonts w:hint="eastAsia" w:ascii="仿宋_GB2312" w:hAnsi="仿宋_GB2312" w:eastAsia="仿宋_GB2312" w:cs="仿宋_GB2312"/>
                <w:color w:val="auto"/>
                <w:sz w:val="32"/>
                <w:szCs w:val="32"/>
                <w:highlight w:val="none"/>
              </w:rPr>
              <w:t>社会化服务组织壮大行动：</w:t>
            </w:r>
            <w:r>
              <w:rPr>
                <w:rFonts w:hint="eastAsia" w:ascii="仿宋_GB2312" w:hAnsi="仿宋_GB2312" w:eastAsia="仿宋_GB2312" w:cs="仿宋_GB2312"/>
                <w:color w:val="auto"/>
                <w:sz w:val="32"/>
                <w:szCs w:val="32"/>
                <w:highlight w:val="none"/>
                <w:lang w:val="en-US" w:eastAsia="zh-CN"/>
              </w:rPr>
              <w:t>实施“1+N”计划，</w:t>
            </w:r>
            <w:r>
              <w:rPr>
                <w:rFonts w:hint="eastAsia" w:ascii="仿宋_GB2312" w:hAnsi="仿宋_GB2312" w:eastAsia="仿宋_GB2312" w:cs="仿宋_GB2312"/>
                <w:color w:val="auto"/>
                <w:sz w:val="32"/>
                <w:szCs w:val="32"/>
                <w:highlight w:val="none"/>
              </w:rPr>
              <w:t>培育</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家区级农机、农技、金融等一体化综合性服务</w:t>
            </w:r>
            <w:r>
              <w:rPr>
                <w:rFonts w:hint="eastAsia" w:ascii="仿宋_GB2312" w:hAnsi="仿宋_GB2312" w:eastAsia="仿宋_GB2312" w:cs="仿宋_GB2312"/>
                <w:color w:val="auto"/>
                <w:sz w:val="32"/>
                <w:szCs w:val="32"/>
                <w:highlight w:val="none"/>
                <w:lang w:val="en-US" w:eastAsia="zh-CN"/>
              </w:rPr>
              <w:t>中心</w:t>
            </w:r>
            <w:r>
              <w:rPr>
                <w:rFonts w:hint="eastAsia" w:ascii="仿宋_GB2312" w:hAnsi="仿宋_GB2312" w:eastAsia="仿宋_GB2312" w:cs="仿宋_GB2312"/>
                <w:color w:val="auto"/>
                <w:sz w:val="32"/>
                <w:szCs w:val="32"/>
                <w:highlight w:val="none"/>
              </w:rPr>
              <w:t>，建设</w:t>
            </w:r>
            <w:r>
              <w:rPr>
                <w:rFonts w:hint="eastAsia" w:ascii="仿宋_GB2312" w:hAnsi="仿宋_GB2312" w:eastAsia="仿宋_GB2312" w:cs="仿宋_GB2312"/>
                <w:color w:val="auto"/>
                <w:sz w:val="32"/>
                <w:szCs w:val="32"/>
                <w:highlight w:val="none"/>
                <w:lang w:val="en-US" w:eastAsia="zh-CN"/>
              </w:rPr>
              <w:t>N个</w:t>
            </w:r>
            <w:r>
              <w:rPr>
                <w:rFonts w:hint="eastAsia" w:ascii="仿宋_GB2312" w:hAnsi="仿宋_GB2312" w:eastAsia="仿宋_GB2312" w:cs="仿宋_GB2312"/>
                <w:color w:val="auto"/>
                <w:sz w:val="32"/>
                <w:szCs w:val="32"/>
                <w:highlight w:val="none"/>
              </w:rPr>
              <w:t>覆盖所有乡镇的区域服务</w:t>
            </w:r>
            <w:r>
              <w:rPr>
                <w:rFonts w:hint="eastAsia" w:ascii="仿宋_GB2312" w:hAnsi="仿宋_GB2312" w:eastAsia="仿宋_GB2312" w:cs="仿宋_GB2312"/>
                <w:color w:val="auto"/>
                <w:sz w:val="32"/>
                <w:szCs w:val="32"/>
                <w:highlight w:val="none"/>
                <w:lang w:val="en-US" w:eastAsia="zh-CN"/>
              </w:rPr>
              <w:t>点</w:t>
            </w:r>
            <w:r>
              <w:rPr>
                <w:rFonts w:hint="eastAsia" w:ascii="仿宋_GB2312" w:hAnsi="仿宋_GB2312" w:eastAsia="仿宋_GB2312" w:cs="仿宋_GB2312"/>
                <w:color w:val="auto"/>
                <w:sz w:val="32"/>
                <w:szCs w:val="32"/>
                <w:highlight w:val="none"/>
              </w:rPr>
              <w:t>。推动社会化服务标准体系建设，制定《延庆农业社会化服务规范》，细化服务流程，推行“服务套餐”模式，设计5种标准化套餐（从单环节托管到全程托营等）。</w:t>
            </w:r>
            <w:r>
              <w:rPr>
                <w:rFonts w:hint="eastAsia" w:ascii="仿宋_GB2312" w:hAnsi="仿宋_GB2312" w:cs="仿宋_GB2312"/>
                <w:color w:val="auto"/>
                <w:sz w:val="32"/>
                <w:szCs w:val="32"/>
                <w:highlight w:val="none"/>
                <w:lang w:val="en-US" w:eastAsia="zh-CN"/>
              </w:rPr>
              <w:t>（见附图7）</w:t>
            </w:r>
          </w:p>
        </w:tc>
      </w:tr>
    </w:tbl>
    <w:p w14:paraId="3E81F7FF">
      <w:pPr>
        <w:rPr>
          <w:rFonts w:hint="eastAsia"/>
          <w:color w:val="auto"/>
          <w:highlight w:val="none"/>
        </w:rPr>
      </w:pPr>
    </w:p>
    <w:p w14:paraId="547B551C">
      <w:pPr>
        <w:pStyle w:val="3"/>
        <w:numPr>
          <w:ilvl w:val="0"/>
          <w:numId w:val="2"/>
        </w:numPr>
        <w:bidi w:val="0"/>
        <w:rPr>
          <w:rFonts w:hint="eastAsia"/>
          <w:color w:val="auto"/>
          <w:highlight w:val="none"/>
          <w:lang w:eastAsia="zh-CN"/>
        </w:rPr>
      </w:pPr>
      <w:bookmarkStart w:id="92" w:name="_Toc9627"/>
      <w:r>
        <w:rPr>
          <w:rFonts w:hint="eastAsia"/>
          <w:color w:val="auto"/>
          <w:highlight w:val="none"/>
          <w:lang w:val="en-US" w:eastAsia="zh-CN"/>
        </w:rPr>
        <w:t>重点任务四：</w:t>
      </w:r>
      <w:r>
        <w:rPr>
          <w:rFonts w:hint="eastAsia"/>
          <w:color w:val="auto"/>
          <w:highlight w:val="none"/>
          <w:lang w:eastAsia="zh-CN"/>
        </w:rPr>
        <w:t>全链条推进农业产业体系升级，提升农业综合效益</w:t>
      </w:r>
      <w:bookmarkEnd w:id="92"/>
    </w:p>
    <w:p w14:paraId="230062B4">
      <w:pPr>
        <w:pStyle w:val="4"/>
        <w:numPr>
          <w:ilvl w:val="0"/>
          <w:numId w:val="4"/>
        </w:numPr>
        <w:bidi w:val="0"/>
        <w:rPr>
          <w:rFonts w:hint="eastAsia"/>
          <w:color w:val="auto"/>
          <w:highlight w:val="none"/>
          <w:lang w:val="en-US" w:eastAsia="zh-CN"/>
        </w:rPr>
      </w:pPr>
      <w:bookmarkStart w:id="93" w:name="_Toc4731"/>
      <w:r>
        <w:rPr>
          <w:rFonts w:hint="eastAsia"/>
          <w:color w:val="auto"/>
          <w:highlight w:val="none"/>
          <w:lang w:val="en-US" w:eastAsia="zh-CN"/>
        </w:rPr>
        <w:t>加快发展乡村特色产业聚集区建设</w:t>
      </w:r>
      <w:bookmarkEnd w:id="93"/>
    </w:p>
    <w:p w14:paraId="33E96E58">
      <w:pPr>
        <w:bidi w:val="0"/>
        <w:rPr>
          <w:rFonts w:hint="eastAsia"/>
          <w:color w:val="auto"/>
          <w:highlight w:val="none"/>
          <w:lang w:val="en-US" w:eastAsia="zh-CN"/>
        </w:rPr>
      </w:pPr>
      <w:r>
        <w:rPr>
          <w:rFonts w:hint="eastAsia"/>
          <w:color w:val="auto"/>
          <w:highlight w:val="none"/>
          <w:lang w:val="en-US" w:eastAsia="zh-CN"/>
        </w:rPr>
        <w:t>聚集资源、集中力量，建设富有特色、规模适中、带动力强的特色产业聚集区。打造“多镇一带”，在更大范围、更高层次上培育产业集群，形成“新主体新业态”小型经济圈、农业产业强镇中型经济圈、现代农业产业园大型经济圈，构建乡村产业“圈”状发展格局。</w:t>
      </w:r>
    </w:p>
    <w:p w14:paraId="491B2AAE">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9"/>
      </w:tblGrid>
      <w:tr w14:paraId="5504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9" w:type="dxa"/>
          </w:tcPr>
          <w:p w14:paraId="2B981355">
            <w:pPr>
              <w:widowControl/>
              <w:ind w:left="0" w:leftChars="0" w:firstLine="0" w:firstLineChars="0"/>
              <w:jc w:val="center"/>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专栏十</w:t>
            </w:r>
          </w:p>
          <w:p w14:paraId="604F0B2F">
            <w:pPr>
              <w:widowControl/>
              <w:ind w:left="0" w:leftChars="0" w:firstLine="0" w:firstLineChars="0"/>
              <w:jc w:val="center"/>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乡村特色产业提升工程</w:t>
            </w:r>
          </w:p>
          <w:p w14:paraId="76AA174D">
            <w:pPr>
              <w:widowControl/>
              <w:numPr>
                <w:ilvl w:val="-1"/>
                <w:numId w:val="0"/>
              </w:numPr>
              <w:spacing w:line="56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建设“一村一品”示范村：依托资源优势，选择主导产业，建设一批“小而精、特而美”的“一村一品”示范村，打造延庆镇彩椒、张山营镇葡萄、康庄镇旱稻、沈家营甘薯、千家店镇杂粮等特色示范村。</w:t>
            </w:r>
          </w:p>
          <w:p w14:paraId="28302F24">
            <w:pPr>
              <w:widowControl/>
              <w:numPr>
                <w:ilvl w:val="-1"/>
                <w:numId w:val="0"/>
              </w:numPr>
              <w:spacing w:line="56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建设农业产业强镇：聚焦1</w:t>
            </w:r>
            <w:r>
              <w:rPr>
                <w:rFonts w:hint="eastAsia" w:ascii="仿宋_GB2312" w:hAnsi="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2个主导产业，吸引资本聚镇、能人入镇、技术进镇，将永宁镇和延庆镇打造为标准原料基地、集约化加工转化、区域主导产业、紧密利益连接于一体的国家农业产业强镇。</w:t>
            </w:r>
          </w:p>
          <w:p w14:paraId="1E9A632E">
            <w:pPr>
              <w:widowControl/>
              <w:numPr>
                <w:ilvl w:val="-1"/>
                <w:numId w:val="0"/>
              </w:numPr>
              <w:spacing w:line="560" w:lineRule="exact"/>
              <w:ind w:firstLine="640" w:firstLineChars="200"/>
              <w:jc w:val="left"/>
              <w:rPr>
                <w:color w:val="auto"/>
                <w:highlight w:val="none"/>
              </w:rPr>
            </w:pPr>
            <w:r>
              <w:rPr>
                <w:rFonts w:hint="eastAsia" w:ascii="仿宋_GB2312" w:hAnsi="仿宋_GB2312" w:eastAsia="仿宋_GB2312" w:cs="仿宋_GB2312"/>
                <w:color w:val="auto"/>
                <w:sz w:val="32"/>
                <w:szCs w:val="32"/>
                <w:highlight w:val="none"/>
              </w:rPr>
              <w:t>建设现代农业产业园：通过科技集成、主体集合、产业集群，统筹布局生产、加工、物流、研发、示范、服务等功能，延长产业链，提升价值链，促进产业格局由分散向集中、发展方式由粗放向集约、产业链条由单一向复合转变，以延庆镇、永宁镇、康庄镇、张山营镇、旧县镇、沈家营镇、刘斌堡乡为核心创建国家现代农业产业园。</w:t>
            </w:r>
            <w:r>
              <w:rPr>
                <w:rFonts w:hint="eastAsia" w:ascii="仿宋_GB2312" w:hAnsi="仿宋_GB2312" w:cs="仿宋_GB2312"/>
                <w:color w:val="auto"/>
                <w:sz w:val="32"/>
                <w:szCs w:val="32"/>
                <w:highlight w:val="none"/>
                <w:lang w:val="en-US" w:eastAsia="zh-CN"/>
              </w:rPr>
              <w:t>（见附图8）</w:t>
            </w:r>
          </w:p>
        </w:tc>
      </w:tr>
    </w:tbl>
    <w:p w14:paraId="50789FC3">
      <w:pPr>
        <w:widowControl/>
        <w:numPr>
          <w:ilvl w:val="0"/>
          <w:numId w:val="0"/>
        </w:numPr>
        <w:spacing w:line="560" w:lineRule="exact"/>
        <w:ind w:firstLine="640" w:firstLineChars="200"/>
        <w:jc w:val="left"/>
        <w:rPr>
          <w:rFonts w:hint="eastAsia" w:ascii="仿宋_GB2312" w:hAnsi="仿宋_GB2312" w:eastAsia="仿宋_GB2312" w:cs="仿宋_GB2312"/>
          <w:color w:val="auto"/>
          <w:kern w:val="2"/>
          <w:sz w:val="32"/>
          <w:szCs w:val="32"/>
          <w:highlight w:val="none"/>
          <w:lang w:val="en-US" w:eastAsia="zh-CN" w:bidi="ar-SA"/>
        </w:rPr>
      </w:pPr>
    </w:p>
    <w:p w14:paraId="7FFA941E">
      <w:pPr>
        <w:pStyle w:val="4"/>
        <w:numPr>
          <w:ilvl w:val="0"/>
          <w:numId w:val="4"/>
        </w:numPr>
        <w:bidi w:val="0"/>
        <w:ind w:firstLine="880"/>
        <w:rPr>
          <w:rFonts w:hint="eastAsia" w:ascii="Arial" w:hAnsi="Arial"/>
          <w:b w:val="0"/>
          <w:color w:val="auto"/>
          <w:highlight w:val="none"/>
          <w:lang w:val="en-US" w:eastAsia="zh-CN"/>
        </w:rPr>
      </w:pPr>
      <w:bookmarkStart w:id="94" w:name="_Toc2080"/>
      <w:r>
        <w:rPr>
          <w:rFonts w:hint="eastAsia" w:ascii="Arial" w:hAnsi="Arial"/>
          <w:b w:val="0"/>
          <w:color w:val="auto"/>
          <w:highlight w:val="none"/>
          <w:lang w:val="en-US" w:eastAsia="zh-CN"/>
        </w:rPr>
        <w:t>推动农产品加工业优化升级</w:t>
      </w:r>
      <w:bookmarkEnd w:id="94"/>
    </w:p>
    <w:p w14:paraId="0ACDD6FE">
      <w:pPr>
        <w:bidi w:val="0"/>
        <w:rPr>
          <w:rFonts w:hint="eastAsia"/>
          <w:color w:val="auto"/>
          <w:highlight w:val="none"/>
        </w:rPr>
      </w:pPr>
      <w:r>
        <w:rPr>
          <w:rFonts w:hint="eastAsia"/>
          <w:color w:val="auto"/>
          <w:highlight w:val="none"/>
          <w:lang w:val="en-US" w:eastAsia="zh-CN"/>
        </w:rPr>
        <w:t>用好《</w:t>
      </w:r>
      <w:r>
        <w:rPr>
          <w:rFonts w:hint="eastAsia"/>
          <w:color w:val="auto"/>
          <w:highlight w:val="none"/>
        </w:rPr>
        <w:t>北京市关于支持农产品加工中小企业发展的若干措施》</w:t>
      </w:r>
      <w:r>
        <w:rPr>
          <w:rFonts w:hint="eastAsia"/>
          <w:color w:val="auto"/>
          <w:highlight w:val="none"/>
          <w:lang w:eastAsia="zh-CN"/>
        </w:rPr>
        <w:t>，</w:t>
      </w:r>
      <w:r>
        <w:rPr>
          <w:rFonts w:hint="eastAsia"/>
          <w:color w:val="auto"/>
          <w:highlight w:val="none"/>
        </w:rPr>
        <w:t>统筹发展农产品初加工、精深加工和综合利用加工，推进农产品多元化开发、多层次利用、多环节增值。鼓励和支持</w:t>
      </w:r>
      <w:r>
        <w:rPr>
          <w:rFonts w:hint="eastAsia"/>
          <w:color w:val="auto"/>
          <w:highlight w:val="none"/>
          <w:lang w:val="en-US" w:eastAsia="zh-CN"/>
        </w:rPr>
        <w:t>农民专业合作社</w:t>
      </w:r>
      <w:r>
        <w:rPr>
          <w:rFonts w:hint="eastAsia"/>
          <w:color w:val="auto"/>
          <w:highlight w:val="none"/>
        </w:rPr>
        <w:t>、家庭农场和中小微企业等发展农产品加工，减少产后损失，延长供应时间，提高质量效益。在重点果蔬、畜禽产地发展清洗、包装等仓储设施和商品化处理。在玉米、杂粮集中产地重点发展烘干、储藏、脱壳、去杂、磨制等初加工，实现保值增值。优化空间布局，按照“粮头食尾”“农头工尾”要求，推进农产品加工向优势区域聚集，</w:t>
      </w:r>
      <w:r>
        <w:rPr>
          <w:rFonts w:hint="eastAsia"/>
          <w:color w:val="auto"/>
          <w:highlight w:val="none"/>
          <w:lang w:val="en-US" w:eastAsia="zh-CN"/>
        </w:rPr>
        <w:t>向</w:t>
      </w:r>
      <w:r>
        <w:rPr>
          <w:rFonts w:hint="eastAsia"/>
          <w:color w:val="auto"/>
          <w:highlight w:val="none"/>
          <w:lang w:eastAsia="zh-CN"/>
        </w:rPr>
        <w:t>就地加工</w:t>
      </w:r>
      <w:r>
        <w:rPr>
          <w:rFonts w:hint="eastAsia"/>
          <w:color w:val="auto"/>
          <w:highlight w:val="none"/>
        </w:rPr>
        <w:t>和物流节点聚集，</w:t>
      </w:r>
      <w:r>
        <w:rPr>
          <w:rFonts w:hint="eastAsia"/>
          <w:color w:val="auto"/>
          <w:highlight w:val="none"/>
          <w:lang w:val="en-US" w:eastAsia="zh-CN"/>
        </w:rPr>
        <w:t>以及</w:t>
      </w:r>
      <w:r>
        <w:rPr>
          <w:rFonts w:hint="eastAsia"/>
          <w:color w:val="auto"/>
          <w:highlight w:val="none"/>
        </w:rPr>
        <w:t>依托“一村一品”示范村发展小众类农产品初加工。发挥超大城市外围和交通枢纽的优势，建设产加销贯通、贸工农一体、</w:t>
      </w:r>
      <w:r>
        <w:rPr>
          <w:rFonts w:hint="eastAsia"/>
          <w:color w:val="auto"/>
          <w:highlight w:val="none"/>
          <w:lang w:eastAsia="zh-CN"/>
        </w:rPr>
        <w:t>一二三产业融合</w:t>
      </w:r>
      <w:r>
        <w:rPr>
          <w:rFonts w:hint="eastAsia"/>
          <w:color w:val="auto"/>
          <w:highlight w:val="none"/>
        </w:rPr>
        <w:t>发展的</w:t>
      </w:r>
      <w:r>
        <w:rPr>
          <w:rFonts w:hint="eastAsia"/>
          <w:color w:val="auto"/>
          <w:highlight w:val="none"/>
          <w:lang w:eastAsia="zh-CN"/>
        </w:rPr>
        <w:t>共享加工厂</w:t>
      </w:r>
      <w:r>
        <w:rPr>
          <w:rFonts w:hint="eastAsia"/>
          <w:color w:val="auto"/>
          <w:highlight w:val="none"/>
        </w:rPr>
        <w:t>，培育乡村产业</w:t>
      </w:r>
      <w:r>
        <w:rPr>
          <w:rFonts w:hint="eastAsia"/>
          <w:color w:val="auto"/>
          <w:highlight w:val="none"/>
          <w:lang w:val="en-US" w:eastAsia="zh-CN"/>
        </w:rPr>
        <w:t>持续升级</w:t>
      </w:r>
      <w:r>
        <w:rPr>
          <w:rFonts w:hint="eastAsia"/>
          <w:color w:val="auto"/>
          <w:highlight w:val="none"/>
        </w:rPr>
        <w:t>。</w:t>
      </w:r>
    </w:p>
    <w:p w14:paraId="4370C862">
      <w:pPr>
        <w:widowControl/>
        <w:numPr>
          <w:ilvl w:val="0"/>
          <w:numId w:val="0"/>
        </w:numPr>
        <w:spacing w:line="560" w:lineRule="exact"/>
        <w:ind w:leftChars="200"/>
        <w:jc w:val="left"/>
        <w:rPr>
          <w:rFonts w:hint="eastAsia" w:ascii="仿宋_GB2312" w:hAnsi="仿宋_GB2312" w:eastAsia="仿宋_GB2312" w:cs="仿宋_GB2312"/>
          <w:color w:val="auto"/>
          <w:sz w:val="32"/>
          <w:szCs w:val="32"/>
          <w:highlight w:val="none"/>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5"/>
      </w:tblGrid>
      <w:tr w14:paraId="29F2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5" w:type="dxa"/>
          </w:tcPr>
          <w:p w14:paraId="6B0A9995">
            <w:pPr>
              <w:widowControl/>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专栏十</w:t>
            </w:r>
            <w:r>
              <w:rPr>
                <w:rFonts w:hint="eastAsia" w:ascii="仿宋_GB2312" w:hAnsi="仿宋_GB2312" w:eastAsia="仿宋_GB2312" w:cs="仿宋_GB2312"/>
                <w:b/>
                <w:bCs/>
                <w:color w:val="auto"/>
                <w:sz w:val="30"/>
                <w:szCs w:val="30"/>
                <w:highlight w:val="none"/>
                <w:lang w:val="en-US" w:eastAsia="zh-CN"/>
              </w:rPr>
              <w:t>一</w:t>
            </w:r>
          </w:p>
          <w:p w14:paraId="67119392">
            <w:pPr>
              <w:widowControl/>
              <w:ind w:left="0" w:leftChars="0" w:firstLine="0" w:firstLineChars="0"/>
              <w:jc w:val="center"/>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农产品加工业提升行动</w:t>
            </w:r>
          </w:p>
          <w:p w14:paraId="7C8F7154">
            <w:pPr>
              <w:widowControl/>
              <w:numPr>
                <w:ilvl w:val="-1"/>
                <w:numId w:val="0"/>
              </w:numPr>
              <w:spacing w:line="56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建设小型农产品初加工基地：在设施农业用地实施重点突破、多镇共享模式，</w:t>
            </w:r>
            <w:r>
              <w:rPr>
                <w:rFonts w:hint="eastAsia" w:ascii="仿宋_GB2312" w:hAnsi="仿宋_GB2312" w:eastAsia="仿宋_GB2312" w:cs="仿宋_GB2312"/>
                <w:strike w:val="0"/>
                <w:dstrike w:val="0"/>
                <w:color w:val="auto"/>
                <w:sz w:val="32"/>
                <w:szCs w:val="32"/>
                <w:highlight w:val="none"/>
              </w:rPr>
              <w:t>建设张山营镇苹果、永宁镇净菜加工、旧县镇鲜食玉米、四海镇花卉、大庄科乡山楂</w:t>
            </w:r>
            <w:r>
              <w:rPr>
                <w:rFonts w:hint="eastAsia" w:ascii="仿宋_GB2312" w:hAnsi="仿宋_GB2312" w:eastAsia="仿宋_GB2312" w:cs="仿宋_GB2312"/>
                <w:color w:val="auto"/>
                <w:sz w:val="32"/>
                <w:szCs w:val="32"/>
                <w:highlight w:val="none"/>
                <w:lang w:eastAsia="zh-CN"/>
              </w:rPr>
              <w:t>等多个</w:t>
            </w:r>
            <w:r>
              <w:rPr>
                <w:rFonts w:hint="eastAsia" w:ascii="仿宋_GB2312" w:hAnsi="仿宋_GB2312" w:eastAsia="仿宋_GB2312" w:cs="仿宋_GB2312"/>
                <w:color w:val="auto"/>
                <w:sz w:val="32"/>
                <w:szCs w:val="32"/>
                <w:highlight w:val="none"/>
              </w:rPr>
              <w:t>小型</w:t>
            </w:r>
            <w:r>
              <w:rPr>
                <w:rFonts w:hint="eastAsia" w:ascii="仿宋_GB2312" w:hAnsi="仿宋_GB2312" w:eastAsia="仿宋_GB2312" w:cs="仿宋_GB2312"/>
                <w:color w:val="auto"/>
                <w:sz w:val="32"/>
                <w:szCs w:val="32"/>
                <w:highlight w:val="none"/>
                <w:lang w:eastAsia="zh-CN"/>
              </w:rPr>
              <w:t>就地</w:t>
            </w:r>
            <w:r>
              <w:rPr>
                <w:rFonts w:hint="eastAsia" w:ascii="仿宋_GB2312" w:hAnsi="仿宋_GB2312" w:eastAsia="仿宋_GB2312" w:cs="仿宋_GB2312"/>
                <w:color w:val="auto"/>
                <w:sz w:val="32"/>
                <w:szCs w:val="32"/>
                <w:highlight w:val="none"/>
              </w:rPr>
              <w:t>加工基地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trike w:val="0"/>
                <w:dstrike w:val="0"/>
                <w:color w:val="auto"/>
                <w:sz w:val="32"/>
                <w:szCs w:val="32"/>
                <w:highlight w:val="none"/>
                <w:lang w:val="en-US" w:eastAsia="zh-CN"/>
              </w:rPr>
              <w:t>盘活永宁镇果园老农果类综合加工基地</w:t>
            </w:r>
            <w:r>
              <w:rPr>
                <w:rFonts w:hint="eastAsia" w:ascii="仿宋_GB2312" w:hAnsi="仿宋_GB2312" w:eastAsia="仿宋_GB2312" w:cs="仿宋_GB2312"/>
                <w:color w:val="auto"/>
                <w:sz w:val="32"/>
                <w:szCs w:val="32"/>
                <w:highlight w:val="none"/>
              </w:rPr>
              <w:t>。</w:t>
            </w:r>
          </w:p>
          <w:p w14:paraId="7D64F55E">
            <w:pPr>
              <w:widowControl/>
              <w:numPr>
                <w:ilvl w:val="-1"/>
                <w:numId w:val="0"/>
              </w:numPr>
              <w:spacing w:line="560" w:lineRule="exact"/>
              <w:ind w:firstLine="640" w:firstLineChars="200"/>
              <w:jc w:val="left"/>
              <w:rPr>
                <w:color w:val="auto"/>
                <w:highlight w:val="none"/>
              </w:rPr>
            </w:pPr>
            <w:r>
              <w:rPr>
                <w:rFonts w:hint="eastAsia" w:ascii="仿宋_GB2312" w:hAnsi="仿宋_GB2312" w:eastAsia="仿宋_GB2312" w:cs="仿宋_GB2312"/>
                <w:color w:val="auto"/>
                <w:sz w:val="32"/>
                <w:szCs w:val="32"/>
                <w:highlight w:val="none"/>
              </w:rPr>
              <w:t>建设</w:t>
            </w:r>
            <w:r>
              <w:rPr>
                <w:rFonts w:hint="eastAsia" w:ascii="仿宋_GB2312" w:hAnsi="仿宋_GB2312" w:eastAsia="仿宋_GB2312" w:cs="仿宋_GB2312"/>
                <w:color w:val="auto"/>
                <w:sz w:val="32"/>
                <w:szCs w:val="32"/>
                <w:highlight w:val="none"/>
                <w:lang w:eastAsia="zh-CN"/>
              </w:rPr>
              <w:t>共享加工厂</w:t>
            </w:r>
            <w:r>
              <w:rPr>
                <w:rFonts w:hint="eastAsia" w:ascii="仿宋_GB2312" w:hAnsi="仿宋_GB2312" w:eastAsia="仿宋_GB2312" w:cs="仿宋_GB2312"/>
                <w:color w:val="auto"/>
                <w:sz w:val="32"/>
                <w:szCs w:val="32"/>
                <w:highlight w:val="none"/>
              </w:rPr>
              <w:t>：在康庄镇利用产业园区打造预制菜工厂，建设即食沙拉、冻干果蔬生产线，实现周边蔬果产品加工增值300%，损耗大大降低。</w:t>
            </w:r>
            <w:r>
              <w:rPr>
                <w:rFonts w:hint="eastAsia" w:ascii="仿宋_GB2312" w:hAnsi="仿宋_GB2312" w:eastAsia="仿宋_GB2312" w:cs="仿宋_GB2312"/>
                <w:color w:val="auto"/>
                <w:sz w:val="32"/>
                <w:szCs w:val="32"/>
                <w:highlight w:val="none"/>
                <w:lang w:val="en-US" w:eastAsia="zh-CN"/>
              </w:rPr>
              <w:t>建设</w:t>
            </w:r>
            <w:r>
              <w:rPr>
                <w:rFonts w:hint="eastAsia" w:ascii="仿宋_GB2312" w:hAnsi="仿宋_GB2312" w:eastAsia="仿宋_GB2312" w:cs="仿宋_GB2312"/>
                <w:strike w:val="0"/>
                <w:dstrike w:val="0"/>
                <w:color w:val="auto"/>
                <w:sz w:val="32"/>
                <w:szCs w:val="32"/>
                <w:highlight w:val="none"/>
                <w:lang w:eastAsia="zh-CN"/>
              </w:rPr>
              <w:t>康庄奶业加工</w:t>
            </w:r>
            <w:r>
              <w:rPr>
                <w:rFonts w:hint="eastAsia" w:ascii="仿宋_GB2312" w:hAnsi="仿宋_GB2312" w:eastAsia="仿宋_GB2312" w:cs="仿宋_GB2312"/>
                <w:strike w:val="0"/>
                <w:dstrike w:val="0"/>
                <w:color w:val="auto"/>
                <w:sz w:val="32"/>
                <w:szCs w:val="32"/>
                <w:highlight w:val="none"/>
                <w:lang w:val="en-US" w:eastAsia="zh-CN"/>
              </w:rPr>
              <w:t>厂</w:t>
            </w:r>
            <w:r>
              <w:rPr>
                <w:rFonts w:hint="eastAsia" w:ascii="仿宋_GB2312" w:hAnsi="仿宋_GB2312" w:eastAsia="仿宋_GB2312" w:cs="仿宋_GB2312"/>
                <w:strike w:val="0"/>
                <w:dstrike w:val="0"/>
                <w:color w:val="auto"/>
                <w:sz w:val="32"/>
                <w:szCs w:val="32"/>
                <w:highlight w:val="none"/>
                <w:lang w:eastAsia="zh-CN"/>
              </w:rPr>
              <w:t>辐射周边，提升生鲜乳附加值；</w:t>
            </w:r>
            <w:r>
              <w:rPr>
                <w:rFonts w:hint="eastAsia" w:ascii="仿宋_GB2312" w:hAnsi="仿宋_GB2312" w:eastAsia="仿宋_GB2312" w:cs="仿宋_GB2312"/>
                <w:strike w:val="0"/>
                <w:dstrike w:val="0"/>
                <w:color w:val="auto"/>
                <w:sz w:val="32"/>
                <w:szCs w:val="32"/>
                <w:highlight w:val="none"/>
                <w:lang w:val="en-US" w:eastAsia="zh-CN"/>
              </w:rPr>
              <w:t>建设</w:t>
            </w:r>
            <w:r>
              <w:rPr>
                <w:rFonts w:hint="eastAsia" w:ascii="仿宋_GB2312" w:hAnsi="仿宋_GB2312" w:eastAsia="仿宋_GB2312" w:cs="仿宋_GB2312"/>
                <w:strike w:val="0"/>
                <w:dstrike w:val="0"/>
                <w:color w:val="auto"/>
                <w:sz w:val="32"/>
                <w:szCs w:val="32"/>
                <w:highlight w:val="none"/>
                <w:lang w:eastAsia="zh-CN"/>
              </w:rPr>
              <w:t>康庄小丰营旱稻加工</w:t>
            </w:r>
            <w:r>
              <w:rPr>
                <w:rFonts w:hint="eastAsia" w:ascii="仿宋_GB2312" w:hAnsi="仿宋_GB2312" w:eastAsia="仿宋_GB2312" w:cs="仿宋_GB2312"/>
                <w:strike w:val="0"/>
                <w:dstrike w:val="0"/>
                <w:color w:val="auto"/>
                <w:sz w:val="32"/>
                <w:szCs w:val="32"/>
                <w:highlight w:val="none"/>
                <w:lang w:val="en-US" w:eastAsia="zh-CN"/>
              </w:rPr>
              <w:t>厂、</w:t>
            </w:r>
            <w:r>
              <w:rPr>
                <w:rFonts w:hint="eastAsia" w:ascii="仿宋_GB2312" w:hAnsi="仿宋_GB2312" w:eastAsia="仿宋_GB2312" w:cs="仿宋_GB2312"/>
                <w:strike w:val="0"/>
                <w:dstrike w:val="0"/>
                <w:color w:val="auto"/>
                <w:sz w:val="32"/>
                <w:szCs w:val="32"/>
                <w:highlight w:val="none"/>
                <w:lang w:eastAsia="zh-CN"/>
              </w:rPr>
              <w:t>东门营小麦加工</w:t>
            </w:r>
            <w:r>
              <w:rPr>
                <w:rFonts w:hint="eastAsia" w:ascii="仿宋_GB2312" w:hAnsi="仿宋_GB2312" w:eastAsia="仿宋_GB2312" w:cs="仿宋_GB2312"/>
                <w:strike w:val="0"/>
                <w:dstrike w:val="0"/>
                <w:color w:val="auto"/>
                <w:sz w:val="32"/>
                <w:szCs w:val="32"/>
                <w:highlight w:val="none"/>
                <w:lang w:val="en-US" w:eastAsia="zh-CN"/>
              </w:rPr>
              <w:t>厂等</w:t>
            </w:r>
            <w:r>
              <w:rPr>
                <w:rFonts w:hint="eastAsia" w:ascii="仿宋_GB2312" w:hAnsi="仿宋_GB2312" w:eastAsia="仿宋_GB2312" w:cs="仿宋_GB2312"/>
                <w:strike w:val="0"/>
                <w:dstrike w:val="0"/>
                <w:color w:val="auto"/>
                <w:sz w:val="32"/>
                <w:szCs w:val="32"/>
                <w:highlight w:val="none"/>
                <w:lang w:eastAsia="zh-CN"/>
              </w:rPr>
              <w:t>延伸产业链提升加工转化率。</w:t>
            </w:r>
            <w:r>
              <w:rPr>
                <w:rFonts w:hint="eastAsia" w:ascii="仿宋_GB2312" w:hAnsi="仿宋_GB2312" w:cs="仿宋_GB2312"/>
                <w:color w:val="auto"/>
                <w:sz w:val="32"/>
                <w:szCs w:val="32"/>
                <w:highlight w:val="none"/>
                <w:lang w:val="en-US" w:eastAsia="zh-CN"/>
              </w:rPr>
              <w:t>（见附图9）</w:t>
            </w:r>
          </w:p>
        </w:tc>
      </w:tr>
    </w:tbl>
    <w:p w14:paraId="6042C2E6">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p>
    <w:p w14:paraId="1F0323F1">
      <w:pPr>
        <w:pStyle w:val="4"/>
        <w:numPr>
          <w:ilvl w:val="0"/>
          <w:numId w:val="4"/>
        </w:numPr>
        <w:bidi w:val="0"/>
        <w:ind w:firstLine="880"/>
        <w:rPr>
          <w:rFonts w:hint="eastAsia" w:ascii="Arial" w:hAnsi="Arial"/>
          <w:b w:val="0"/>
          <w:color w:val="auto"/>
          <w:highlight w:val="none"/>
          <w:lang w:val="en-US" w:eastAsia="zh-CN"/>
        </w:rPr>
      </w:pPr>
      <w:bookmarkStart w:id="95" w:name="_Toc29394"/>
      <w:r>
        <w:rPr>
          <w:rFonts w:hint="eastAsia" w:ascii="Arial" w:hAnsi="Arial"/>
          <w:b w:val="0"/>
          <w:color w:val="auto"/>
          <w:highlight w:val="none"/>
          <w:lang w:val="en-US" w:eastAsia="zh-CN"/>
        </w:rPr>
        <w:t>推动农村流通高质量发展</w:t>
      </w:r>
      <w:bookmarkEnd w:id="95"/>
    </w:p>
    <w:p w14:paraId="631A2CB0">
      <w:pPr>
        <w:bidi w:val="0"/>
        <w:rPr>
          <w:rFonts w:hint="eastAsia"/>
          <w:color w:val="auto"/>
          <w:highlight w:val="none"/>
          <w:lang w:val="en-US" w:eastAsia="zh-CN"/>
        </w:rPr>
      </w:pPr>
      <w:r>
        <w:rPr>
          <w:rFonts w:hint="eastAsia"/>
          <w:color w:val="auto"/>
          <w:highlight w:val="none"/>
          <w:lang w:val="en-US" w:eastAsia="zh-CN"/>
        </w:rPr>
        <w:t>鼓励乡镇在特色农产品集聚区发挥产业和交通枢纽优势，布局产地批发市场、物流配送中心；支持国企、新型主体通过多渠道融资形式建设产地仓储保鲜、冷链物流设施。完善高效顺畅的农村物流体系，巩固提升区镇村三级物流节点体系效能，加密村级末端服务站点（邮政、电商、快递综合服务站）布局，优化配送路线，发展共同配送。推动冷链物流设施向田间地头延伸，服务高品质农产品“出村进城”。到2030年，“快递进村”服务水平显著提高，农产品产地仓储保鲜冷链物流能力基本满足区域特色产业发展需求。</w:t>
      </w:r>
    </w:p>
    <w:p w14:paraId="1258C9B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1"/>
      </w:tblGrid>
      <w:tr w14:paraId="7D4B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1" w:type="dxa"/>
          </w:tcPr>
          <w:p w14:paraId="6C26607B">
            <w:pPr>
              <w:widowControl/>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专栏十</w:t>
            </w:r>
            <w:r>
              <w:rPr>
                <w:rFonts w:hint="eastAsia" w:ascii="仿宋_GB2312" w:hAnsi="仿宋_GB2312" w:eastAsia="仿宋_GB2312" w:cs="仿宋_GB2312"/>
                <w:b/>
                <w:bCs/>
                <w:color w:val="auto"/>
                <w:sz w:val="30"/>
                <w:szCs w:val="30"/>
                <w:highlight w:val="none"/>
                <w:lang w:val="en-US" w:eastAsia="zh-CN"/>
              </w:rPr>
              <w:t>二</w:t>
            </w:r>
          </w:p>
          <w:p w14:paraId="4C365B43">
            <w:pPr>
              <w:widowControl/>
              <w:ind w:left="0" w:leftChars="0" w:firstLine="0" w:firstLineChars="0"/>
              <w:jc w:val="center"/>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商贸物流建设工程</w:t>
            </w:r>
          </w:p>
          <w:p w14:paraId="27DA45B7">
            <w:pPr>
              <w:widowControl/>
              <w:numPr>
                <w:ilvl w:val="-1"/>
                <w:numId w:val="0"/>
              </w:numPr>
              <w:spacing w:line="560" w:lineRule="exact"/>
              <w:ind w:firstLine="640" w:firstLineChars="200"/>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乡村大集规划管理及提质升级：现有19处大集，作为乡村农产品经济毛细血管，形成特色农产品“最后一公里”直销网络，降低流通成本30%～40%。但也面临</w:t>
            </w:r>
            <w:r>
              <w:rPr>
                <w:rFonts w:hint="eastAsia" w:ascii="仿宋_GB2312" w:hAnsi="仿宋_GB2312" w:eastAsia="仿宋_GB2312" w:cs="仿宋_GB2312"/>
                <w:color w:val="auto"/>
                <w:sz w:val="32"/>
                <w:szCs w:val="32"/>
                <w:highlight w:val="none"/>
              </w:rPr>
              <w:t>基础</w:t>
            </w:r>
            <w:r>
              <w:rPr>
                <w:rFonts w:hint="eastAsia" w:ascii="仿宋_GB2312" w:hAnsi="仿宋_GB2312" w:eastAsia="仿宋_GB2312" w:cs="仿宋_GB2312"/>
                <w:color w:val="auto"/>
                <w:sz w:val="32"/>
                <w:szCs w:val="32"/>
                <w:highlight w:val="none"/>
                <w:lang w:val="en-US" w:eastAsia="zh-CN"/>
              </w:rPr>
              <w:t>落后：</w:t>
            </w:r>
            <w:r>
              <w:rPr>
                <w:rFonts w:hint="eastAsia" w:ascii="仿宋_GB2312" w:hAnsi="仿宋_GB2312" w:eastAsia="仿宋_GB2312" w:cs="仿宋_GB2312"/>
                <w:color w:val="auto"/>
                <w:sz w:val="32"/>
                <w:szCs w:val="32"/>
                <w:highlight w:val="none"/>
              </w:rPr>
              <w:t>65%大集仍为露天经营，冷链覆盖率不足15%</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数字鸿沟</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移动支付</w:t>
            </w:r>
            <w:r>
              <w:rPr>
                <w:rFonts w:hint="eastAsia" w:ascii="仿宋_GB2312" w:hAnsi="仿宋_GB2312" w:eastAsia="仿宋_GB2312" w:cs="仿宋_GB2312"/>
                <w:color w:val="auto"/>
                <w:sz w:val="32"/>
                <w:szCs w:val="32"/>
                <w:highlight w:val="none"/>
                <w:lang w:val="en-US" w:eastAsia="zh-CN"/>
              </w:rPr>
              <w:t>和</w:t>
            </w:r>
            <w:r>
              <w:rPr>
                <w:rFonts w:hint="eastAsia" w:ascii="仿宋_GB2312" w:hAnsi="仿宋_GB2312" w:eastAsia="仿宋_GB2312" w:cs="仿宋_GB2312"/>
                <w:color w:val="auto"/>
                <w:sz w:val="32"/>
                <w:szCs w:val="32"/>
                <w:highlight w:val="none"/>
              </w:rPr>
              <w:t>电商渗透率低</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同质化严重：70%商</w:t>
            </w:r>
            <w:r>
              <w:rPr>
                <w:rFonts w:hint="eastAsia" w:ascii="仿宋_GB2312" w:hAnsi="仿宋_GB2312" w:eastAsia="仿宋_GB2312" w:cs="仿宋_GB2312"/>
                <w:color w:val="auto"/>
                <w:sz w:val="32"/>
                <w:szCs w:val="32"/>
                <w:highlight w:val="none"/>
                <w:lang w:val="en-US" w:eastAsia="zh-CN"/>
              </w:rPr>
              <w:t>品结构与超市高度重叠，特色农产品占比不足40%等发展瓶颈。未来“十五五”，将大</w:t>
            </w:r>
            <w:r>
              <w:rPr>
                <w:rFonts w:hint="eastAsia" w:ascii="仿宋_GB2312" w:hAnsi="仿宋_GB2312" w:eastAsia="仿宋_GB2312" w:cs="仿宋_GB2312"/>
                <w:color w:val="auto"/>
                <w:sz w:val="32"/>
                <w:szCs w:val="32"/>
                <w:highlight w:val="none"/>
              </w:rPr>
              <w:t>集改造纳入乡村振兴示范项目，</w:t>
            </w:r>
            <w:r>
              <w:rPr>
                <w:rFonts w:hint="eastAsia" w:ascii="仿宋_GB2312" w:hAnsi="仿宋_GB2312" w:eastAsia="仿宋_GB2312" w:cs="仿宋_GB2312"/>
                <w:color w:val="auto"/>
                <w:sz w:val="32"/>
                <w:szCs w:val="32"/>
                <w:highlight w:val="none"/>
                <w:lang w:val="en-US" w:eastAsia="zh-CN"/>
              </w:rPr>
              <w:t>给予提升补贴资金；</w:t>
            </w:r>
            <w:r>
              <w:rPr>
                <w:rFonts w:hint="eastAsia" w:ascii="仿宋_GB2312" w:hAnsi="仿宋_GB2312" w:eastAsia="仿宋_GB2312" w:cs="仿宋_GB2312"/>
                <w:color w:val="auto"/>
                <w:sz w:val="32"/>
                <w:szCs w:val="32"/>
                <w:highlight w:val="none"/>
              </w:rPr>
              <w:t>试点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市集用地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弹性管理制度，</w:t>
            </w:r>
            <w:r>
              <w:rPr>
                <w:rFonts w:hint="eastAsia" w:ascii="仿宋_GB2312" w:hAnsi="仿宋_GB2312" w:eastAsia="仿宋_GB2312" w:cs="仿宋_GB2312"/>
                <w:color w:val="auto"/>
                <w:sz w:val="32"/>
                <w:szCs w:val="32"/>
                <w:highlight w:val="none"/>
                <w:lang w:val="en-US" w:eastAsia="zh-CN"/>
              </w:rPr>
              <w:t>在规划允许的前提下</w:t>
            </w:r>
            <w:r>
              <w:rPr>
                <w:rFonts w:hint="eastAsia" w:ascii="仿宋_GB2312" w:hAnsi="仿宋_GB2312" w:eastAsia="仿宋_GB2312" w:cs="仿宋_GB2312"/>
                <w:color w:val="auto"/>
                <w:sz w:val="32"/>
                <w:szCs w:val="32"/>
                <w:highlight w:val="none"/>
              </w:rPr>
              <w:t>发展</w:t>
            </w:r>
            <w:r>
              <w:rPr>
                <w:rFonts w:hint="eastAsia" w:ascii="仿宋_GB2312" w:hAnsi="仿宋_GB2312" w:eastAsia="仿宋_GB2312" w:cs="仿宋_GB2312"/>
                <w:color w:val="auto"/>
                <w:sz w:val="32"/>
                <w:szCs w:val="32"/>
                <w:highlight w:val="none"/>
                <w:lang w:val="en-US" w:eastAsia="zh-CN"/>
              </w:rPr>
              <w:t>一定</w:t>
            </w:r>
            <w:r>
              <w:rPr>
                <w:rFonts w:hint="eastAsia" w:ascii="仿宋_GB2312" w:hAnsi="仿宋_GB2312" w:eastAsia="仿宋_GB2312" w:cs="仿宋_GB2312"/>
                <w:color w:val="auto"/>
                <w:sz w:val="32"/>
                <w:szCs w:val="32"/>
                <w:highlight w:val="none"/>
              </w:rPr>
              <w:t>面积</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配套商业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从</w:t>
            </w:r>
            <w:r>
              <w:rPr>
                <w:rFonts w:hint="eastAsia" w:ascii="仿宋_GB2312" w:hAnsi="仿宋_GB2312" w:eastAsia="仿宋_GB2312" w:cs="仿宋_GB2312"/>
                <w:color w:val="auto"/>
                <w:sz w:val="32"/>
                <w:szCs w:val="32"/>
                <w:highlight w:val="none"/>
              </w:rPr>
              <w:t>智慧化改造</w:t>
            </w:r>
            <w:r>
              <w:rPr>
                <w:rFonts w:hint="eastAsia" w:ascii="仿宋_GB2312" w:hAnsi="仿宋_GB2312" w:eastAsia="仿宋_GB2312" w:cs="仿宋_GB2312"/>
                <w:color w:val="auto"/>
                <w:sz w:val="32"/>
                <w:szCs w:val="32"/>
                <w:highlight w:val="none"/>
                <w:lang w:eastAsia="zh-CN"/>
              </w:rPr>
              <w:t>、</w:t>
            </w:r>
            <w:r>
              <w:rPr>
                <w:rFonts w:hint="default" w:ascii="仿宋_GB2312" w:hAnsi="仿宋_GB2312" w:eastAsia="仿宋_GB2312" w:cs="仿宋_GB2312"/>
                <w:color w:val="auto"/>
                <w:sz w:val="32"/>
                <w:szCs w:val="32"/>
                <w:highlight w:val="none"/>
              </w:rPr>
              <w:t>产业能级提升</w:t>
            </w:r>
            <w:r>
              <w:rPr>
                <w:rFonts w:hint="eastAsia" w:ascii="仿宋_GB2312" w:hAnsi="仿宋_GB2312" w:eastAsia="仿宋_GB2312" w:cs="仿宋_GB2312"/>
                <w:color w:val="auto"/>
                <w:sz w:val="32"/>
                <w:szCs w:val="32"/>
                <w:highlight w:val="none"/>
                <w:lang w:eastAsia="zh-CN"/>
              </w:rPr>
              <w:t>、</w:t>
            </w:r>
            <w:r>
              <w:rPr>
                <w:rFonts w:hint="default" w:ascii="仿宋_GB2312" w:hAnsi="仿宋_GB2312" w:eastAsia="仿宋_GB2312" w:cs="仿宋_GB2312"/>
                <w:color w:val="auto"/>
                <w:sz w:val="32"/>
                <w:szCs w:val="32"/>
                <w:highlight w:val="none"/>
              </w:rPr>
              <w:t>文旅融合创新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治理体系现代化</w:t>
            </w:r>
            <w:r>
              <w:rPr>
                <w:rFonts w:hint="eastAsia" w:ascii="仿宋_GB2312" w:hAnsi="仿宋_GB2312" w:eastAsia="仿宋_GB2312" w:cs="仿宋_GB2312"/>
                <w:color w:val="auto"/>
                <w:sz w:val="32"/>
                <w:szCs w:val="32"/>
                <w:highlight w:val="none"/>
                <w:lang w:val="en-US" w:eastAsia="zh-CN"/>
              </w:rPr>
              <w:t>等方面对大集进行综合提升。</w:t>
            </w:r>
          </w:p>
          <w:p w14:paraId="786F734D">
            <w:pPr>
              <w:widowControl/>
              <w:numPr>
                <w:ilvl w:val="-1"/>
                <w:numId w:val="0"/>
              </w:numPr>
              <w:spacing w:line="56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农批市场建设：依托永宁镇中东部乡镇枢纽的作用，建设农产品批发市场，并配备气调库，作为河北和东部山区进京农产品集散地和过渡区。</w:t>
            </w:r>
          </w:p>
          <w:p w14:paraId="29424080">
            <w:pPr>
              <w:widowControl/>
              <w:numPr>
                <w:ilvl w:val="-1"/>
                <w:numId w:val="0"/>
              </w:numPr>
              <w:spacing w:line="560" w:lineRule="exact"/>
              <w:ind w:firstLine="640" w:firstLineChars="200"/>
              <w:jc w:val="left"/>
              <w:rPr>
                <w:color w:val="auto"/>
                <w:highlight w:val="none"/>
              </w:rPr>
            </w:pPr>
            <w:r>
              <w:rPr>
                <w:rFonts w:hint="eastAsia" w:ascii="仿宋_GB2312" w:hAnsi="仿宋_GB2312" w:eastAsia="仿宋_GB2312" w:cs="仿宋_GB2312"/>
                <w:color w:val="auto"/>
                <w:sz w:val="32"/>
                <w:szCs w:val="32"/>
                <w:highlight w:val="none"/>
              </w:rPr>
              <w:t>城郊大仓建设：国有企业绿富</w:t>
            </w:r>
            <w:r>
              <w:rPr>
                <w:rFonts w:hint="eastAsia" w:ascii="仿宋_GB2312" w:hAnsi="仿宋_GB2312" w:eastAsia="仿宋_GB2312" w:cs="仿宋_GB2312"/>
                <w:color w:val="auto"/>
                <w:sz w:val="32"/>
                <w:szCs w:val="32"/>
                <w:highlight w:val="none"/>
                <w:lang w:eastAsia="zh-CN"/>
              </w:rPr>
              <w:t>隆</w:t>
            </w:r>
            <w:r>
              <w:rPr>
                <w:rFonts w:hint="eastAsia" w:ascii="仿宋_GB2312" w:hAnsi="仿宋_GB2312" w:eastAsia="仿宋_GB2312" w:cs="仿宋_GB2312"/>
                <w:color w:val="auto"/>
                <w:sz w:val="32"/>
                <w:szCs w:val="32"/>
                <w:highlight w:val="none"/>
              </w:rPr>
              <w:t>通过社会融资，以大榆树加工基地为依托，围绕冷链仓储、生产加工、智慧团餐、信息化平台四项主要功能，建设“一库两中心”，即城郊大仓冷链物流保障库、城郊大仓农副产品加工中心、城郊大仓数字物流控制中心。</w:t>
            </w:r>
            <w:r>
              <w:rPr>
                <w:rFonts w:hint="eastAsia" w:ascii="仿宋_GB2312" w:hAnsi="仿宋_GB2312" w:cs="仿宋_GB2312"/>
                <w:color w:val="auto"/>
                <w:sz w:val="32"/>
                <w:szCs w:val="32"/>
                <w:highlight w:val="none"/>
                <w:lang w:val="en-US" w:eastAsia="zh-CN"/>
              </w:rPr>
              <w:t>（见附图9）</w:t>
            </w:r>
          </w:p>
        </w:tc>
      </w:tr>
    </w:tbl>
    <w:p w14:paraId="00DF600C">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baseline"/>
        <w:rPr>
          <w:rFonts w:hint="eastAsia" w:ascii="仿宋_GB2312" w:hAnsi="仿宋_GB2312" w:eastAsia="仿宋_GB2312" w:cs="仿宋_GB2312"/>
          <w:color w:val="auto"/>
          <w:kern w:val="2"/>
          <w:sz w:val="32"/>
          <w:szCs w:val="32"/>
          <w:highlight w:val="none"/>
          <w:lang w:val="en-US" w:eastAsia="zh-CN" w:bidi="ar-SA"/>
        </w:rPr>
      </w:pPr>
    </w:p>
    <w:p w14:paraId="5961B767">
      <w:pPr>
        <w:pStyle w:val="4"/>
        <w:numPr>
          <w:ilvl w:val="0"/>
          <w:numId w:val="4"/>
        </w:numPr>
        <w:bidi w:val="0"/>
        <w:ind w:firstLine="880"/>
        <w:rPr>
          <w:rFonts w:hint="eastAsia" w:ascii="Arial" w:hAnsi="Arial"/>
          <w:b w:val="0"/>
          <w:color w:val="auto"/>
          <w:highlight w:val="none"/>
          <w:lang w:val="en-US" w:eastAsia="zh-CN"/>
        </w:rPr>
      </w:pPr>
      <w:bookmarkStart w:id="96" w:name="_Toc3724"/>
      <w:r>
        <w:rPr>
          <w:rFonts w:hint="eastAsia" w:ascii="Arial" w:hAnsi="Arial"/>
          <w:b w:val="0"/>
          <w:color w:val="auto"/>
          <w:highlight w:val="none"/>
          <w:lang w:val="en-US" w:eastAsia="zh-CN"/>
        </w:rPr>
        <w:t>推动全域农业优质化品牌化提升</w:t>
      </w:r>
      <w:bookmarkEnd w:id="96"/>
    </w:p>
    <w:p w14:paraId="27F669E2">
      <w:pPr>
        <w:bidi w:val="0"/>
        <w:rPr>
          <w:rFonts w:hint="eastAsia"/>
          <w:color w:val="auto"/>
          <w:highlight w:val="none"/>
          <w:lang w:val="en-US" w:eastAsia="zh-CN"/>
        </w:rPr>
      </w:pPr>
      <w:r>
        <w:rPr>
          <w:rFonts w:hint="eastAsia"/>
          <w:color w:val="auto"/>
          <w:highlight w:val="none"/>
          <w:lang w:val="en-US" w:eastAsia="zh-CN"/>
        </w:rPr>
        <w:t>加大农产品品质提升基础工程，制定《延庆优质农产品标准体系》，覆盖蔬菜、果品、杂粮等8大类50个品类，推行“一物一码”追溯系统，覆盖100%规模以上经营主体。逐步提升区级农产品质量安全检测机构检测能力，保证市级监督抽查指标全覆盖，分阶段增加畜牧、水产等重点农兽药参数的检测能力，真正做到区级农检领域全覆盖，升级农产品质量管控体系。构建以区域公用品牌为引领、企业产品品牌为支撑、文化品牌为特色的品牌体系，以“妫水农耕”区域公用品牌为引领，建立品牌准入制度，农产品优质品率从65%提升至85%。</w:t>
      </w:r>
    </w:p>
    <w:p w14:paraId="6B23649B">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leftChars="200"/>
        <w:textAlignment w:val="baseline"/>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5"/>
      </w:tblGrid>
      <w:tr w14:paraId="5DDD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5" w:type="dxa"/>
          </w:tcPr>
          <w:p w14:paraId="4245CD4F">
            <w:pPr>
              <w:widowControl/>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专栏十</w:t>
            </w:r>
            <w:r>
              <w:rPr>
                <w:rFonts w:hint="eastAsia" w:ascii="仿宋_GB2312" w:hAnsi="仿宋_GB2312" w:eastAsia="仿宋_GB2312" w:cs="仿宋_GB2312"/>
                <w:b/>
                <w:bCs/>
                <w:color w:val="auto"/>
                <w:sz w:val="30"/>
                <w:szCs w:val="30"/>
                <w:highlight w:val="none"/>
                <w:lang w:val="en-US" w:eastAsia="zh-CN"/>
              </w:rPr>
              <w:t>三</w:t>
            </w:r>
          </w:p>
          <w:p w14:paraId="4BF1FC54">
            <w:pPr>
              <w:widowControl/>
              <w:ind w:left="0" w:leftChars="0" w:firstLine="0" w:firstLineChars="0"/>
              <w:jc w:val="center"/>
              <w:rPr>
                <w:rFonts w:hint="eastAsia" w:ascii="仿宋_GB2312" w:hAnsi="仿宋_GB2312" w:eastAsia="仿宋_GB2312" w:cs="仿宋_GB2312"/>
                <w:b/>
                <w:bCs/>
                <w:color w:val="auto"/>
                <w:sz w:val="30"/>
                <w:szCs w:val="30"/>
                <w:highlight w:val="none"/>
                <w:lang w:eastAsia="zh-CN"/>
              </w:rPr>
            </w:pPr>
            <w:r>
              <w:rPr>
                <w:rFonts w:hint="eastAsia" w:ascii="仿宋_GB2312" w:hAnsi="仿宋_GB2312" w:eastAsia="仿宋_GB2312" w:cs="仿宋_GB2312"/>
                <w:b/>
                <w:bCs/>
                <w:color w:val="auto"/>
                <w:sz w:val="30"/>
                <w:szCs w:val="30"/>
                <w:highlight w:val="none"/>
              </w:rPr>
              <w:t>“妫水农耕”品牌</w:t>
            </w:r>
            <w:r>
              <w:rPr>
                <w:rFonts w:hint="eastAsia" w:ascii="仿宋_GB2312" w:hAnsi="仿宋_GB2312" w:eastAsia="仿宋_GB2312" w:cs="仿宋_GB2312"/>
                <w:b/>
                <w:bCs/>
                <w:color w:val="auto"/>
                <w:sz w:val="30"/>
                <w:szCs w:val="30"/>
                <w:highlight w:val="none"/>
                <w:lang w:eastAsia="zh-CN"/>
              </w:rPr>
              <w:t>建设</w:t>
            </w:r>
          </w:p>
          <w:p w14:paraId="51337EA8">
            <w:pPr>
              <w:pStyle w:val="5"/>
              <w:widowControl w:val="0"/>
              <w:ind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“妫水农耕”品牌</w:t>
            </w:r>
            <w:r>
              <w:rPr>
                <w:rFonts w:hint="eastAsia" w:ascii="仿宋_GB2312" w:hAnsi="仿宋_GB2312" w:eastAsia="仿宋_GB2312" w:cs="仿宋_GB2312"/>
                <w:color w:val="auto"/>
                <w:sz w:val="32"/>
                <w:szCs w:val="32"/>
                <w:highlight w:val="none"/>
                <w:lang w:eastAsia="zh-CN"/>
              </w:rPr>
              <w:t>建设</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搭建区域农产品电商公共服务平台，面向全区</w:t>
            </w:r>
            <w:r>
              <w:rPr>
                <w:rFonts w:hint="eastAsia" w:ascii="仿宋_GB2312" w:hAnsi="仿宋_GB2312" w:eastAsia="仿宋_GB2312" w:cs="仿宋_GB2312"/>
                <w:color w:val="auto"/>
                <w:sz w:val="32"/>
                <w:szCs w:val="32"/>
                <w:highlight w:val="none"/>
                <w:lang w:eastAsia="zh-CN"/>
              </w:rPr>
              <w:t>开展有机认证、短视频、直播等培训课程，</w:t>
            </w:r>
            <w:r>
              <w:rPr>
                <w:rFonts w:hint="eastAsia" w:ascii="仿宋_GB2312" w:hAnsi="仿宋_GB2312" w:cs="仿宋_GB2312"/>
                <w:color w:val="auto"/>
                <w:sz w:val="32"/>
                <w:szCs w:val="32"/>
                <w:highlight w:val="none"/>
                <w:lang w:val="en-US" w:eastAsia="zh-CN"/>
              </w:rPr>
              <w:t>引进培育1-2家龙头电商，</w:t>
            </w:r>
            <w:r>
              <w:rPr>
                <w:rFonts w:hint="eastAsia" w:ascii="仿宋_GB2312" w:hAnsi="仿宋_GB2312" w:eastAsia="仿宋_GB2312" w:cs="仿宋_GB2312"/>
                <w:color w:val="auto"/>
                <w:sz w:val="32"/>
                <w:szCs w:val="32"/>
                <w:highlight w:val="none"/>
                <w:lang w:eastAsia="zh-CN"/>
              </w:rPr>
              <w:t>宣传各类奖补政策，对完成认证并</w:t>
            </w:r>
            <w:r>
              <w:rPr>
                <w:rFonts w:hint="eastAsia" w:ascii="仿宋_GB2312" w:hAnsi="仿宋_GB2312" w:eastAsia="仿宋_GB2312" w:cs="仿宋_GB2312"/>
                <w:color w:val="auto"/>
                <w:sz w:val="32"/>
                <w:szCs w:val="32"/>
                <w:highlight w:val="none"/>
                <w:lang w:val="en-US" w:eastAsia="zh-CN"/>
              </w:rPr>
              <w:t>使用“妫水农耕”贴标在官方平台进行销售的</w:t>
            </w:r>
            <w:r>
              <w:rPr>
                <w:rFonts w:hint="eastAsia" w:ascii="仿宋_GB2312" w:hAnsi="仿宋_GB2312" w:eastAsia="仿宋_GB2312" w:cs="仿宋_GB2312"/>
                <w:color w:val="auto"/>
                <w:sz w:val="32"/>
                <w:szCs w:val="32"/>
                <w:highlight w:val="none"/>
                <w:lang w:eastAsia="zh-CN"/>
              </w:rPr>
              <w:t>主体，适当</w:t>
            </w:r>
            <w:r>
              <w:rPr>
                <w:rFonts w:hint="eastAsia" w:ascii="仿宋_GB2312" w:hAnsi="仿宋_GB2312" w:eastAsia="仿宋_GB2312" w:cs="仿宋_GB2312"/>
                <w:color w:val="auto"/>
                <w:sz w:val="32"/>
                <w:szCs w:val="32"/>
                <w:highlight w:val="none"/>
              </w:rPr>
              <w:t>给予项目、资金等方面</w:t>
            </w:r>
            <w:r>
              <w:rPr>
                <w:rFonts w:hint="eastAsia" w:ascii="仿宋_GB2312" w:hAnsi="仿宋_GB2312" w:eastAsia="仿宋_GB2312" w:cs="仿宋_GB2312"/>
                <w:color w:val="auto"/>
                <w:sz w:val="32"/>
                <w:szCs w:val="32"/>
                <w:highlight w:val="none"/>
                <w:lang w:eastAsia="zh-CN"/>
              </w:rPr>
              <w:t>支持</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依托延庆九沟十八湾、</w:t>
            </w:r>
            <w:r>
              <w:rPr>
                <w:rFonts w:hint="eastAsia" w:ascii="仿宋_GB2312" w:hAnsi="仿宋_GB2312" w:eastAsia="仿宋_GB2312" w:cs="仿宋_GB2312"/>
                <w:color w:val="auto"/>
                <w:sz w:val="32"/>
                <w:szCs w:val="32"/>
                <w:highlight w:val="none"/>
                <w:lang w:val="en-US" w:eastAsia="zh-CN"/>
              </w:rPr>
              <w:t>网红路边网红村</w:t>
            </w:r>
            <w:r>
              <w:rPr>
                <w:rFonts w:hint="eastAsia" w:ascii="仿宋_GB2312" w:hAnsi="仿宋_GB2312" w:eastAsia="仿宋_GB2312" w:cs="仿宋_GB2312"/>
                <w:color w:val="auto"/>
                <w:sz w:val="32"/>
                <w:szCs w:val="32"/>
                <w:highlight w:val="none"/>
                <w:lang w:eastAsia="zh-CN"/>
              </w:rPr>
              <w:t>、精品民宿、休闲农业等深厚</w:t>
            </w:r>
            <w:r>
              <w:rPr>
                <w:rFonts w:hint="eastAsia" w:ascii="仿宋_GB2312" w:hAnsi="仿宋_GB2312" w:eastAsia="仿宋_GB2312" w:cs="仿宋_GB2312"/>
                <w:color w:val="auto"/>
                <w:sz w:val="32"/>
                <w:szCs w:val="32"/>
                <w:highlight w:val="none"/>
                <w:lang w:val="en-US" w:eastAsia="zh-CN"/>
              </w:rPr>
              <w:t>文旅资源</w:t>
            </w:r>
            <w:r>
              <w:rPr>
                <w:rFonts w:hint="eastAsia" w:ascii="仿宋_GB2312" w:hAnsi="仿宋_GB2312" w:eastAsia="仿宋_GB2312" w:cs="仿宋_GB2312"/>
                <w:color w:val="auto"/>
                <w:sz w:val="32"/>
                <w:szCs w:val="32"/>
                <w:highlight w:val="none"/>
                <w:lang w:eastAsia="zh-CN"/>
              </w:rPr>
              <w:t>，通过“旅游+农产品”“研学+休闲农业+非遗”等多种融合模式，</w:t>
            </w:r>
            <w:r>
              <w:rPr>
                <w:rFonts w:hint="eastAsia" w:ascii="仿宋_GB2312" w:hAnsi="仿宋_GB2312" w:eastAsia="仿宋_GB2312" w:cs="仿宋_GB2312"/>
                <w:color w:val="auto"/>
                <w:sz w:val="32"/>
                <w:szCs w:val="32"/>
                <w:highlight w:val="none"/>
              </w:rPr>
              <w:t>围绕</w:t>
            </w:r>
            <w:r>
              <w:rPr>
                <w:rFonts w:hint="eastAsia" w:ascii="仿宋_GB2312" w:hAnsi="仿宋_GB2312" w:eastAsia="仿宋_GB2312" w:cs="仿宋_GB2312"/>
                <w:color w:val="auto"/>
                <w:sz w:val="32"/>
                <w:szCs w:val="32"/>
                <w:highlight w:val="none"/>
                <w:lang w:eastAsia="zh-CN"/>
              </w:rPr>
              <w:t>我区优质农</w:t>
            </w:r>
            <w:r>
              <w:rPr>
                <w:rFonts w:hint="eastAsia" w:ascii="仿宋_GB2312" w:hAnsi="仿宋_GB2312" w:eastAsia="仿宋_GB2312" w:cs="仿宋_GB2312"/>
                <w:color w:val="auto"/>
                <w:sz w:val="32"/>
                <w:szCs w:val="32"/>
                <w:highlight w:val="none"/>
              </w:rPr>
              <w:t>产品完善“妫水农耕”品牌</w:t>
            </w:r>
            <w:r>
              <w:rPr>
                <w:rFonts w:hint="eastAsia" w:ascii="仿宋_GB2312" w:hAnsi="仿宋_GB2312" w:eastAsia="仿宋_GB2312" w:cs="仿宋_GB2312"/>
                <w:color w:val="auto"/>
                <w:sz w:val="32"/>
                <w:szCs w:val="32"/>
                <w:highlight w:val="none"/>
                <w:lang w:val="en-US" w:eastAsia="zh-CN"/>
              </w:rPr>
              <w:t>公共</w:t>
            </w:r>
            <w:r>
              <w:rPr>
                <w:rFonts w:hint="eastAsia" w:ascii="仿宋_GB2312" w:hAnsi="仿宋_GB2312" w:eastAsia="仿宋_GB2312" w:cs="仿宋_GB2312"/>
                <w:color w:val="auto"/>
                <w:sz w:val="32"/>
                <w:szCs w:val="32"/>
                <w:highlight w:val="none"/>
              </w:rPr>
              <w:t>包装设计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提升官方直销平台运营效能，协调各类产品上架流程，保障产品品类丰富且更新迅速，</w:t>
            </w:r>
            <w:r>
              <w:rPr>
                <w:rFonts w:hint="eastAsia" w:ascii="仿宋_GB2312" w:hAnsi="仿宋_GB2312" w:eastAsia="仿宋_GB2312" w:cs="仿宋_GB2312"/>
                <w:color w:val="auto"/>
                <w:sz w:val="32"/>
                <w:szCs w:val="32"/>
                <w:highlight w:val="none"/>
              </w:rPr>
              <w:t>打</w:t>
            </w:r>
            <w:r>
              <w:rPr>
                <w:rFonts w:hint="eastAsia" w:ascii="仿宋_GB2312" w:hAnsi="仿宋_GB2312" w:eastAsia="仿宋_GB2312" w:cs="仿宋_GB2312"/>
                <w:color w:val="auto"/>
                <w:sz w:val="32"/>
                <w:szCs w:val="32"/>
                <w:highlight w:val="none"/>
                <w:lang w:eastAsia="zh-CN"/>
              </w:rPr>
              <w:t>造一批</w:t>
            </w:r>
            <w:r>
              <w:rPr>
                <w:rFonts w:hint="eastAsia" w:ascii="仿宋_GB2312" w:hAnsi="仿宋_GB2312" w:eastAsia="仿宋_GB2312" w:cs="仿宋_GB2312"/>
                <w:color w:val="auto"/>
                <w:sz w:val="32"/>
                <w:szCs w:val="32"/>
                <w:highlight w:val="none"/>
                <w:lang w:val="en-US" w:eastAsia="zh-CN"/>
              </w:rPr>
              <w:t>常态化</w:t>
            </w:r>
            <w:r>
              <w:rPr>
                <w:rFonts w:hint="eastAsia" w:ascii="仿宋_GB2312" w:hAnsi="仿宋_GB2312" w:eastAsia="仿宋_GB2312" w:cs="仿宋_GB2312"/>
                <w:color w:val="auto"/>
                <w:sz w:val="32"/>
                <w:szCs w:val="32"/>
                <w:highlight w:val="none"/>
                <w:lang w:eastAsia="zh-CN"/>
              </w:rPr>
              <w:t>拳头产品，</w:t>
            </w:r>
            <w:r>
              <w:rPr>
                <w:rFonts w:hint="eastAsia" w:ascii="仿宋_GB2312" w:hAnsi="仿宋_GB2312" w:eastAsia="仿宋_GB2312" w:cs="仿宋_GB2312"/>
                <w:color w:val="auto"/>
                <w:sz w:val="32"/>
                <w:szCs w:val="32"/>
                <w:highlight w:val="none"/>
              </w:rPr>
              <w:t>统一形象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多平台、多角度推介，</w:t>
            </w:r>
            <w:r>
              <w:rPr>
                <w:rFonts w:hint="eastAsia" w:ascii="仿宋_GB2312" w:hAnsi="仿宋_GB2312" w:eastAsia="仿宋_GB2312" w:cs="仿宋_GB2312"/>
                <w:color w:val="auto"/>
                <w:sz w:val="32"/>
                <w:szCs w:val="32"/>
                <w:highlight w:val="none"/>
              </w:rPr>
              <w:t>提</w:t>
            </w:r>
            <w:r>
              <w:rPr>
                <w:rFonts w:hint="eastAsia" w:ascii="仿宋_GB2312" w:hAnsi="仿宋_GB2312" w:eastAsia="仿宋_GB2312" w:cs="仿宋_GB2312"/>
                <w:color w:val="auto"/>
                <w:sz w:val="32"/>
                <w:szCs w:val="32"/>
                <w:highlight w:val="none"/>
                <w:lang w:eastAsia="zh-CN"/>
              </w:rPr>
              <w:t>高</w:t>
            </w:r>
            <w:r>
              <w:rPr>
                <w:rFonts w:hint="eastAsia" w:ascii="仿宋_GB2312" w:hAnsi="仿宋_GB2312" w:eastAsia="仿宋_GB2312" w:cs="仿宋_GB2312"/>
                <w:color w:val="auto"/>
                <w:sz w:val="32"/>
                <w:szCs w:val="32"/>
                <w:highlight w:val="none"/>
              </w:rPr>
              <w:t>品牌影响力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扩大销售渠道</w:t>
            </w:r>
            <w:r>
              <w:rPr>
                <w:rFonts w:hint="eastAsia" w:ascii="仿宋_GB2312" w:hAnsi="仿宋_GB2312" w:eastAsia="仿宋_GB2312" w:cs="仿宋_GB2312"/>
                <w:color w:val="auto"/>
                <w:sz w:val="32"/>
                <w:szCs w:val="32"/>
                <w:highlight w:val="none"/>
                <w:lang w:eastAsia="zh-CN"/>
              </w:rPr>
              <w:t>。力争将“妫水农耕”塑造为全域旅游的标志性“伴手礼”</w:t>
            </w:r>
            <w:r>
              <w:rPr>
                <w:rFonts w:hint="eastAsia" w:ascii="仿宋_GB2312" w:hAnsi="仿宋_GB2312" w:eastAsia="仿宋_GB2312" w:cs="仿宋_GB2312"/>
                <w:color w:val="auto"/>
                <w:sz w:val="32"/>
                <w:szCs w:val="32"/>
                <w:highlight w:val="none"/>
                <w:lang w:val="en-US" w:eastAsia="zh-CN"/>
              </w:rPr>
              <w:t>和农耕文化体验空间。</w:t>
            </w:r>
          </w:p>
          <w:p w14:paraId="4FD21A56">
            <w:pPr>
              <w:pStyle w:val="5"/>
              <w:widowControl w:val="0"/>
              <w:ind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打造会员营销体系，锁定精准客户。以世界葡萄博览园基地为线下体验载体，推出“</w:t>
            </w:r>
            <w:r>
              <w:rPr>
                <w:rFonts w:hint="eastAsia" w:ascii="仿宋_GB2312" w:hAnsi="仿宋_GB2312" w:eastAsia="仿宋_GB2312" w:cs="仿宋_GB2312"/>
                <w:color w:val="auto"/>
                <w:sz w:val="32"/>
                <w:szCs w:val="32"/>
                <w:highlight w:val="none"/>
              </w:rPr>
              <w:t>妫水农耕·世葡园家庭臻享卡”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通过进中高端社区活动的形式，</w:t>
            </w:r>
            <w:r>
              <w:rPr>
                <w:rFonts w:hint="eastAsia" w:ascii="仿宋_GB2312" w:hAnsi="仿宋_GB2312" w:eastAsia="仿宋_GB2312" w:cs="仿宋_GB2312"/>
                <w:color w:val="auto"/>
                <w:sz w:val="32"/>
                <w:szCs w:val="32"/>
                <w:highlight w:val="none"/>
              </w:rPr>
              <w:t>在社区市集、节日活动、亲子活动中设展位，进行体验式营销（农产品试吃、园区美景展示、会员权益讲解）</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有效整合</w:t>
            </w:r>
            <w:r>
              <w:rPr>
                <w:rFonts w:hint="eastAsia" w:ascii="仿宋_GB2312" w:hAnsi="仿宋_GB2312" w:eastAsia="仿宋_GB2312" w:cs="仿宋_GB2312"/>
                <w:color w:val="auto"/>
                <w:sz w:val="32"/>
                <w:szCs w:val="32"/>
                <w:highlight w:val="none"/>
                <w:lang w:val="en-US" w:eastAsia="zh-CN"/>
              </w:rPr>
              <w:t>我区优质</w:t>
            </w:r>
            <w:r>
              <w:rPr>
                <w:rFonts w:hint="eastAsia" w:ascii="仿宋_GB2312" w:hAnsi="仿宋_GB2312" w:eastAsia="仿宋_GB2312" w:cs="仿宋_GB2312"/>
                <w:color w:val="auto"/>
                <w:sz w:val="32"/>
                <w:szCs w:val="32"/>
                <w:highlight w:val="none"/>
              </w:rPr>
              <w:t>农产品销售、</w:t>
            </w:r>
            <w:r>
              <w:rPr>
                <w:rFonts w:hint="eastAsia" w:ascii="仿宋_GB2312" w:hAnsi="仿宋_GB2312" w:eastAsia="仿宋_GB2312" w:cs="仿宋_GB2312"/>
                <w:color w:val="auto"/>
                <w:sz w:val="32"/>
                <w:szCs w:val="32"/>
                <w:highlight w:val="none"/>
                <w:lang w:val="en-US" w:eastAsia="zh-CN"/>
              </w:rPr>
              <w:t>世葡园</w:t>
            </w:r>
            <w:r>
              <w:rPr>
                <w:rFonts w:hint="eastAsia" w:ascii="仿宋_GB2312" w:hAnsi="仿宋_GB2312" w:eastAsia="仿宋_GB2312" w:cs="仿宋_GB2312"/>
                <w:color w:val="auto"/>
                <w:sz w:val="32"/>
                <w:szCs w:val="32"/>
                <w:highlight w:val="none"/>
              </w:rPr>
              <w:t>园区运营和品牌建设</w:t>
            </w:r>
            <w:r>
              <w:rPr>
                <w:rFonts w:hint="eastAsia" w:ascii="仿宋_GB2312" w:hAnsi="仿宋_GB2312" w:eastAsia="仿宋_GB2312" w:cs="仿宋_GB2312"/>
                <w:color w:val="auto"/>
                <w:sz w:val="32"/>
                <w:szCs w:val="32"/>
                <w:highlight w:val="none"/>
                <w:lang w:eastAsia="zh-CN"/>
              </w:rPr>
              <w:t>。</w:t>
            </w:r>
          </w:p>
          <w:p w14:paraId="41DF9937">
            <w:pPr>
              <w:pStyle w:val="5"/>
              <w:widowControl w:val="0"/>
              <w:ind w:firstLine="640" w:firstLineChars="200"/>
              <w:jc w:val="left"/>
              <w:rPr>
                <w:color w:val="auto"/>
                <w:highlight w:val="none"/>
              </w:rPr>
            </w:pPr>
            <w:r>
              <w:rPr>
                <w:rFonts w:hint="eastAsia" w:ascii="仿宋_GB2312" w:hAnsi="仿宋_GB2312" w:eastAsia="仿宋_GB2312" w:cs="仿宋_GB2312"/>
                <w:color w:val="auto"/>
                <w:sz w:val="32"/>
                <w:szCs w:val="32"/>
                <w:highlight w:val="none"/>
                <w:lang w:val="en-US" w:eastAsia="zh-CN"/>
              </w:rPr>
              <w:t>优化供应链管理，完善仓储物流体系。提高配送效率，</w:t>
            </w:r>
            <w:r>
              <w:rPr>
                <w:rFonts w:hint="eastAsia" w:ascii="仿宋_GB2312" w:hAnsi="仿宋_GB2312" w:eastAsia="仿宋_GB2312" w:cs="仿宋_GB2312"/>
                <w:color w:val="auto"/>
                <w:sz w:val="32"/>
                <w:szCs w:val="32"/>
                <w:highlight w:val="none"/>
                <w:lang w:eastAsia="zh-CN"/>
              </w:rPr>
              <w:t>统仓共配、</w:t>
            </w:r>
            <w:r>
              <w:rPr>
                <w:rFonts w:hint="eastAsia" w:ascii="仿宋_GB2312" w:hAnsi="仿宋_GB2312" w:eastAsia="仿宋_GB2312" w:cs="仿宋_GB2312"/>
                <w:color w:val="auto"/>
                <w:sz w:val="32"/>
                <w:szCs w:val="32"/>
                <w:highlight w:val="none"/>
              </w:rPr>
              <w:t>集中运输、协作共赢，降低农业基地、农产品电商物流成本，有效推动农产品</w:t>
            </w:r>
            <w:r>
              <w:rPr>
                <w:rFonts w:hint="eastAsia" w:ascii="仿宋_GB2312" w:hAnsi="仿宋_GB2312" w:eastAsia="仿宋_GB2312" w:cs="仿宋_GB2312"/>
                <w:color w:val="auto"/>
                <w:sz w:val="32"/>
                <w:szCs w:val="32"/>
                <w:highlight w:val="none"/>
                <w:lang w:eastAsia="zh-CN"/>
              </w:rPr>
              <w:t>“出村进城”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解决“最后一公里”问题。</w:t>
            </w:r>
          </w:p>
        </w:tc>
      </w:tr>
    </w:tbl>
    <w:p w14:paraId="284343AA">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baseline"/>
        <w:rPr>
          <w:rFonts w:hint="eastAsia" w:ascii="仿宋_GB2312" w:hAnsi="仿宋_GB2312" w:eastAsia="仿宋_GB2312" w:cs="仿宋_GB2312"/>
          <w:color w:val="auto"/>
          <w:kern w:val="2"/>
          <w:sz w:val="32"/>
          <w:szCs w:val="32"/>
          <w:highlight w:val="none"/>
          <w:lang w:val="en-US" w:eastAsia="zh-CN" w:bidi="ar-SA"/>
        </w:rPr>
      </w:pPr>
    </w:p>
    <w:p w14:paraId="313F943A">
      <w:pPr>
        <w:pStyle w:val="4"/>
        <w:numPr>
          <w:ilvl w:val="0"/>
          <w:numId w:val="4"/>
        </w:numPr>
        <w:bidi w:val="0"/>
        <w:ind w:firstLine="880"/>
        <w:rPr>
          <w:rFonts w:hint="eastAsia" w:ascii="Arial" w:hAnsi="Arial"/>
          <w:b w:val="0"/>
          <w:color w:val="auto"/>
          <w:highlight w:val="none"/>
          <w:lang w:val="en-US" w:eastAsia="zh-CN"/>
        </w:rPr>
      </w:pPr>
      <w:bookmarkStart w:id="97" w:name="_Toc11228"/>
      <w:r>
        <w:rPr>
          <w:rFonts w:hint="eastAsia" w:ascii="Arial" w:hAnsi="Arial"/>
          <w:b w:val="0"/>
          <w:color w:val="auto"/>
          <w:highlight w:val="none"/>
          <w:lang w:val="en-US" w:eastAsia="zh-CN"/>
        </w:rPr>
        <w:t>做精休闲农业和乡村旅游</w:t>
      </w:r>
      <w:bookmarkEnd w:id="97"/>
    </w:p>
    <w:p w14:paraId="330D1332">
      <w:pPr>
        <w:bidi w:val="0"/>
        <w:rPr>
          <w:rFonts w:hint="eastAsia"/>
          <w:color w:val="auto"/>
          <w:highlight w:val="none"/>
          <w:lang w:val="en-US" w:eastAsia="zh-CN"/>
        </w:rPr>
      </w:pPr>
      <w:r>
        <w:rPr>
          <w:rFonts w:hint="eastAsia"/>
          <w:color w:val="auto"/>
          <w:highlight w:val="none"/>
          <w:lang w:val="en-US" w:eastAsia="zh-CN"/>
        </w:rPr>
        <w:t>立足“首都后花园”的区位优势，强化与冬奥遗产、长城文化带两大国家战略的深度融合，构建“农事体验为基、文化赋能为本、科技体验为翼”的“农业田园综合体新业态”。依托“网红路边网红村”“九沟十八湾”文旅布局和张山营镇、四海镇、珍珠泉乡等乡镇特色农文旅资源，持续推进绿悠农业休闲园等园区的升级改造，开展永宁镇前平坊二十四节气农文旅融合等项目，丰富休闲农业园区经营项目，打造集住宿、餐饮、休闲娱乐于一体的精品休闲农业园区。推进民宿产业规范化管理、特色化培育、品牌化建设，发展“民宿+非遗传承”“民宿+亲子体验”“民宿+特色美食”等融合业态，丰富游客住宿体验，推动民宿产业从量的积累迈向质的飞跃，持续提升北方民宿大会平台能级，深化区域民宿产业协同发展。</w:t>
      </w:r>
      <w:r>
        <w:rPr>
          <w:rFonts w:hint="eastAsia"/>
          <w:color w:val="auto"/>
          <w:highlight w:val="none"/>
          <w:lang w:eastAsia="zh-CN"/>
        </w:rPr>
        <w:t>整合</w:t>
      </w:r>
      <w:r>
        <w:rPr>
          <w:rFonts w:hint="eastAsia"/>
          <w:color w:val="auto"/>
          <w:highlight w:val="none"/>
          <w:lang w:val="en-US" w:eastAsia="zh-CN"/>
        </w:rPr>
        <w:t>历史文化村落、休闲农业园区、果园花海等特色资源，推出四季旅游体系，春骑行、夏露营、秋徒步、冬冰雪。突出乡村旅游的差异化发展措施和主题化线路开发，依托长城、世园、冬奥三张金名片结合农业推动农旅融合，串联冬奥场馆、长城文化带、特色农园，设计1～2日乡村休闲游线路。推出“九沟十八湾”生态走廊，每湾植入特色业态（如柳沟非遗豆腐工坊、百里山水画廊骑行驿站），配套智慧导览系统标注最佳摄影点与生态研学区。网红村升级计划，加强场景营造，选取3～5个核心村，打造“一村一爆点”，通过短视频大赛、KOL驻村创作持续引流。推行村民共富机制，推广“农户入股+专业运营”模式。</w:t>
      </w:r>
    </w:p>
    <w:p w14:paraId="78FC3602">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textAlignment w:val="baseline"/>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5"/>
      </w:tblGrid>
      <w:tr w14:paraId="3592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5" w:type="dxa"/>
          </w:tcPr>
          <w:p w14:paraId="2E302337">
            <w:pPr>
              <w:widowControl/>
              <w:numPr>
                <w:ilvl w:val="0"/>
                <w:numId w:val="0"/>
              </w:numPr>
              <w:spacing w:line="560" w:lineRule="exact"/>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专栏十</w:t>
            </w:r>
            <w:r>
              <w:rPr>
                <w:rFonts w:hint="eastAsia" w:ascii="仿宋_GB2312" w:hAnsi="仿宋_GB2312" w:eastAsia="仿宋_GB2312" w:cs="仿宋_GB2312"/>
                <w:b/>
                <w:bCs/>
                <w:color w:val="auto"/>
                <w:sz w:val="30"/>
                <w:szCs w:val="30"/>
                <w:highlight w:val="none"/>
                <w:lang w:val="en-US" w:eastAsia="zh-CN"/>
              </w:rPr>
              <w:t>四</w:t>
            </w:r>
          </w:p>
          <w:p w14:paraId="10253284">
            <w:pPr>
              <w:widowControl/>
              <w:numPr>
                <w:ilvl w:val="0"/>
                <w:numId w:val="0"/>
              </w:numPr>
              <w:spacing w:line="560" w:lineRule="exact"/>
              <w:jc w:val="center"/>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乡村旅游提质工程</w:t>
            </w:r>
          </w:p>
          <w:p w14:paraId="4499368D">
            <w:pPr>
              <w:widowControl/>
              <w:numPr>
                <w:ilvl w:val="0"/>
                <w:numId w:val="0"/>
              </w:numPr>
              <w:spacing w:line="560" w:lineRule="exact"/>
              <w:ind w:firstLine="640" w:firstLineChars="200"/>
              <w:jc w:val="left"/>
              <w:rPr>
                <w:color w:val="auto"/>
                <w:highlight w:val="none"/>
              </w:rPr>
            </w:pPr>
            <w:r>
              <w:rPr>
                <w:rFonts w:hint="eastAsia" w:ascii="仿宋_GB2312" w:hAnsi="仿宋_GB2312" w:eastAsia="仿宋_GB2312" w:cs="仿宋_GB2312"/>
                <w:color w:val="auto"/>
                <w:sz w:val="32"/>
                <w:szCs w:val="32"/>
                <w:highlight w:val="none"/>
              </w:rPr>
              <w:t>民宿</w:t>
            </w:r>
            <w:r>
              <w:rPr>
                <w:rFonts w:hint="eastAsia" w:ascii="仿宋_GB2312" w:hAnsi="仿宋_GB2312" w:eastAsia="仿宋_GB2312" w:cs="仿宋_GB2312"/>
                <w:color w:val="auto"/>
                <w:sz w:val="32"/>
                <w:szCs w:val="32"/>
                <w:highlight w:val="none"/>
                <w:lang w:eastAsia="zh-CN"/>
              </w:rPr>
              <w:t>品牌提升</w:t>
            </w:r>
            <w:r>
              <w:rPr>
                <w:rFonts w:hint="eastAsia" w:ascii="仿宋_GB2312" w:hAnsi="仿宋_GB2312" w:eastAsia="仿宋_GB2312" w:cs="仿宋_GB2312"/>
                <w:color w:val="auto"/>
                <w:sz w:val="32"/>
                <w:szCs w:val="32"/>
                <w:highlight w:val="none"/>
              </w:rPr>
              <w:t>工程：</w:t>
            </w:r>
            <w:r>
              <w:rPr>
                <w:rFonts w:ascii="仿宋_GB2312" w:hAnsi="仿宋_GB2312" w:eastAsia="仿宋_GB2312" w:cs="仿宋_GB2312"/>
                <w:b w:val="0"/>
                <w:bCs w:val="0"/>
                <w:color w:val="auto"/>
                <w:sz w:val="31"/>
                <w:szCs w:val="31"/>
                <w:highlight w:val="none"/>
              </w:rPr>
              <w:t>持续办好“北方民宿大会”“民宿过大年”等品牌活动，引领北方民宿发展。</w:t>
            </w:r>
            <w:r>
              <w:rPr>
                <w:rFonts w:hint="eastAsia" w:ascii="仿宋_GB2312" w:hAnsi="仿宋_GB2312" w:eastAsia="仿宋_GB2312" w:cs="仿宋_GB2312"/>
                <w:color w:val="auto"/>
                <w:sz w:val="32"/>
                <w:szCs w:val="32"/>
                <w:highlight w:val="none"/>
                <w:lang w:val="en-US" w:eastAsia="zh-CN"/>
              </w:rPr>
              <w:t>打造</w:t>
            </w:r>
            <w:r>
              <w:rPr>
                <w:rFonts w:hint="eastAsia" w:ascii="仿宋_GB2312" w:hAnsi="仿宋_GB2312" w:eastAsia="仿宋_GB2312" w:cs="仿宋_GB2312"/>
                <w:color w:val="auto"/>
                <w:kern w:val="2"/>
                <w:sz w:val="32"/>
                <w:szCs w:val="32"/>
                <w:highlight w:val="none"/>
                <w:lang w:val="en-US" w:eastAsia="zh-CN" w:bidi="ar-SA"/>
              </w:rPr>
              <w:t>“民宿+非遗”“民宿+亲子”“民宿+美食”等特色产品，丰富游客住宿体验。加强民宿品牌推广，提升“延庆人家”品牌影响力。</w:t>
            </w:r>
          </w:p>
        </w:tc>
      </w:tr>
    </w:tbl>
    <w:p w14:paraId="59F0AD64">
      <w:pPr>
        <w:pStyle w:val="1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p>
    <w:p w14:paraId="2E0246F9">
      <w:pPr>
        <w:pStyle w:val="4"/>
        <w:numPr>
          <w:ilvl w:val="0"/>
          <w:numId w:val="4"/>
        </w:numPr>
        <w:bidi w:val="0"/>
        <w:ind w:firstLine="880"/>
        <w:rPr>
          <w:rFonts w:hint="eastAsia" w:ascii="Arial" w:hAnsi="Arial"/>
          <w:b w:val="0"/>
          <w:color w:val="auto"/>
          <w:highlight w:val="none"/>
          <w:lang w:val="en-US" w:eastAsia="zh-CN"/>
        </w:rPr>
      </w:pPr>
      <w:bookmarkStart w:id="98" w:name="_Toc13984"/>
      <w:r>
        <w:rPr>
          <w:rFonts w:hint="eastAsia" w:ascii="Arial" w:hAnsi="Arial"/>
          <w:b w:val="0"/>
          <w:color w:val="auto"/>
          <w:highlight w:val="none"/>
          <w:lang w:val="en-US" w:eastAsia="zh-CN"/>
        </w:rPr>
        <w:t>做优农村电商</w:t>
      </w:r>
      <w:bookmarkEnd w:id="98"/>
    </w:p>
    <w:p w14:paraId="16D8EC20">
      <w:pPr>
        <w:bidi w:val="0"/>
        <w:rPr>
          <w:rFonts w:hint="eastAsia"/>
          <w:color w:val="auto"/>
          <w:highlight w:val="none"/>
        </w:rPr>
      </w:pPr>
      <w:r>
        <w:rPr>
          <w:rFonts w:hint="eastAsia"/>
          <w:color w:val="auto"/>
          <w:highlight w:val="none"/>
          <w:lang w:val="en-US" w:eastAsia="zh-CN"/>
        </w:rPr>
        <w:t>在乡镇设立电商综合服务中心，提供网店运营、包装设计、人才培训、仓储物流等一站式服务。鼓励村级便利店、合作社升级为“电商服务站”，帮助农户代销农产品。推动产业融合，打造特色电商生态。培育“电商+特色农产品”模式，重点推广延庆国光苹果、永宁豆腐、张山营葡萄、四海菊花等特色标志产品，通过电商平台（京东、拼多多、抖音电商），发展“订单农业”，鼓励农民专业合作社、家庭农场与电商企业签订长期采购协议，稳定供应链。发展“电商+文旅”模式，结合世园会、冬奥遗产、长城、百里山水画廊等旅游资源，推出文旅电商礼盒（如有机蔬菜+民宿优惠券），鼓励民宿、农家院开设线上店铺，销售土特产和手工艺品。探索“直播电商+产业带”模式，建设延庆区直播电商基地，持续打造乡村振兴主播团，培养本地“三农”主播，定期举办直播带货活动，与抖音、快手等平台合作，提升“妫水农耕”品牌曝光度。加强电商人才培育，提升运营能力，针对农户、合作社、返乡青年，开设“电商致富带头人”培训班，课程涵盖网店运营、短视频制作、直播技巧等。引进专业团队与服务机构，鼓励MCN机构、电商服务企业落户延庆，提供代运营、品牌策划等服务。设立“农村电商创业扶持基金”，对优秀电商项目给予资金支持。加大财政与金融支持，对农村电商企业给予税收减免、物流补贴、宽带费用补贴等优惠政策。联合银行推出“电商助农贷”，解决小微电商融资难问题。</w:t>
      </w:r>
    </w:p>
    <w:p w14:paraId="5F278C89">
      <w:pPr>
        <w:pStyle w:val="3"/>
        <w:numPr>
          <w:ilvl w:val="0"/>
          <w:numId w:val="2"/>
        </w:numPr>
        <w:bidi w:val="0"/>
        <w:rPr>
          <w:rFonts w:hint="eastAsia" w:ascii="黑体" w:hAnsi="黑体" w:eastAsia="黑体" w:cs="黑体"/>
          <w:b w:val="0"/>
          <w:bCs/>
          <w:color w:val="auto"/>
          <w:sz w:val="32"/>
          <w:szCs w:val="32"/>
          <w:highlight w:val="none"/>
        </w:rPr>
      </w:pPr>
      <w:bookmarkStart w:id="99" w:name="_Toc4526"/>
      <w:r>
        <w:rPr>
          <w:rFonts w:hint="eastAsia"/>
          <w:color w:val="auto"/>
          <w:highlight w:val="none"/>
          <w:lang w:val="en-US" w:eastAsia="zh-CN"/>
        </w:rPr>
        <w:t>重点任务五：</w:t>
      </w:r>
      <w:r>
        <w:rPr>
          <w:rFonts w:hint="eastAsia" w:ascii="黑体" w:hAnsi="黑体" w:eastAsia="黑体" w:cs="黑体"/>
          <w:b w:val="0"/>
          <w:bCs/>
          <w:color w:val="auto"/>
          <w:sz w:val="32"/>
          <w:szCs w:val="32"/>
          <w:highlight w:val="none"/>
        </w:rPr>
        <w:t>高质量推进和美乡村建设，促进农村现代化</w:t>
      </w:r>
      <w:bookmarkEnd w:id="99"/>
    </w:p>
    <w:p w14:paraId="62B96B43">
      <w:pPr>
        <w:pStyle w:val="4"/>
        <w:bidi w:val="0"/>
        <w:rPr>
          <w:rFonts w:hint="eastAsia"/>
          <w:color w:val="auto"/>
          <w:highlight w:val="none"/>
          <w:lang w:val="en-US" w:eastAsia="zh-CN"/>
        </w:rPr>
      </w:pPr>
      <w:bookmarkStart w:id="100" w:name="_Toc31672"/>
      <w:bookmarkStart w:id="101" w:name="_Toc29804"/>
      <w:bookmarkStart w:id="102" w:name="_Toc25638"/>
      <w:r>
        <w:rPr>
          <w:rFonts w:hint="eastAsia"/>
          <w:color w:val="auto"/>
          <w:highlight w:val="none"/>
          <w:lang w:val="en-US" w:eastAsia="zh-CN"/>
        </w:rPr>
        <w:t>（一）优化城乡结构布局</w:t>
      </w:r>
      <w:bookmarkEnd w:id="100"/>
      <w:bookmarkEnd w:id="101"/>
      <w:bookmarkEnd w:id="102"/>
    </w:p>
    <w:p w14:paraId="52CEB9DD">
      <w:pPr>
        <w:bidi w:val="0"/>
        <w:rPr>
          <w:rFonts w:hint="eastAsia"/>
          <w:color w:val="auto"/>
          <w:highlight w:val="none"/>
          <w:lang w:val="en-US" w:eastAsia="zh-CN"/>
        </w:rPr>
      </w:pPr>
      <w:r>
        <w:rPr>
          <w:rFonts w:hint="eastAsia"/>
          <w:color w:val="auto"/>
          <w:highlight w:val="none"/>
          <w:lang w:val="en-US" w:eastAsia="zh-CN"/>
        </w:rPr>
        <w:t>1.统筹城乡要素配置与服务保障。深化户籍与公共服务改革，落实“人地钱挂钩”政策，对吸纳农业转移人口较多的乡镇加大财政转移支付和建设用地指标倾斜。建立“新市民服务包”，为进城农民提供职业技能培训、随迁子女入学、保障性住房等“一揽子”服务。试点“三权”自愿有偿退出机制，对进城落户农民的土地承包权、宅基地使用权、集体收益分配权实行市场化评估和补偿。构建城乡要素流动平台，建设区级农村产权交易中心，推动集体经营性建设用地入市，优先用于乡村产业（如乡村民宿、冷链物流等）。设立城乡产业协同发展基金，引导社会资本投资延庆特色农业。</w:t>
      </w:r>
    </w:p>
    <w:p w14:paraId="7124D89C">
      <w:pPr>
        <w:bidi w:val="0"/>
        <w:rPr>
          <w:rFonts w:hint="eastAsia" w:ascii="仿宋_GB2312" w:hAnsi="仿宋_GB2312" w:eastAsia="仿宋_GB2312" w:cs="仿宋_GB2312"/>
          <w:color w:val="auto"/>
          <w:kern w:val="2"/>
          <w:szCs w:val="32"/>
          <w:highlight w:val="none"/>
          <w:lang w:val="en-US" w:eastAsia="zh-CN" w:bidi="ar-SA"/>
        </w:rPr>
      </w:pPr>
      <w:r>
        <w:rPr>
          <w:rFonts w:hint="eastAsia"/>
          <w:color w:val="auto"/>
          <w:highlight w:val="none"/>
          <w:lang w:val="en-US" w:eastAsia="zh-CN"/>
        </w:rPr>
        <w:t>2.实施村庄分类管控与土地综合整治。强化国土空间管控，基于“三区三线”划定成果，严格保护永久基本农田和生态屏障，严禁违规占用耕地。细化村庄分类标准，科学确定发展目标。集聚提升类村庄重点强化产业发展，改造提升基础设施；城郊融合类村庄重点推动城乡一体化建设；特色保护类村庄重点改善基础设施和公共环境；搬迁撤并类村庄有序实施搬迁撤并，解决好民生保障、就业增收和生态保护等问题。短期内难以判断的村庄，留足观察和论证时间，重点保障基本民生需要。以康庄镇为试点，推进全域土地综合整治。</w:t>
      </w:r>
    </w:p>
    <w:p w14:paraId="23A5ED6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7"/>
      </w:tblGrid>
      <w:tr w14:paraId="03CF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947" w:type="dxa"/>
            <w:vAlign w:val="top"/>
          </w:tcPr>
          <w:p w14:paraId="04649F26">
            <w:pPr>
              <w:widowControl/>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专栏十</w:t>
            </w:r>
            <w:r>
              <w:rPr>
                <w:rFonts w:hint="eastAsia" w:ascii="仿宋_GB2312" w:hAnsi="仿宋_GB2312" w:cs="仿宋_GB2312"/>
                <w:b/>
                <w:bCs/>
                <w:color w:val="auto"/>
                <w:sz w:val="30"/>
                <w:szCs w:val="30"/>
                <w:highlight w:val="none"/>
                <w:lang w:val="en-US" w:eastAsia="zh-CN"/>
              </w:rPr>
              <w:t>五</w:t>
            </w:r>
          </w:p>
          <w:p w14:paraId="1CB49015">
            <w:pPr>
              <w:widowControl/>
              <w:ind w:left="0" w:leftChars="0" w:firstLine="0" w:firstLineChars="0"/>
              <w:jc w:val="center"/>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全域土地综合整治行动</w:t>
            </w:r>
          </w:p>
          <w:p w14:paraId="4B3C1826">
            <w:pPr>
              <w:widowControl/>
              <w:numPr>
                <w:ilvl w:val="-1"/>
                <w:numId w:val="0"/>
              </w:numPr>
              <w:spacing w:line="560" w:lineRule="exact"/>
              <w:ind w:firstLine="640" w:firstLineChars="200"/>
              <w:jc w:val="left"/>
              <w:rPr>
                <w:color w:val="auto"/>
                <w:highlight w:val="none"/>
              </w:rPr>
            </w:pPr>
            <w:r>
              <w:rPr>
                <w:rFonts w:hint="eastAsia" w:ascii="仿宋_GB2312" w:hAnsi="仿宋_GB2312" w:cs="仿宋_GB2312"/>
                <w:color w:val="auto"/>
                <w:sz w:val="32"/>
                <w:szCs w:val="32"/>
                <w:highlight w:val="none"/>
                <w:lang w:val="en-US" w:eastAsia="zh-CN"/>
              </w:rPr>
              <w:t>在川区</w:t>
            </w:r>
            <w:r>
              <w:rPr>
                <w:rFonts w:hint="eastAsia" w:ascii="仿宋_GB2312" w:hAnsi="仿宋_GB2312" w:eastAsia="仿宋_GB2312" w:cs="仿宋_GB2312"/>
                <w:color w:val="auto"/>
                <w:sz w:val="32"/>
                <w:szCs w:val="32"/>
                <w:highlight w:val="none"/>
              </w:rPr>
              <w:t>以康庄镇为试点，</w:t>
            </w:r>
            <w:r>
              <w:rPr>
                <w:rFonts w:hint="eastAsia" w:ascii="仿宋_GB2312" w:hAnsi="仿宋_GB2312" w:cs="仿宋_GB2312"/>
                <w:color w:val="auto"/>
                <w:sz w:val="32"/>
                <w:szCs w:val="32"/>
                <w:highlight w:val="none"/>
                <w:lang w:val="en-US" w:eastAsia="zh-CN"/>
              </w:rPr>
              <w:t>在山区以四海镇为试点，探索开展</w:t>
            </w:r>
            <w:r>
              <w:rPr>
                <w:rFonts w:hint="eastAsia" w:ascii="仿宋_GB2312" w:hAnsi="仿宋_GB2312" w:eastAsia="仿宋_GB2312" w:cs="仿宋_GB2312"/>
                <w:color w:val="auto"/>
                <w:sz w:val="32"/>
                <w:szCs w:val="32"/>
                <w:highlight w:val="none"/>
              </w:rPr>
              <w:t>全域土地综合整治，实施“零散地块归并”工程，通过增减挂钩政策整合闲置宅基地、废弃工矿用地，新增耕地优先用于高标准农田建设。</w:t>
            </w:r>
          </w:p>
        </w:tc>
      </w:tr>
    </w:tbl>
    <w:p w14:paraId="1D5F2BFB">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32"/>
          <w:szCs w:val="32"/>
          <w:highlight w:val="none"/>
          <w:lang w:val="en-US" w:eastAsia="zh-CN" w:bidi="ar-SA"/>
        </w:rPr>
      </w:pPr>
    </w:p>
    <w:p w14:paraId="7590D588">
      <w:pPr>
        <w:bidi w:val="0"/>
        <w:rPr>
          <w:rFonts w:hint="eastAsia"/>
          <w:color w:val="auto"/>
          <w:highlight w:val="none"/>
          <w:lang w:val="en-US" w:eastAsia="zh-CN"/>
        </w:rPr>
      </w:pPr>
      <w:r>
        <w:rPr>
          <w:rFonts w:hint="eastAsia"/>
          <w:color w:val="auto"/>
          <w:highlight w:val="none"/>
          <w:lang w:val="en-US" w:eastAsia="zh-CN"/>
        </w:rPr>
        <w:t>3.健全乡村运行维护机制。建立长效管护制度，完善以区级财政投入为引导、镇村自筹为主体、社会力量参与的多元化投入和运维管护机制。推行“物业进乡村”模式，由镇属企业或合作社承担道路、路灯、污水处理等设施的日常维护，费用通过“财政补贴+产业收益反哺+村民自筹”解决。创新村民参与机制，实施“积分制管理”，对参与环境整治、垃圾分类的村民给予积分，可兑换生活用品或抵扣水电费。设立“乡村公益岗”，优先聘用低收入群体负责河道巡查、森林防火等公益性工作。</w:t>
      </w:r>
    </w:p>
    <w:p w14:paraId="48EFE82C">
      <w:pPr>
        <w:pStyle w:val="6"/>
        <w:numPr>
          <w:ilvl w:val="0"/>
          <w:numId w:val="0"/>
        </w:numPr>
        <w:rPr>
          <w:rFonts w:hint="eastAsia"/>
          <w:color w:val="auto"/>
          <w:highlight w:val="none"/>
          <w:lang w:val="en-US" w:eastAsia="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6"/>
      </w:tblGrid>
      <w:tr w14:paraId="09FE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6" w:type="dxa"/>
          </w:tcPr>
          <w:p w14:paraId="1CBBE81B">
            <w:pPr>
              <w:widowControl/>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专栏十</w:t>
            </w:r>
            <w:r>
              <w:rPr>
                <w:rFonts w:hint="eastAsia" w:ascii="仿宋_GB2312" w:hAnsi="仿宋_GB2312" w:cs="仿宋_GB2312"/>
                <w:b/>
                <w:bCs/>
                <w:color w:val="auto"/>
                <w:sz w:val="30"/>
                <w:szCs w:val="30"/>
                <w:highlight w:val="none"/>
                <w:lang w:val="en-US" w:eastAsia="zh-CN"/>
              </w:rPr>
              <w:t>六</w:t>
            </w:r>
          </w:p>
          <w:p w14:paraId="449D6DCD">
            <w:pPr>
              <w:widowControl/>
              <w:ind w:left="0" w:leftChars="0" w:firstLine="0" w:firstLineChars="0"/>
              <w:jc w:val="center"/>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乡村物业</w:t>
            </w:r>
            <w:r>
              <w:rPr>
                <w:rFonts w:hint="eastAsia" w:ascii="仿宋_GB2312" w:hAnsi="仿宋_GB2312" w:cs="仿宋_GB2312"/>
                <w:b/>
                <w:bCs/>
                <w:color w:val="auto"/>
                <w:sz w:val="30"/>
                <w:szCs w:val="30"/>
                <w:highlight w:val="none"/>
                <w:lang w:val="en-US" w:eastAsia="zh-CN"/>
              </w:rPr>
              <w:t>试点推广</w:t>
            </w:r>
          </w:p>
          <w:p w14:paraId="1A858F2E">
            <w:pPr>
              <w:widowControl/>
              <w:numPr>
                <w:ilvl w:val="-1"/>
                <w:numId w:val="0"/>
              </w:numPr>
              <w:spacing w:line="560" w:lineRule="exact"/>
              <w:ind w:firstLine="640" w:firstLineChars="200"/>
              <w:jc w:val="left"/>
              <w:rPr>
                <w:color w:val="auto"/>
                <w:highlight w:val="none"/>
              </w:rPr>
            </w:pPr>
            <w:r>
              <w:rPr>
                <w:rFonts w:hint="eastAsia" w:ascii="仿宋_GB2312" w:hAnsi="仿宋_GB2312" w:cs="仿宋_GB2312"/>
                <w:color w:val="auto"/>
                <w:sz w:val="32"/>
                <w:szCs w:val="32"/>
                <w:highlight w:val="none"/>
                <w:lang w:val="en-US" w:eastAsia="zh-CN"/>
              </w:rPr>
              <w:t>以</w:t>
            </w:r>
            <w:r>
              <w:rPr>
                <w:rFonts w:hint="eastAsia" w:ascii="仿宋_GB2312" w:hAnsi="仿宋_GB2312" w:eastAsia="仿宋_GB2312" w:cs="仿宋_GB2312"/>
                <w:color w:val="auto"/>
                <w:sz w:val="32"/>
                <w:szCs w:val="32"/>
                <w:highlight w:val="none"/>
              </w:rPr>
              <w:t>八达岭镇</w:t>
            </w:r>
            <w:r>
              <w:rPr>
                <w:rFonts w:hint="eastAsia" w:ascii="仿宋_GB2312" w:hAnsi="仿宋_GB2312" w:cs="仿宋_GB2312"/>
                <w:color w:val="auto"/>
                <w:sz w:val="32"/>
                <w:szCs w:val="32"/>
                <w:highlight w:val="none"/>
                <w:lang w:val="en-US" w:eastAsia="zh-CN"/>
              </w:rPr>
              <w:t>里炮村为试点，推行</w:t>
            </w:r>
            <w:r>
              <w:rPr>
                <w:rFonts w:hint="eastAsia" w:ascii="仿宋_GB2312" w:hAnsi="仿宋_GB2312" w:eastAsia="仿宋_GB2312" w:cs="仿宋_GB2312"/>
                <w:color w:val="auto"/>
                <w:sz w:val="32"/>
                <w:szCs w:val="32"/>
                <w:highlight w:val="none"/>
              </w:rPr>
              <w:t>乡村物业模式，深化乡村物业运行机制。以村集体领办乡村物业公司为主体，优先吸纳本地农民参与基础设施建设和管护，将传统“财政补贴式管护”转化为“劳动报酬”，实现“建设即就业、管护即增收”。通过“家政兴农”培训村民提供民宿服务、保洁托管、设施运维等专业人员，拓宽就业渠道。村集体将土地流转收益、物业公司经营利润等纳入“乡村建设专项基金”，30%用于公益事业，如养老服务中心、儿童托管设施等民生项目；50%用于基建维护，保障道路、照明、水利等设施长效运行；20%用于村民分红，通过集体收益再分配，直接增加农民财产性收入，同时实现资金可持续循环。实施管护责任主体化，由村集体物业公司统一负责公共设施维护，破解传统乡村“重建设轻管理”难题，形成“谁受益、谁维护”的良性机制。</w:t>
            </w:r>
          </w:p>
        </w:tc>
      </w:tr>
    </w:tbl>
    <w:p w14:paraId="19AE3BE9">
      <w:pPr>
        <w:pStyle w:val="4"/>
        <w:numPr>
          <w:ilvl w:val="0"/>
          <w:numId w:val="3"/>
        </w:numPr>
        <w:bidi w:val="0"/>
        <w:ind w:left="0" w:leftChars="0" w:firstLine="640" w:firstLineChars="200"/>
        <w:rPr>
          <w:rFonts w:hint="eastAsia"/>
          <w:color w:val="auto"/>
          <w:highlight w:val="none"/>
          <w:lang w:val="en-US" w:eastAsia="zh-CN"/>
        </w:rPr>
      </w:pPr>
      <w:bookmarkStart w:id="103" w:name="_Toc196"/>
      <w:bookmarkStart w:id="104" w:name="_Toc25438"/>
      <w:bookmarkStart w:id="105" w:name="_Toc16351"/>
      <w:r>
        <w:rPr>
          <w:rFonts w:hint="eastAsia"/>
          <w:color w:val="auto"/>
          <w:highlight w:val="none"/>
          <w:lang w:val="en-US" w:eastAsia="zh-CN"/>
        </w:rPr>
        <w:t>构建城乡联动体系，促进城乡融合发展</w:t>
      </w:r>
      <w:bookmarkEnd w:id="103"/>
    </w:p>
    <w:p w14:paraId="6A1FB62E">
      <w:pPr>
        <w:bidi w:val="0"/>
        <w:rPr>
          <w:rFonts w:hint="default"/>
          <w:color w:val="auto"/>
          <w:highlight w:val="none"/>
          <w:lang w:val="en-US" w:eastAsia="zh-CN"/>
        </w:rPr>
      </w:pPr>
      <w:r>
        <w:rPr>
          <w:rFonts w:hint="default"/>
          <w:color w:val="auto"/>
          <w:highlight w:val="none"/>
          <w:lang w:val="en-US" w:eastAsia="zh-CN"/>
        </w:rPr>
        <w:t>重点发挥小城镇的节点作用和产业功能区的引擎效应</w:t>
      </w:r>
      <w:r>
        <w:rPr>
          <w:rFonts w:hint="eastAsia"/>
          <w:color w:val="auto"/>
          <w:highlight w:val="none"/>
          <w:lang w:val="en-US" w:eastAsia="zh-CN"/>
        </w:rPr>
        <w:t>，构建</w:t>
      </w:r>
      <w:r>
        <w:rPr>
          <w:rFonts w:hint="default"/>
          <w:color w:val="auto"/>
          <w:highlight w:val="none"/>
          <w:lang w:val="en-US" w:eastAsia="zh-CN"/>
        </w:rPr>
        <w:t>“</w:t>
      </w:r>
      <w:r>
        <w:rPr>
          <w:rFonts w:hint="eastAsia"/>
          <w:color w:val="auto"/>
          <w:highlight w:val="none"/>
          <w:lang w:val="en-US" w:eastAsia="zh-CN"/>
        </w:rPr>
        <w:t>新城—特色小城镇—村</w:t>
      </w:r>
      <w:r>
        <w:rPr>
          <w:rFonts w:hint="default"/>
          <w:color w:val="auto"/>
          <w:highlight w:val="none"/>
          <w:lang w:val="en-US" w:eastAsia="zh-CN"/>
        </w:rPr>
        <w:t>”三级联动城乡融合体系</w:t>
      </w:r>
      <w:r>
        <w:rPr>
          <w:rFonts w:hint="eastAsia"/>
          <w:color w:val="auto"/>
          <w:highlight w:val="none"/>
          <w:lang w:val="en-US" w:eastAsia="zh-CN"/>
        </w:rPr>
        <w:t>。</w:t>
      </w:r>
    </w:p>
    <w:p w14:paraId="5E5D4016">
      <w:pPr>
        <w:bidi w:val="0"/>
        <w:rPr>
          <w:rFonts w:hint="eastAsia"/>
          <w:color w:val="auto"/>
          <w:highlight w:val="none"/>
          <w:lang w:val="en-US" w:eastAsia="zh-CN"/>
        </w:rPr>
      </w:pPr>
      <w:r>
        <w:rPr>
          <w:rFonts w:hint="eastAsia"/>
          <w:color w:val="auto"/>
          <w:highlight w:val="none"/>
          <w:lang w:val="en-US" w:eastAsia="zh-CN"/>
        </w:rPr>
        <w:t>1.强化新城核心辐射​</w:t>
      </w:r>
    </w:p>
    <w:p w14:paraId="02D51375">
      <w:pPr>
        <w:bidi w:val="0"/>
        <w:rPr>
          <w:rFonts w:hint="eastAsia"/>
          <w:color w:val="auto"/>
          <w:highlight w:val="none"/>
          <w:lang w:val="en-US" w:eastAsia="zh-CN"/>
        </w:rPr>
      </w:pPr>
      <w:r>
        <w:rPr>
          <w:rFonts w:hint="eastAsia"/>
          <w:color w:val="auto"/>
          <w:highlight w:val="none"/>
          <w:lang w:val="en-US" w:eastAsia="zh-CN"/>
        </w:rPr>
        <w:t>延庆新城作为全区公共服务与科技创新中心，承接中心城区功能疏解，重点提升教育、医疗、文化等优质资源供给能力。通过推动京张高铁延庆站综合交通枢纽建设，增强与康庄、永宁等小城镇的快速联通，形成“15分钟公共服务圈”，带动城乡资源均衡配置。</w:t>
      </w:r>
    </w:p>
    <w:p w14:paraId="7071E0D2">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突出小城镇特色带动​</w:t>
      </w:r>
    </w:p>
    <w:p w14:paraId="29726749">
      <w:pPr>
        <w:bidi w:val="0"/>
        <w:rPr>
          <w:rFonts w:hint="default"/>
          <w:color w:val="auto"/>
          <w:highlight w:val="none"/>
          <w:lang w:val="en-US" w:eastAsia="zh-CN"/>
        </w:rPr>
      </w:pPr>
      <w:r>
        <w:rPr>
          <w:rFonts w:hint="default"/>
          <w:color w:val="auto"/>
          <w:highlight w:val="none"/>
          <w:lang w:val="en-US" w:eastAsia="zh-CN"/>
        </w:rPr>
        <w:t>西部新城与康庄镇：依托中关村延庆园和京张体育文化旅游带，打造“科技创新+冰雪体育”双引擎，推动高新技术研发与冬奥遗产转化，吸引京津冀人才与资本集聚。</w:t>
      </w:r>
    </w:p>
    <w:p w14:paraId="5DBE8DB0">
      <w:pPr>
        <w:bidi w:val="0"/>
        <w:rPr>
          <w:rFonts w:hint="default"/>
          <w:color w:val="auto"/>
          <w:highlight w:val="none"/>
          <w:lang w:val="en-US" w:eastAsia="zh-CN"/>
        </w:rPr>
      </w:pPr>
      <w:r>
        <w:rPr>
          <w:rFonts w:hint="default"/>
          <w:color w:val="auto"/>
          <w:highlight w:val="none"/>
          <w:lang w:val="en-US" w:eastAsia="zh-CN"/>
        </w:rPr>
        <w:t>东部永宁镇：以古城文化为核心，整合“妫水农耕”品牌资源，发展农文旅融合产业，建设区域性农产品加工与商贸中心，带动周边乡村特色种植业升级。</w:t>
      </w:r>
    </w:p>
    <w:p w14:paraId="77A5196E">
      <w:pPr>
        <w:bidi w:val="0"/>
        <w:rPr>
          <w:rFonts w:hint="eastAsia"/>
          <w:color w:val="auto"/>
          <w:highlight w:val="none"/>
          <w:lang w:val="en-US" w:eastAsia="zh-CN"/>
        </w:rPr>
      </w:pPr>
      <w:r>
        <w:rPr>
          <w:rFonts w:hint="default"/>
          <w:color w:val="auto"/>
          <w:highlight w:val="none"/>
          <w:lang w:val="en-US" w:eastAsia="zh-CN"/>
        </w:rPr>
        <w:t>中部旧县镇与大榆树镇：发挥健康生态与科教优势，培育康养休闲、智慧农业等新业态，通过“村集体领办合作社”模式盘活闲置资源，促进农民就近就业增收</w:t>
      </w:r>
      <w:r>
        <w:rPr>
          <w:rFonts w:hint="eastAsia"/>
          <w:color w:val="auto"/>
          <w:highlight w:val="none"/>
          <w:lang w:val="en-US" w:eastAsia="zh-CN"/>
        </w:rPr>
        <w:t>。</w:t>
      </w:r>
    </w:p>
    <w:p w14:paraId="44309C81">
      <w:pPr>
        <w:bidi w:val="0"/>
        <w:rPr>
          <w:rFonts w:hint="eastAsia"/>
          <w:color w:val="auto"/>
          <w:highlight w:val="none"/>
          <w:lang w:val="en-US" w:eastAsia="zh-CN"/>
        </w:rPr>
      </w:pPr>
      <w:r>
        <w:rPr>
          <w:rFonts w:hint="eastAsia"/>
          <w:color w:val="auto"/>
          <w:highlight w:val="none"/>
          <w:lang w:val="en-US" w:eastAsia="zh-CN"/>
        </w:rPr>
        <w:t>3.激活乡村内生动力​</w:t>
      </w:r>
    </w:p>
    <w:p w14:paraId="4B537635">
      <w:pPr>
        <w:bidi w:val="0"/>
        <w:rPr>
          <w:rFonts w:hint="default"/>
          <w:color w:val="auto"/>
          <w:highlight w:val="none"/>
          <w:lang w:val="en-US" w:eastAsia="zh-CN"/>
        </w:rPr>
      </w:pPr>
      <w:r>
        <w:rPr>
          <w:rFonts w:hint="eastAsia"/>
          <w:color w:val="auto"/>
          <w:highlight w:val="none"/>
          <w:lang w:val="en-US" w:eastAsia="zh-CN"/>
        </w:rPr>
        <w:t>鼓励村村组团发展，依托“延庆东南山·九沟十八湾”等品牌，打造美丽乡村示范带，形成“小城镇+特色村”的网状发展格局。</w:t>
      </w:r>
    </w:p>
    <w:p w14:paraId="70DBD10D">
      <w:pPr>
        <w:pStyle w:val="4"/>
        <w:numPr>
          <w:ilvl w:val="0"/>
          <w:numId w:val="3"/>
        </w:numPr>
        <w:bidi w:val="0"/>
        <w:ind w:left="0" w:leftChars="0" w:firstLine="640" w:firstLineChars="200"/>
        <w:rPr>
          <w:rFonts w:hint="eastAsia"/>
          <w:color w:val="auto"/>
          <w:highlight w:val="none"/>
          <w:lang w:val="en-US" w:eastAsia="zh-CN"/>
        </w:rPr>
      </w:pPr>
      <w:bookmarkStart w:id="106" w:name="_Toc29189"/>
      <w:r>
        <w:rPr>
          <w:rFonts w:hint="eastAsia"/>
          <w:color w:val="auto"/>
          <w:highlight w:val="none"/>
          <w:lang w:val="en-US" w:eastAsia="zh-CN"/>
        </w:rPr>
        <w:t>推进基础设施全域均衡化与现代化</w:t>
      </w:r>
      <w:bookmarkEnd w:id="104"/>
      <w:bookmarkEnd w:id="105"/>
      <w:bookmarkEnd w:id="106"/>
    </w:p>
    <w:p w14:paraId="13837DF5">
      <w:pPr>
        <w:bidi w:val="0"/>
        <w:rPr>
          <w:rFonts w:hint="eastAsia"/>
          <w:color w:val="auto"/>
          <w:highlight w:val="none"/>
          <w:lang w:val="en-US" w:eastAsia="zh-CN"/>
        </w:rPr>
      </w:pPr>
      <w:bookmarkStart w:id="107" w:name="_Toc4997"/>
      <w:bookmarkStart w:id="108" w:name="_Toc18027"/>
      <w:r>
        <w:rPr>
          <w:rFonts w:hint="eastAsia"/>
          <w:color w:val="auto"/>
          <w:highlight w:val="none"/>
          <w:lang w:val="en-US" w:eastAsia="zh-CN"/>
        </w:rPr>
        <w:t>1.构建安全韧性、循环绿色的供排水系统</w:t>
      </w:r>
      <w:bookmarkEnd w:id="107"/>
      <w:bookmarkEnd w:id="108"/>
    </w:p>
    <w:p w14:paraId="36DB55E2">
      <w:pPr>
        <w:bidi w:val="0"/>
        <w:rPr>
          <w:rFonts w:hint="eastAsia"/>
          <w:color w:val="auto"/>
          <w:highlight w:val="none"/>
          <w:lang w:val="en-US" w:eastAsia="zh-CN"/>
        </w:rPr>
      </w:pPr>
      <w:r>
        <w:rPr>
          <w:rFonts w:hint="eastAsia"/>
          <w:color w:val="auto"/>
          <w:highlight w:val="none"/>
          <w:lang w:val="en-US" w:eastAsia="zh-CN"/>
        </w:rPr>
        <w:t>全域推进农村供水现代化，深化“城带村、镇带村”集约化供水模式，最大程度实现农村地区城乡供水同源、同网、同质、同服务目标。对山区村持续提升供水保障能力，因地制宜实施村庄供水站标准化改造。深化污水治理与资源化利用，推广分布式、低碳化的污水处理，梯次实施农村污水管网延伸及处理站提标改造，推进城镇周边村庄污水管网并网工程，将临近镇区的村庄纳入市政污水主管网，实现“户集、村收、镇处理”闭环管理。结合防灾消防需求，在村庄主要道路沿线、公共活动广场等区域增设标准化消防加水点，配备应急取水接口和流量计量装置，保障火灾扑救及应急救援用水需求。对乡镇驻地、中心村推进管网改造升级和处理厂（站）扩容提标；对山区分散村落推广经济实用、维护简便的“小型生态处理单元”（如强化型生物塘、土壤渗滤系统）。强化资源循环利用，大力推动再生水在村庄绿化灌溉、生态补水等领域的应用，降低新鲜水资源消耗。推广“以废治废”理念，探索污泥与农林废弃物协同堆肥技术应用。冬奥赛区及世园周边、重要景区沿线、长城人家民宿聚集区、人口集聚中心村优先实现高质量污水全收集、全处理、资源化；到2030年，全区行政村生活污水有效治理率（涵盖收集处理与分散生态化处理）保持高位水平，资源化利用水平显著提升。</w:t>
      </w:r>
    </w:p>
    <w:p w14:paraId="536A28BF">
      <w:pPr>
        <w:bidi w:val="0"/>
        <w:rPr>
          <w:rFonts w:hint="eastAsia"/>
          <w:color w:val="auto"/>
          <w:highlight w:val="none"/>
          <w:lang w:val="en-US" w:eastAsia="zh-CN"/>
        </w:rPr>
      </w:pPr>
      <w:bookmarkStart w:id="109" w:name="_Toc25520"/>
      <w:bookmarkStart w:id="110" w:name="_Toc29770"/>
      <w:r>
        <w:rPr>
          <w:rFonts w:hint="eastAsia"/>
          <w:color w:val="auto"/>
          <w:highlight w:val="none"/>
          <w:lang w:val="en-US" w:eastAsia="zh-CN"/>
        </w:rPr>
        <w:t>2.完善便捷畅通、产业友好的路网环境与照明体系</w:t>
      </w:r>
      <w:bookmarkEnd w:id="109"/>
      <w:bookmarkEnd w:id="110"/>
    </w:p>
    <w:p w14:paraId="12CF6E88">
      <w:pPr>
        <w:bidi w:val="0"/>
        <w:rPr>
          <w:rFonts w:hint="eastAsia"/>
          <w:color w:val="auto"/>
          <w:highlight w:val="none"/>
          <w:lang w:val="en-US" w:eastAsia="zh-CN"/>
        </w:rPr>
      </w:pPr>
      <w:r>
        <w:rPr>
          <w:rFonts w:hint="eastAsia"/>
          <w:color w:val="auto"/>
          <w:highlight w:val="none"/>
          <w:lang w:val="en-US" w:eastAsia="zh-CN"/>
        </w:rPr>
        <w:t>有序推进乡村公路提档升级，加强通公交、承载旅游休闲、产业物流功能的乡村公路建设改造，推动公路与乡村产业深度融合。畅通乡村交通微循环，高品质实施村内道路硬化，形成安全、便捷、生态的路网体系。到2030年，全面建成建管养运协调发展的乡村公路交通体系，为城乡融合发展和农业农村现代化提供坚实交通支撑。点亮乡村宜居夜环境：科学布局和升级改造村庄公共照明系统，重点保障村内主干道、公共活动场所、学校周边及人口密集区域照明需求。大力推广使用高效节能、智能控制的LED太阳能路灯，降低运维成本。到2030年，村庄主街道和公共场所节能公共照明设施覆盖率稳定在100%。</w:t>
      </w:r>
    </w:p>
    <w:p w14:paraId="03914152">
      <w:pPr>
        <w:bidi w:val="0"/>
        <w:rPr>
          <w:rFonts w:hint="eastAsia"/>
          <w:color w:val="auto"/>
          <w:highlight w:val="none"/>
          <w:lang w:val="en-US" w:eastAsia="zh-CN"/>
        </w:rPr>
      </w:pPr>
      <w:bookmarkStart w:id="111" w:name="_Toc1467"/>
      <w:bookmarkStart w:id="112" w:name="_Toc15186"/>
      <w:r>
        <w:rPr>
          <w:rFonts w:hint="eastAsia"/>
          <w:color w:val="auto"/>
          <w:highlight w:val="none"/>
          <w:lang w:val="en-US" w:eastAsia="zh-CN"/>
        </w:rPr>
        <w:t>3.加快布局高效智能、覆盖普惠的新型基础设施</w:t>
      </w:r>
      <w:bookmarkEnd w:id="111"/>
      <w:bookmarkEnd w:id="112"/>
    </w:p>
    <w:p w14:paraId="7B6820DC">
      <w:pPr>
        <w:bidi w:val="0"/>
        <w:rPr>
          <w:rFonts w:hint="eastAsia"/>
          <w:color w:val="auto"/>
          <w:highlight w:val="none"/>
          <w:lang w:val="en-US" w:eastAsia="zh-CN"/>
        </w:rPr>
      </w:pPr>
      <w:bookmarkStart w:id="113" w:name="_Toc8077"/>
      <w:r>
        <w:rPr>
          <w:rFonts w:hint="eastAsia"/>
          <w:color w:val="auto"/>
          <w:highlight w:val="none"/>
          <w:lang w:val="en-US" w:eastAsia="zh-CN"/>
        </w:rPr>
        <w:t>推动城乡数字鸿沟跨越，在完成“村通光纤”基础上，大力推进5G网络向乡村深度覆盖和万兆光网（10G-PON）接入能力部署。优先保障冬奥赛区及辐射带、特色旅游村庄、产业聚集区、交通枢纽等重点区域的5G高质量覆盖，稳步推进万兆光网进村入户。到2030年，全区行政村5G网络连续覆盖率达到30%以上，具备万兆接入能力的乡村家庭占比大幅提升，基本建成城乡一体的高速泛在信息网络。以城区村和旅游重点村切入点，逐步开展机动车和非机动车共享充电桩建设，到2030年底，集中共享充电桩覆盖村超过50%。</w:t>
      </w:r>
    </w:p>
    <w:p w14:paraId="4FD884B3">
      <w:pPr>
        <w:bidi w:val="0"/>
        <w:rPr>
          <w:rFonts w:hint="eastAsia"/>
          <w:color w:val="auto"/>
          <w:highlight w:val="none"/>
          <w:lang w:val="en-US" w:eastAsia="zh-CN"/>
        </w:rPr>
      </w:pPr>
      <w:bookmarkStart w:id="114" w:name="_Toc24541"/>
      <w:r>
        <w:rPr>
          <w:rFonts w:hint="eastAsia"/>
          <w:color w:val="auto"/>
          <w:highlight w:val="none"/>
          <w:lang w:val="en-US" w:eastAsia="zh-CN"/>
        </w:rPr>
        <w:t>4.深化绿色清洁、安全可靠的能源保障</w:t>
      </w:r>
      <w:bookmarkEnd w:id="113"/>
      <w:bookmarkEnd w:id="114"/>
    </w:p>
    <w:p w14:paraId="5BFAEEE4">
      <w:pPr>
        <w:bidi w:val="0"/>
        <w:rPr>
          <w:rFonts w:hint="eastAsia"/>
          <w:color w:val="auto"/>
          <w:highlight w:val="none"/>
          <w:lang w:val="en-US" w:eastAsia="zh-CN"/>
        </w:rPr>
      </w:pPr>
      <w:r>
        <w:rPr>
          <w:rFonts w:hint="eastAsia"/>
          <w:color w:val="auto"/>
          <w:highlight w:val="none"/>
          <w:lang w:val="en-US" w:eastAsia="zh-CN"/>
        </w:rPr>
        <w:t>巩固提升清洁供暖成效，持续实施农村地区采暖“煤改清洁能源”工作，对已实施区域加强设施运维管护、提升能效，对暂未改造地区因地制宜发展热泵、生物质能、太阳能+辅助等清洁供暖方式。深化可再生能源在乡村建筑中的应用（光伏建筑一体化），与农业设施大棚结合探索农光互补模式。到2030年，全区农村地区清洁能源覆盖率达到100%，全面消除散煤复烧隐患，有力支撑碳中和示范区建设。</w:t>
      </w:r>
      <w:bookmarkStart w:id="115" w:name="_Toc26891"/>
      <w:bookmarkStart w:id="116" w:name="_Toc1321"/>
    </w:p>
    <w:p w14:paraId="0BD5C593">
      <w:pPr>
        <w:pStyle w:val="4"/>
        <w:numPr>
          <w:ilvl w:val="0"/>
          <w:numId w:val="3"/>
        </w:numPr>
        <w:bidi w:val="0"/>
        <w:ind w:left="0" w:leftChars="0" w:firstLine="640" w:firstLineChars="200"/>
        <w:rPr>
          <w:rFonts w:hint="eastAsia"/>
          <w:color w:val="auto"/>
          <w:highlight w:val="none"/>
          <w:lang w:val="en-US" w:eastAsia="zh-CN"/>
        </w:rPr>
      </w:pPr>
      <w:bookmarkStart w:id="117" w:name="_Toc32610"/>
      <w:r>
        <w:rPr>
          <w:rFonts w:hint="eastAsia"/>
          <w:color w:val="auto"/>
          <w:highlight w:val="none"/>
          <w:lang w:val="en-US" w:eastAsia="zh-CN"/>
        </w:rPr>
        <w:t>持续改善和美宜居环境</w:t>
      </w:r>
      <w:bookmarkEnd w:id="115"/>
      <w:bookmarkEnd w:id="116"/>
      <w:bookmarkEnd w:id="117"/>
    </w:p>
    <w:p w14:paraId="2BB20B3A">
      <w:pPr>
        <w:bidi w:val="0"/>
        <w:rPr>
          <w:rFonts w:hint="eastAsia"/>
          <w:color w:val="auto"/>
          <w:highlight w:val="none"/>
          <w:lang w:val="en-US" w:eastAsia="zh-CN"/>
        </w:rPr>
      </w:pPr>
      <w:r>
        <w:rPr>
          <w:rFonts w:hint="eastAsia"/>
          <w:color w:val="auto"/>
          <w:highlight w:val="none"/>
          <w:lang w:val="en-US" w:eastAsia="zh-CN"/>
        </w:rPr>
        <w:t>深入践行“绿水青山就是金山银山”理念，将改善农村人居环境作为提升农民幸福感、支持绿色发展和展现首都形象的重要抓手。聚焦延庆山区特点与生态发展诉求，以更高标准、更可持续、更重长效为原则，纵深推进“厕所革命”、污水垃圾治理、村容村貌提升等工作，打造基础设施完善、环境整洁优美、生态良性循环、文化特色彰显的高品质乡村人居环境样板。</w:t>
      </w:r>
    </w:p>
    <w:p w14:paraId="70AA59E7">
      <w:pPr>
        <w:bidi w:val="0"/>
        <w:rPr>
          <w:rFonts w:hint="eastAsia"/>
          <w:color w:val="auto"/>
          <w:highlight w:val="none"/>
          <w:lang w:val="en-US" w:eastAsia="zh-CN"/>
        </w:rPr>
      </w:pPr>
      <w:r>
        <w:rPr>
          <w:rFonts w:hint="eastAsia"/>
          <w:color w:val="auto"/>
          <w:highlight w:val="none"/>
          <w:lang w:val="en-US" w:eastAsia="zh-CN"/>
        </w:rPr>
        <w:t>1.高标准深化农村厕所革命（待定，以市级指标为准）。符合实际，选择推广简单实用、成本适中、技术成熟、群众乐于接受的改厕模式、技术和产品。鼓励引导农户结合新建房屋、村庄风貌提升等自主改厕。新改建户厕应入户进院，积极推动户厕入室进屋。新建改建水冲式户厕要积极推行节水型、少水型设施设备。到2030年，全区农村卫生厕所普及率99%以上，粪污资源化利用率显著提升。</w:t>
      </w:r>
    </w:p>
    <w:p w14:paraId="12D1338E">
      <w:pPr>
        <w:bidi w:val="0"/>
        <w:rPr>
          <w:rFonts w:hint="eastAsia"/>
          <w:color w:val="auto"/>
          <w:highlight w:val="none"/>
          <w:lang w:val="en-US" w:eastAsia="zh-CN"/>
        </w:rPr>
      </w:pPr>
      <w:r>
        <w:rPr>
          <w:rFonts w:hint="eastAsia"/>
          <w:color w:val="auto"/>
          <w:highlight w:val="none"/>
          <w:lang w:val="en-US" w:eastAsia="zh-CN"/>
        </w:rPr>
        <w:t>2.系统性攻坚生活垃圾治理。完善收运处置体系，优化“户分类、村收集、镇中转、区转运、异地处理”体系运转效率。提升山区垃圾转运频率与设施覆盖率，确保生活垃圾日产日清。强化对废旧电池等有害垃圾专项收集、安全暂存，集中进行无害化处置。</w:t>
      </w:r>
    </w:p>
    <w:p w14:paraId="22153AE0">
      <w:pPr>
        <w:bidi w:val="0"/>
        <w:rPr>
          <w:rFonts w:hint="eastAsia"/>
          <w:color w:val="auto"/>
          <w:highlight w:val="none"/>
          <w:lang w:val="en-US" w:eastAsia="zh-CN"/>
        </w:rPr>
      </w:pPr>
      <w:r>
        <w:rPr>
          <w:rFonts w:hint="eastAsia"/>
          <w:color w:val="auto"/>
          <w:highlight w:val="none"/>
          <w:lang w:val="en-US" w:eastAsia="zh-CN"/>
        </w:rPr>
        <w:t>3.高品质提升村容村貌与生态人文。优化村庄整体风貌与人居环境，构建从宏观到微观的系统性风貌管控与塑造体系。以道路为骨架，系统推进村庄绿化美化，见缝插绿、拆违补绿，将长城文化、冬奥元素、乡土植物融入村庄绿化美化设计，推动文化元素的现代表达与创新转译，</w:t>
      </w:r>
      <w:r>
        <w:rPr>
          <w:color w:val="auto"/>
          <w:highlight w:val="none"/>
        </w:rPr>
        <w:commentReference w:id="2"/>
      </w:r>
      <w:r>
        <w:rPr>
          <w:rFonts w:hint="eastAsia"/>
          <w:color w:val="auto"/>
          <w:highlight w:val="none"/>
          <w:lang w:val="en-US" w:eastAsia="zh-CN"/>
        </w:rPr>
        <w:t>打造“一村一韵”特色景观节点和小微公园。提升“四旁”（村旁、路旁、水旁、宅旁）绿化品质和生态景观功能。深化拓展“村庄清洁行动”，建立“包村负责、网格管理、积分奖励”长效机制。重点整治宅前屋后乱堆乱放、私搭乱建，实现村庄全域干净、整洁、有序。保护利用古树名木、历史建筑，留住乡愁记忆。引导村民自主参与房前屋后绿化美化、发展庭院经济、使用乡土建材和清洁能源。</w:t>
      </w:r>
    </w:p>
    <w:p w14:paraId="6D196DFB">
      <w:pPr>
        <w:bidi w:val="0"/>
        <w:rPr>
          <w:rFonts w:hint="eastAsia" w:ascii="仿宋_GB2312" w:hAnsi="仿宋_GB2312" w:eastAsia="仿宋_GB2312" w:cs="仿宋_GB2312"/>
          <w:color w:val="auto"/>
          <w:kern w:val="2"/>
          <w:szCs w:val="32"/>
          <w:highlight w:val="none"/>
          <w:lang w:val="en-US" w:eastAsia="zh-CN" w:bidi="ar-SA"/>
        </w:rPr>
      </w:pPr>
      <w:r>
        <w:rPr>
          <w:rFonts w:hint="eastAsia"/>
          <w:color w:val="auto"/>
          <w:highlight w:val="none"/>
          <w:lang w:val="en-US" w:eastAsia="zh-CN"/>
        </w:rPr>
        <w:t>到2030年，农村生活垃圾分类处理体系高效运行，生活垃圾回收利用率达到45%以上，全区清洁美丽庭院比例大幅提升，建成一批在生态与文化融合方面具有全国示范效应的标杆村落。</w:t>
      </w:r>
    </w:p>
    <w:p w14:paraId="7EB6FF7E">
      <w:pPr>
        <w:keepNext w:val="0"/>
        <w:keepLines w:val="0"/>
        <w:pageBreakBefore w:val="0"/>
        <w:widowControl/>
        <w:kinsoku/>
        <w:overflowPunct/>
        <w:topLinePunct w:val="0"/>
        <w:autoSpaceDE/>
        <w:autoSpaceDN/>
        <w:bidi w:val="0"/>
        <w:adjustRightInd/>
        <w:snapToGrid/>
        <w:spacing w:beforeAutospacing="0" w:afterAutospacing="0" w:line="560" w:lineRule="exact"/>
        <w:ind w:left="0" w:leftChars="0"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9"/>
      </w:tblGrid>
      <w:tr w14:paraId="2EEF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9" w:type="dxa"/>
          </w:tcPr>
          <w:p w14:paraId="2932A321">
            <w:pPr>
              <w:pageBreakBefore w:val="0"/>
              <w:widowControl/>
              <w:kinsoku/>
              <w:overflowPunct/>
              <w:topLinePunct w:val="0"/>
              <w:autoSpaceDE/>
              <w:autoSpaceDN/>
              <w:bidi w:val="0"/>
              <w:adjustRightInd/>
              <w:snapToGrid/>
              <w:spacing w:beforeAutospacing="0" w:afterAutospacing="0"/>
              <w:ind w:left="0" w:leftChars="0" w:firstLine="0" w:firstLineChars="0"/>
              <w:jc w:val="center"/>
              <w:textAlignment w:val="auto"/>
              <w:rPr>
                <w:rFonts w:hint="default"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专栏</w:t>
            </w:r>
            <w:r>
              <w:rPr>
                <w:rFonts w:hint="eastAsia" w:ascii="仿宋_GB2312" w:hAnsi="仿宋_GB2312" w:cs="仿宋_GB2312"/>
                <w:b/>
                <w:bCs/>
                <w:color w:val="auto"/>
                <w:sz w:val="30"/>
                <w:szCs w:val="30"/>
                <w:highlight w:val="none"/>
                <w:lang w:val="en-US" w:eastAsia="zh-CN"/>
              </w:rPr>
              <w:t>十七</w:t>
            </w:r>
          </w:p>
          <w:p w14:paraId="1F74469D">
            <w:pPr>
              <w:pageBreakBefore w:val="0"/>
              <w:widowControl/>
              <w:kinsoku/>
              <w:overflowPunct/>
              <w:topLinePunct w:val="0"/>
              <w:autoSpaceDE/>
              <w:autoSpaceDN/>
              <w:bidi w:val="0"/>
              <w:adjustRightInd/>
              <w:snapToGrid/>
              <w:spacing w:beforeAutospacing="0" w:afterAutospacing="0"/>
              <w:ind w:left="0" w:leftChars="0" w:firstLine="0" w:firstLineChars="0"/>
              <w:jc w:val="center"/>
              <w:textAlignment w:val="auto"/>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花园村庄、零碳乡村及无废乡村建设</w:t>
            </w:r>
          </w:p>
          <w:p w14:paraId="3ECA7BB2">
            <w:pPr>
              <w:pageBreakBefore w:val="0"/>
              <w:widowControl/>
              <w:numPr>
                <w:ilvl w:val="-1"/>
                <w:numId w:val="0"/>
              </w:numPr>
              <w:kinsoku/>
              <w:overflowPunct/>
              <w:topLinePunct w:val="0"/>
              <w:autoSpaceDE/>
              <w:autoSpaceDN/>
              <w:bidi w:val="0"/>
              <w:adjustRightInd/>
              <w:snapToGrid/>
              <w:spacing w:beforeAutospacing="0" w:afterAutospacing="0" w:line="560" w:lineRule="exact"/>
              <w:ind w:left="0" w:leftChars="0" w:firstLine="640" w:firstLineChars="200"/>
              <w:jc w:val="left"/>
              <w:textAlignment w:val="auto"/>
              <w:rPr>
                <w:color w:val="auto"/>
                <w:highlight w:val="none"/>
              </w:rPr>
            </w:pPr>
            <w:r>
              <w:rPr>
                <w:rFonts w:hint="eastAsia" w:ascii="仿宋_GB2312" w:hAnsi="仿宋_GB2312" w:eastAsia="仿宋_GB2312" w:cs="仿宋_GB2312"/>
                <w:color w:val="auto"/>
                <w:sz w:val="32"/>
                <w:szCs w:val="32"/>
                <w:highlight w:val="none"/>
              </w:rPr>
              <w:t>根据</w:t>
            </w:r>
            <w:r>
              <w:rPr>
                <w:rFonts w:hint="eastAsia" w:ascii="仿宋_GB2312" w:hAnsi="仿宋_GB2312" w:eastAsia="仿宋_GB2312" w:cs="仿宋_GB2312"/>
                <w:color w:val="auto"/>
                <w:sz w:val="32"/>
                <w:szCs w:val="32"/>
                <w:highlight w:val="none"/>
                <w:lang w:eastAsia="zh-CN"/>
              </w:rPr>
              <w:t>北京市</w:t>
            </w:r>
            <w:r>
              <w:rPr>
                <w:rFonts w:hint="eastAsia" w:ascii="仿宋_GB2312" w:hAnsi="仿宋_GB2312" w:eastAsia="仿宋_GB2312" w:cs="仿宋_GB2312"/>
                <w:color w:val="auto"/>
                <w:sz w:val="32"/>
                <w:szCs w:val="32"/>
                <w:highlight w:val="none"/>
              </w:rPr>
              <w:t>园林</w:t>
            </w:r>
            <w:r>
              <w:rPr>
                <w:rFonts w:hint="eastAsia" w:ascii="仿宋_GB2312" w:hAnsi="仿宋_GB2312" w:eastAsia="仿宋_GB2312" w:cs="仿宋_GB2312"/>
                <w:color w:val="auto"/>
                <w:sz w:val="32"/>
                <w:szCs w:val="32"/>
                <w:highlight w:val="none"/>
                <w:lang w:eastAsia="zh-CN"/>
              </w:rPr>
              <w:t>绿化</w:t>
            </w:r>
            <w:r>
              <w:rPr>
                <w:rFonts w:hint="eastAsia" w:ascii="仿宋_GB2312" w:hAnsi="仿宋_GB2312" w:eastAsia="仿宋_GB2312" w:cs="仿宋_GB2312"/>
                <w:color w:val="auto"/>
                <w:sz w:val="32"/>
                <w:szCs w:val="32"/>
                <w:highlight w:val="none"/>
              </w:rPr>
              <w:t>局发布的《</w:t>
            </w:r>
            <w:r>
              <w:rPr>
                <w:rFonts w:hint="eastAsia" w:ascii="仿宋_GB2312" w:hAnsi="仿宋_GB2312" w:eastAsia="仿宋_GB2312" w:cs="仿宋_GB2312"/>
                <w:color w:val="auto"/>
                <w:sz w:val="32"/>
                <w:szCs w:val="32"/>
                <w:highlight w:val="none"/>
                <w:lang w:eastAsia="zh-CN"/>
              </w:rPr>
              <w:t>北京</w:t>
            </w:r>
            <w:r>
              <w:rPr>
                <w:rFonts w:hint="eastAsia" w:ascii="仿宋_GB2312" w:hAnsi="仿宋_GB2312" w:eastAsia="仿宋_GB2312" w:cs="仿宋_GB2312"/>
                <w:color w:val="auto"/>
                <w:sz w:val="32"/>
                <w:szCs w:val="32"/>
                <w:highlight w:val="none"/>
              </w:rPr>
              <w:t>花园</w:t>
            </w:r>
            <w:r>
              <w:rPr>
                <w:rFonts w:hint="eastAsia" w:ascii="仿宋_GB2312" w:hAnsi="仿宋_GB2312" w:eastAsia="仿宋_GB2312" w:cs="仿宋_GB2312"/>
                <w:color w:val="auto"/>
                <w:sz w:val="32"/>
                <w:szCs w:val="32"/>
                <w:highlight w:val="none"/>
                <w:lang w:eastAsia="zh-CN"/>
              </w:rPr>
              <w:t>乡村</w:t>
            </w:r>
            <w:r>
              <w:rPr>
                <w:rFonts w:hint="eastAsia" w:ascii="仿宋_GB2312" w:hAnsi="仿宋_GB2312" w:eastAsia="仿宋_GB2312" w:cs="仿宋_GB2312"/>
                <w:color w:val="auto"/>
                <w:sz w:val="32"/>
                <w:szCs w:val="32"/>
                <w:highlight w:val="none"/>
              </w:rPr>
              <w:t>建设导则（试行）》，统筹市区两级乡村资金，并引导经营主体高标准提升乡村环境和建设水平，力争在2030年底，全区花园村庄</w:t>
            </w:r>
            <w:r>
              <w:rPr>
                <w:rFonts w:hint="eastAsia" w:ascii="仿宋_GB2312" w:hAnsi="仿宋_GB2312" w:cs="仿宋_GB2312"/>
                <w:color w:val="auto"/>
                <w:sz w:val="32"/>
                <w:szCs w:val="32"/>
                <w:highlight w:val="none"/>
                <w:lang w:val="en-US" w:eastAsia="zh-CN"/>
              </w:rPr>
              <w:t>水平显著提升</w:t>
            </w:r>
            <w:r>
              <w:rPr>
                <w:rFonts w:hint="eastAsia" w:ascii="仿宋_GB2312" w:hAnsi="仿宋_GB2312" w:eastAsia="仿宋_GB2312" w:cs="仿宋_GB2312"/>
                <w:color w:val="auto"/>
                <w:sz w:val="32"/>
                <w:szCs w:val="32"/>
                <w:highlight w:val="none"/>
              </w:rPr>
              <w:t>。</w:t>
            </w:r>
            <w:r>
              <w:rPr>
                <w:rFonts w:hint="eastAsia" w:ascii="仿宋_GB2312" w:hAnsi="仿宋_GB2312" w:cs="仿宋_GB2312"/>
                <w:color w:val="auto"/>
                <w:sz w:val="32"/>
                <w:szCs w:val="32"/>
                <w:highlight w:val="none"/>
                <w:lang w:val="en-US" w:eastAsia="zh-CN"/>
              </w:rPr>
              <w:t>积极推进</w:t>
            </w:r>
            <w:r>
              <w:rPr>
                <w:rFonts w:hint="eastAsia" w:ascii="仿宋_GB2312" w:hAnsi="仿宋_GB2312" w:eastAsia="仿宋_GB2312" w:cs="仿宋_GB2312"/>
                <w:color w:val="auto"/>
                <w:sz w:val="32"/>
                <w:szCs w:val="32"/>
                <w:highlight w:val="none"/>
              </w:rPr>
              <w:t>零碳乡村和无废乡村试点</w:t>
            </w:r>
            <w:r>
              <w:rPr>
                <w:rFonts w:hint="eastAsia" w:ascii="仿宋_GB2312" w:hAnsi="仿宋_GB2312" w:cs="仿宋_GB2312"/>
                <w:color w:val="auto"/>
                <w:sz w:val="32"/>
                <w:szCs w:val="32"/>
                <w:highlight w:val="none"/>
                <w:lang w:val="en-US" w:eastAsia="zh-CN"/>
              </w:rPr>
              <w:t>建设</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各乡镇逐步推广四海镇“生态积分制”模式。</w:t>
            </w:r>
          </w:p>
        </w:tc>
      </w:tr>
    </w:tbl>
    <w:p w14:paraId="3A1D9730">
      <w:pPr>
        <w:pStyle w:val="13"/>
        <w:keepNext w:val="0"/>
        <w:keepLines w:val="0"/>
        <w:pageBreakBefore w:val="0"/>
        <w:widowControl/>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2"/>
      </w:tblGrid>
      <w:tr w14:paraId="042A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2" w:type="dxa"/>
          </w:tcPr>
          <w:p w14:paraId="509E0E33">
            <w:pPr>
              <w:widowControl/>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专栏十</w:t>
            </w:r>
            <w:r>
              <w:rPr>
                <w:rFonts w:hint="eastAsia" w:ascii="仿宋_GB2312" w:hAnsi="仿宋_GB2312" w:eastAsia="仿宋_GB2312" w:cs="仿宋_GB2312"/>
                <w:b/>
                <w:bCs/>
                <w:color w:val="auto"/>
                <w:sz w:val="30"/>
                <w:szCs w:val="30"/>
                <w:highlight w:val="none"/>
                <w:lang w:val="en-US" w:eastAsia="zh-CN"/>
              </w:rPr>
              <w:t>八</w:t>
            </w:r>
          </w:p>
          <w:p w14:paraId="299C5762">
            <w:pPr>
              <w:pStyle w:val="6"/>
              <w:ind w:left="0" w:leftChars="0" w:firstLine="0" w:firstLineChars="0"/>
              <w:jc w:val="center"/>
              <w:rPr>
                <w:color w:val="auto"/>
                <w:highlight w:val="none"/>
              </w:rPr>
            </w:pPr>
            <w:r>
              <w:rPr>
                <w:rFonts w:hint="eastAsia" w:ascii="仿宋_GB2312" w:hAnsi="仿宋_GB2312" w:eastAsia="仿宋_GB2312" w:cs="仿宋_GB2312"/>
                <w:b/>
                <w:bCs/>
                <w:color w:val="auto"/>
                <w:sz w:val="30"/>
                <w:szCs w:val="30"/>
                <w:highlight w:val="none"/>
              </w:rPr>
              <w:t>扎实推进“百村示范、千村振兴”工程</w:t>
            </w:r>
          </w:p>
          <w:p w14:paraId="0DE038EB">
            <w:pPr>
              <w:widowControl/>
              <w:numPr>
                <w:ilvl w:val="-1"/>
                <w:numId w:val="0"/>
              </w:numPr>
              <w:spacing w:line="560" w:lineRule="exact"/>
              <w:ind w:firstLine="640" w:firstLineChars="200"/>
              <w:jc w:val="left"/>
              <w:rPr>
                <w:rFonts w:hint="eastAsia" w:asciiTheme="minorHAnsi" w:hAnsiTheme="minorHAnsi" w:eastAsiaTheme="minorEastAsia" w:cstheme="minorBidi"/>
                <w:strike w:val="0"/>
                <w:color w:val="auto"/>
                <w:sz w:val="21"/>
                <w:szCs w:val="24"/>
                <w:highlight w:val="none"/>
              </w:rPr>
            </w:pPr>
            <w:r>
              <w:rPr>
                <w:rFonts w:hint="eastAsia" w:ascii="仿宋_GB2312" w:hAnsi="仿宋_GB2312" w:eastAsia="仿宋_GB2312" w:cs="仿宋_GB2312"/>
                <w:color w:val="auto"/>
                <w:sz w:val="32"/>
                <w:szCs w:val="32"/>
                <w:highlight w:val="none"/>
                <w:lang w:eastAsia="zh-CN"/>
              </w:rPr>
              <w:t>延庆</w:t>
            </w:r>
            <w:r>
              <w:rPr>
                <w:rFonts w:hint="eastAsia" w:ascii="仿宋_GB2312" w:hAnsi="仿宋_GB2312" w:eastAsia="仿宋_GB2312" w:cs="仿宋_GB2312"/>
                <w:color w:val="auto"/>
                <w:sz w:val="32"/>
                <w:szCs w:val="32"/>
                <w:highlight w:val="none"/>
              </w:rPr>
              <w:t>区重点围绕长城文化风景带</w:t>
            </w:r>
            <w:r>
              <w:rPr>
                <w:rFonts w:hint="eastAsia" w:ascii="仿宋_GB2312" w:hAnsi="仿宋_GB2312" w:cs="仿宋_GB2312"/>
                <w:color w:val="auto"/>
                <w:sz w:val="32"/>
                <w:szCs w:val="32"/>
                <w:highlight w:val="none"/>
                <w:lang w:eastAsia="zh-CN"/>
              </w:rPr>
              <w:t>、</w:t>
            </w:r>
            <w:r>
              <w:rPr>
                <w:rFonts w:hint="eastAsia" w:ascii="仿宋_GB2312" w:hAnsi="仿宋_GB2312" w:cs="仿宋_GB2312"/>
                <w:color w:val="auto"/>
                <w:sz w:val="32"/>
                <w:szCs w:val="32"/>
                <w:highlight w:val="none"/>
                <w:lang w:val="en-US" w:eastAsia="zh-CN"/>
              </w:rPr>
              <w:t>南山环线、延龙路、香龙路产业带</w:t>
            </w:r>
            <w:r>
              <w:rPr>
                <w:rFonts w:hint="eastAsia" w:ascii="仿宋_GB2312" w:hAnsi="仿宋_GB2312" w:eastAsia="仿宋_GB2312" w:cs="仿宋_GB2312"/>
                <w:color w:val="auto"/>
                <w:sz w:val="32"/>
                <w:szCs w:val="32"/>
                <w:highlight w:val="none"/>
              </w:rPr>
              <w:t>，以行政村为主体单位，抓点连线成片，压茬推进，动态开展“百村示范、千村振兴”乡村振兴示范村创建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将提升乡村风貌与发展产业、富裕农民紧密结合，实现从整治村庄到经营村庄、推动产村融合发展的蝶变。</w:t>
            </w:r>
          </w:p>
          <w:p w14:paraId="296C3F32">
            <w:pPr>
              <w:widowControl/>
              <w:numPr>
                <w:ilvl w:val="-1"/>
                <w:numId w:val="0"/>
              </w:numPr>
              <w:spacing w:line="560" w:lineRule="exact"/>
              <w:ind w:firstLine="640" w:firstLineChars="200"/>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推进示范片区组团式发展：立足村庄资源禀赋精准定位特色，通过“一村一主题、多村成链条”的组团式发展模式，推动相邻村庄功能互补、产业联动。如井庄片区以柳沟村乡宴、窑湾村民宿为双核，联动周边村形成“餐饮-住宿-户外运动”产业链；八达岭片区以石峡村为中心，串联林果园、文化基地打造长城休闲产业集群</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大榆树片区打造“特色种植+农事体验+文创研学”产业链，形成集采摘、观赏、农耕研学于一体的农文旅融合集群。</w:t>
            </w:r>
            <w:r>
              <w:rPr>
                <w:rFonts w:hint="eastAsia" w:ascii="仿宋_GB2312" w:hAnsi="仿宋_GB2312" w:cs="仿宋_GB2312"/>
                <w:color w:val="auto"/>
                <w:sz w:val="32"/>
                <w:szCs w:val="32"/>
                <w:highlight w:val="none"/>
                <w:lang w:val="en-US" w:eastAsia="zh-CN"/>
              </w:rPr>
              <w:t>（见附图10）</w:t>
            </w:r>
          </w:p>
        </w:tc>
      </w:tr>
    </w:tbl>
    <w:p w14:paraId="07240F2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outlineLvl w:val="1"/>
        <w:rPr>
          <w:rFonts w:hint="eastAsia" w:ascii="楷体_GB2312" w:hAnsi="楷体_GB2312" w:eastAsia="楷体_GB2312" w:cs="楷体_GB2312"/>
          <w:b w:val="0"/>
          <w:bCs/>
          <w:color w:val="auto"/>
          <w:sz w:val="32"/>
          <w:szCs w:val="32"/>
          <w:highlight w:val="none"/>
          <w:lang w:val="en-US" w:eastAsia="zh-CN"/>
        </w:rPr>
      </w:pPr>
      <w:bookmarkStart w:id="118" w:name="_Toc32244"/>
      <w:bookmarkStart w:id="119" w:name="_Toc25183"/>
    </w:p>
    <w:p w14:paraId="410C6CA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outlineLvl w:val="1"/>
        <w:rPr>
          <w:rFonts w:hint="eastAsia" w:ascii="黑体" w:hAnsi="黑体" w:eastAsia="黑体" w:cs="黑体"/>
          <w:b w:val="0"/>
          <w:bCs/>
          <w:color w:val="auto"/>
          <w:sz w:val="32"/>
          <w:szCs w:val="32"/>
          <w:highlight w:val="none"/>
          <w:lang w:val="en-US" w:eastAsia="zh-CN"/>
        </w:rPr>
      </w:pPr>
      <w:bookmarkStart w:id="120" w:name="_Toc20638"/>
      <w:r>
        <w:rPr>
          <w:rFonts w:hint="eastAsia" w:ascii="Arial" w:hAnsi="Arial" w:eastAsia="楷体_GB2312" w:cstheme="minorBidi"/>
          <w:color w:val="auto"/>
          <w:kern w:val="2"/>
          <w:sz w:val="32"/>
          <w:szCs w:val="32"/>
          <w:highlight w:val="none"/>
          <w:lang w:val="en-US" w:eastAsia="zh-CN" w:bidi="ar-SA"/>
        </w:rPr>
        <w:t>（五）稳步提升基本公共服务普惠共享</w:t>
      </w:r>
      <w:r>
        <w:rPr>
          <w:rStyle w:val="21"/>
          <w:rFonts w:hint="eastAsia"/>
          <w:color w:val="auto"/>
          <w:highlight w:val="none"/>
          <w:lang w:val="en-US" w:eastAsia="zh-CN"/>
        </w:rPr>
        <w:t>​</w:t>
      </w:r>
      <w:r>
        <w:rPr>
          <w:rFonts w:hint="eastAsia" w:ascii="黑体" w:hAnsi="黑体" w:eastAsia="黑体" w:cs="黑体"/>
          <w:b w:val="0"/>
          <w:bCs/>
          <w:color w:val="auto"/>
          <w:sz w:val="32"/>
          <w:szCs w:val="32"/>
          <w:highlight w:val="none"/>
          <w:lang w:val="en-US" w:eastAsia="zh-CN"/>
        </w:rPr>
        <w:t>​</w:t>
      </w:r>
      <w:bookmarkEnd w:id="118"/>
      <w:bookmarkEnd w:id="119"/>
      <w:bookmarkEnd w:id="120"/>
    </w:p>
    <w:p w14:paraId="0632996C">
      <w:pPr>
        <w:bidi w:val="0"/>
        <w:rPr>
          <w:rFonts w:hint="eastAsia"/>
          <w:color w:val="auto"/>
          <w:highlight w:val="none"/>
          <w:lang w:val="en-US" w:eastAsia="zh-CN"/>
        </w:rPr>
      </w:pPr>
      <w:r>
        <w:rPr>
          <w:rFonts w:hint="eastAsia"/>
          <w:color w:val="auto"/>
          <w:highlight w:val="none"/>
          <w:lang w:val="en-US" w:eastAsia="zh-CN"/>
        </w:rPr>
        <w:t>立足延庆山区特点与乡村人口结构变化，坚持“保基本、优布局、提质量、促公平”原则，以缩小城乡公共服务差距、增强人民群众获得感为目标，聚力推动教育、医疗、养老、社保等基本公共服务从“有”向“优”跃升，形成布局合理、供给有效、便捷可及、富有韧性的现代乡村公共服务体系，为延庆农业农村现代化注入民生温度与和谐底色。</w:t>
      </w:r>
    </w:p>
    <w:p w14:paraId="6379584A">
      <w:pPr>
        <w:bidi w:val="0"/>
        <w:rPr>
          <w:rFonts w:hint="eastAsia"/>
          <w:color w:val="auto"/>
          <w:highlight w:val="none"/>
          <w:lang w:val="en-US" w:eastAsia="zh-CN"/>
        </w:rPr>
      </w:pPr>
      <w:r>
        <w:rPr>
          <w:rFonts w:hint="eastAsia"/>
          <w:color w:val="auto"/>
          <w:highlight w:val="none"/>
          <w:lang w:val="en-US" w:eastAsia="zh-CN"/>
        </w:rPr>
        <w:t>1.构建优质均衡、富有特色的乡村教育体系。建成一批乡村新优质学校，增强乡村教育的影响力和吸引力。优化布局与资源配置，科学研判学龄人口变化趋势，稳妥推进乡村小规模学校优化整合，加强保留的乡村小规模学校标准化建设和设施升级（重点提升冬季采暖、网络教学等条件）。在人口集聚中心镇着力建设高质量寄宿制学校。推进“城乡手拉手”、“名校办分校”模式，促进城区优质教育资源向乡镇有效辐射。加强乡村教师培养培训，提高山区教师专业素质。提升乡村幼儿园办园质量，确保普惠性资源覆盖。完善特殊教育资源教室建设，保障特殊儿童“应入尽入”。</w:t>
      </w:r>
    </w:p>
    <w:p w14:paraId="7188A566">
      <w:pPr>
        <w:bidi w:val="0"/>
        <w:rPr>
          <w:rFonts w:hint="eastAsia"/>
          <w:color w:val="auto"/>
          <w:highlight w:val="none"/>
          <w:lang w:val="en-US" w:eastAsia="zh-CN"/>
        </w:rPr>
      </w:pPr>
      <w:r>
        <w:rPr>
          <w:rFonts w:hint="eastAsia"/>
          <w:color w:val="auto"/>
          <w:highlight w:val="none"/>
          <w:lang w:val="en-US" w:eastAsia="zh-CN"/>
        </w:rPr>
        <w:t>2.打造便捷高效、韧性智慧的乡村健康服务网络。夯实基层医疗卫生根基，持续优化乡镇卫生院（社区服务中心）和村卫生室（站）布局与功能，重点提升冬奥赛区、边远山区急救转运与基本诊疗能力。全面推进紧密型县域医共体建设，实现影像诊断、检验检测、远程会诊、药品配送、人才培训“五个一体化”。强化公共卫生与应急能力，完善区、镇、村三级公共卫生服务体系，强化基层传染病监测预警哨点作用。推广家庭医生签约服务提质增效，重点人群签约率达90%以上。织密医疗保障安全网，严格落实基本医保、大病保险、医疗救助三重制度保障功能，优化农村低收入人口参保资助政策和“一站式”结算服务。提升“十五分钟健身圈”设施品质，推进场地智慧化、适老化、适儿化升级建设。</w:t>
      </w:r>
    </w:p>
    <w:p w14:paraId="280ED2C5">
      <w:pPr>
        <w:bidi w:val="0"/>
        <w:rPr>
          <w:rFonts w:hint="eastAsia"/>
          <w:color w:val="auto"/>
          <w:highlight w:val="none"/>
          <w:lang w:val="en-US" w:eastAsia="zh-CN"/>
        </w:rPr>
      </w:pPr>
      <w:r>
        <w:rPr>
          <w:rFonts w:hint="eastAsia"/>
          <w:color w:val="auto"/>
          <w:highlight w:val="none"/>
          <w:lang w:val="en-US" w:eastAsia="zh-CN"/>
        </w:rPr>
        <w:t>3.构建多层次、可持续的农村“一老一小”服务体系。进一步完善以乡镇区域养老服务中心为枢纽，养老服务驿站、邻里互助点为延伸的养老服务网络。巩固乡村居家养老的基础保障能力，推广家庭照护床位、培育专业化护理专员。聚焦“老老人”急难愁盼问题，打造医养结合服务新模式，推进“两床融合”、“两院融合”、“两站融合”，做实资源整合、服务衔接。大力推广“中央厨房+助餐网点”“餐桌+小村”“餐桌+志愿者”等多种养老助餐运营模式，推动农村地区养老助餐社会化、全覆盖、可持续发展。以公办园为主要渠道，根据实际需求发展农村普惠托育服务，探索“村居托幼点”“社区驿站+托位”“职工子女托管”等多种模式，鼓励有条件的村集体、民宿集群、农业园区提供季节性、灵活式托育服务。加强托育从业人员技能培训和安全监管。健全社会保障与关爱服务，落实城乡居民基本养老保险待遇确定和基础养老金正常调整机制，确保按时足额发放。完善农村留守儿童、妇女、老年人及残疾人动态信息库和关爱服务体系，精准落实社会救助、福利补贴等政策。</w:t>
      </w:r>
    </w:p>
    <w:p w14:paraId="42E1D0FC">
      <w:pPr>
        <w:bidi w:val="0"/>
        <w:rPr>
          <w:rFonts w:hint="eastAsia" w:ascii="仿宋_GB2312" w:hAnsi="仿宋_GB2312" w:eastAsia="仿宋_GB2312" w:cs="仿宋_GB2312"/>
          <w:color w:val="auto"/>
          <w:kern w:val="2"/>
          <w:szCs w:val="32"/>
          <w:highlight w:val="none"/>
          <w:lang w:val="en-US" w:eastAsia="zh-CN" w:bidi="ar-SA"/>
        </w:rPr>
      </w:pPr>
      <w:r>
        <w:rPr>
          <w:rFonts w:hint="eastAsia"/>
          <w:color w:val="auto"/>
          <w:highlight w:val="none"/>
          <w:lang w:val="en-US" w:eastAsia="zh-CN"/>
        </w:rPr>
        <w:t>4.创新机制赋能，激发乡村公共服务新活力。推动服务资源智慧下沉，依托村级服务站提供代办辅导。推广远程教育、互联网诊疗、在线健康咨询等数字化应用场景进村入户。引导社会力量多元参与，制定鼓励政策，引导企业、社会组织、志愿者团体参与乡村公共服务（如“医疗专家巡诊日”“文化科技下乡”）。探索乡村公共服务设施共建共管共享机制。强化财政投入与绩效考核，建立与乡村振兴战略相匹配的公共财政优先保障和稳定增长机制。健全以服务人口、质量效能、群众满意度为核心的评价体系，压实部门与属地责任。</w:t>
      </w:r>
    </w:p>
    <w:p w14:paraId="3D33728F">
      <w:pPr>
        <w:pStyle w:val="4"/>
        <w:bidi w:val="0"/>
        <w:rPr>
          <w:rFonts w:hint="eastAsia"/>
          <w:color w:val="auto"/>
          <w:highlight w:val="none"/>
          <w:lang w:val="en-US" w:eastAsia="zh-CN"/>
        </w:rPr>
      </w:pPr>
      <w:bookmarkStart w:id="121" w:name="_Toc4556"/>
      <w:bookmarkStart w:id="122" w:name="_Toc2126"/>
      <w:bookmarkStart w:id="123" w:name="_Toc23267"/>
      <w:r>
        <w:rPr>
          <w:rFonts w:hint="eastAsia"/>
          <w:color w:val="auto"/>
          <w:highlight w:val="none"/>
          <w:lang w:val="en-US" w:eastAsia="zh-CN"/>
        </w:rPr>
        <w:t>（六）完善农村社区服务</w:t>
      </w:r>
      <w:bookmarkEnd w:id="121"/>
      <w:bookmarkEnd w:id="122"/>
      <w:bookmarkEnd w:id="123"/>
    </w:p>
    <w:p w14:paraId="2E51B9E6">
      <w:pPr>
        <w:bidi w:val="0"/>
        <w:rPr>
          <w:rFonts w:hint="eastAsia"/>
          <w:color w:val="auto"/>
          <w:highlight w:val="none"/>
          <w:lang w:val="en-US" w:eastAsia="zh-CN"/>
        </w:rPr>
      </w:pPr>
      <w:r>
        <w:rPr>
          <w:rFonts w:hint="eastAsia"/>
          <w:color w:val="auto"/>
          <w:highlight w:val="none"/>
          <w:lang w:val="en-US" w:eastAsia="zh-CN"/>
        </w:rPr>
        <w:t>立足延庆山区村庄分散性、人口流动性（旅游淡旺季）与服务可及性挑战，坚持“因地制宜、存量优先、共享集成、多元协同”原则，构建以村级组织活动场所为基础、辐射自然村落的“集约高效、功能复合、智慧友好”的农村社区综合服务设施体系，打通服务村民“最后一米”，构筑功能集成、便捷共享的乡村生活新空间，提升乡村生活品质和社会治理效能。</w:t>
      </w:r>
    </w:p>
    <w:p w14:paraId="0796D312">
      <w:pPr>
        <w:bidi w:val="0"/>
        <w:rPr>
          <w:color w:val="auto"/>
          <w:highlight w:val="none"/>
        </w:rPr>
      </w:pPr>
      <w:r>
        <w:rPr>
          <w:rFonts w:hint="eastAsia"/>
          <w:color w:val="auto"/>
          <w:highlight w:val="none"/>
          <w:lang w:val="en-US" w:eastAsia="zh-CN"/>
        </w:rPr>
        <w:t>1.优化空间布局与载体盘活，破解山区服务半径难题。构建“中心村枢纽+自然村节点”分级体系，以人口集聚度高、交通便利的中心村（含乡镇驻地村）为重点，打造集政务服务、文体活动、医疗养老、商业服务等多功能于一体的乡村社区综合服务中心（邻里中心）。对距离较远的自然村/小型村落群，利用闲置农房、村集体用房、民宿公共空间等，灵活设置 “邻里互助服务点”或“流动服务驿站”，通过定时巡回服务（政务代办、健康随访、文化下乡）与线上预约相结合，确保基本服务全覆盖。</w:t>
      </w:r>
    </w:p>
    <w:p w14:paraId="11559395">
      <w:pPr>
        <w:bidi w:val="0"/>
        <w:rPr>
          <w:color w:val="auto"/>
          <w:highlight w:val="none"/>
        </w:rPr>
      </w:pPr>
      <w:r>
        <w:rPr>
          <w:rFonts w:hint="eastAsia"/>
          <w:color w:val="auto"/>
          <w:highlight w:val="none"/>
          <w:lang w:val="en-US" w:eastAsia="zh-CN"/>
        </w:rPr>
        <w:t>2.大力推动存量设施“复合化”升级。全面摸排并盘活乡村闲置校舍、工厂、仓库、农宅等资源，优先转化为社区服务场所。深化现有设施“一室多用”机制：村级党群服务中心（新时代文明实践站）须叠加日间照料、儿童托管、图书阅览、协商议事、电商代购等功能；文化礼堂（广场）应兼具文体活动、电影放映、技能培训、农产品展销等用途。到2030年，全区行政村存量设施复合利用率提升至90%以上，闲置资源转化率达50%。</w:t>
      </w:r>
      <w:r>
        <w:rPr>
          <w:color w:val="auto"/>
          <w:highlight w:val="none"/>
        </w:rPr>
        <w:t>​</w:t>
      </w:r>
    </w:p>
    <w:p w14:paraId="32E61839">
      <w:pPr>
        <w:bidi w:val="0"/>
        <w:rPr>
          <w:rFonts w:hint="eastAsia"/>
          <w:color w:val="auto"/>
          <w:highlight w:val="none"/>
          <w:lang w:val="en-US" w:eastAsia="zh-CN"/>
        </w:rPr>
      </w:pPr>
      <w:r>
        <w:rPr>
          <w:rFonts w:hint="eastAsia"/>
          <w:color w:val="auto"/>
          <w:highlight w:val="none"/>
          <w:lang w:val="en-US" w:eastAsia="zh-CN"/>
        </w:rPr>
        <w:t>3.提升功能适配性，匹配山区及文旅发展新需求。冬奥赛区及周边村、重点旅游村庄，增设多语种旅游咨询服务、应急救援联络站、导游驿站、特产直营店、电动车充电桩等特色设施。深山村、生态脆弱区村落，强化防灾减灾物资储备、应急避难功能。民宿集群区域，探索村集体利用闲置房屋建设“民宿服务中心”，提供布草洗涤、保安保洁等配套服务，增加村民灵活就业岗位。强化村医队伍专业能力建设，推进卫生室智能化改造，配备远程诊疗设备与健康数据管理系统，提升山区基本医疗服务响应效率和覆盖质量。</w:t>
      </w:r>
    </w:p>
    <w:p w14:paraId="33B7B2BC">
      <w:pPr>
        <w:pStyle w:val="4"/>
        <w:bidi w:val="0"/>
        <w:rPr>
          <w:rFonts w:hint="default"/>
          <w:color w:val="auto"/>
          <w:highlight w:val="none"/>
          <w:lang w:val="en-US" w:eastAsia="zh-CN"/>
        </w:rPr>
      </w:pPr>
      <w:bookmarkStart w:id="124" w:name="_Toc17493"/>
      <w:r>
        <w:rPr>
          <w:rFonts w:hint="eastAsia"/>
          <w:color w:val="auto"/>
          <w:highlight w:val="none"/>
          <w:lang w:val="en-US" w:eastAsia="zh-CN"/>
        </w:rPr>
        <w:t>（七）夯实防灾减灾基础，提升乡村应急能力</w:t>
      </w:r>
      <w:bookmarkEnd w:id="124"/>
    </w:p>
    <w:p w14:paraId="0D50D3F8">
      <w:pPr>
        <w:bidi w:val="0"/>
        <w:rPr>
          <w:rFonts w:hint="eastAsia"/>
          <w:color w:val="auto"/>
          <w:highlight w:val="none"/>
          <w:lang w:val="en-US" w:eastAsia="zh-CN"/>
        </w:rPr>
      </w:pPr>
      <w:r>
        <w:rPr>
          <w:rFonts w:hint="eastAsia"/>
          <w:color w:val="auto"/>
          <w:highlight w:val="none"/>
          <w:lang w:val="en-US" w:eastAsia="zh-CN"/>
        </w:rPr>
        <w:t>1.强化灾害监测预警与风险研判。依托应急管理平台与指挥中心，整合气象、水文、农业生产数据，建立针对洪涝、风雹、地质灾害及病虫害的农业专项监测体系，形成灾害监测预警“一张图”，持续提升精准预警预报能力。重点加强山区、浅山区的实时监测，每月开展灾害风险形势分析，预判潜在风险，确保预警信息通过网格化管理体系及时传递至农户，为农业生产提供提前防御窗口。</w:t>
      </w:r>
    </w:p>
    <w:p w14:paraId="3020B841">
      <w:pPr>
        <w:bidi w:val="0"/>
        <w:rPr>
          <w:rFonts w:hint="eastAsia"/>
          <w:color w:val="auto"/>
          <w:highlight w:val="none"/>
          <w:lang w:val="en-US" w:eastAsia="zh-CN"/>
        </w:rPr>
      </w:pPr>
      <w:r>
        <w:rPr>
          <w:rFonts w:hint="eastAsia"/>
          <w:color w:val="auto"/>
          <w:highlight w:val="none"/>
          <w:lang w:val="en-US" w:eastAsia="zh-CN"/>
        </w:rPr>
        <w:t>2.筑牢农村防灾减灾基础保障体系。统筹农业生产与农村社区安全需求，完善城乡基层应急管理组织体系，推进“平急两用”设施建设，织密“区、乡镇（街道）、村（社区）”应急避难场所网络，提升基层防灾避险及应急处置能力。在风险村内或周边区域建设安全小屋，作为山区村庄“平急两用”应急避险设施，按标准配齐供电、通讯、照明、医疗、供水等设施装备和生活保障物资，保障“三断”情况下的紧急避难安置需求。构建“监测-预警-处置”全链条防控机制，完善农田堤防加固、排涝设施等工程防护体系。结合农业生产布局，推广抗灾作物品种与防灾耕作技术，降低自然灾害对种养业的影响，提升农业生产抗风险韧性。</w:t>
      </w:r>
    </w:p>
    <w:p w14:paraId="2275BE8C">
      <w:pPr>
        <w:bidi w:val="0"/>
        <w:rPr>
          <w:rFonts w:hint="default"/>
          <w:color w:val="auto"/>
          <w:highlight w:val="none"/>
          <w:lang w:val="en-US" w:eastAsia="zh-CN"/>
        </w:rPr>
      </w:pPr>
      <w:r>
        <w:rPr>
          <w:rFonts w:hint="eastAsia"/>
          <w:color w:val="auto"/>
          <w:highlight w:val="none"/>
          <w:lang w:val="en-US" w:eastAsia="zh-CN"/>
        </w:rPr>
        <w:t>3.健全灾害应急处置机制。制定分灾种预案，加强基层灾害信息员与应急救援队伍建设，定期开展防灾技能培训与实战演练，提升自救互救能力。推广“村村响”应急广播系统，确保灾害预警信息及时触达农村居民。构建山区与川区应急疏散通道，建立跨区域防灾资源共享与协同联动机制，形成农村社区高效应对灾害的综合处置格局。提前谋划重大风险村庄搬迁安置工作，针对全区有重大地灾隐患的村庄，充分吸取教训，根据风险等级，分批次谋划搬迁安置工作。</w:t>
      </w:r>
    </w:p>
    <w:p w14:paraId="3D075663">
      <w:pPr>
        <w:pStyle w:val="6"/>
        <w:rPr>
          <w:rFonts w:hint="eastAsia"/>
          <w:color w:val="auto"/>
          <w:highlight w:val="none"/>
        </w:rPr>
      </w:pPr>
    </w:p>
    <w:p w14:paraId="5806DC64">
      <w:pPr>
        <w:pStyle w:val="3"/>
        <w:numPr>
          <w:ilvl w:val="0"/>
          <w:numId w:val="2"/>
        </w:numPr>
        <w:bidi w:val="0"/>
        <w:rPr>
          <w:rFonts w:hint="eastAsia"/>
          <w:color w:val="auto"/>
          <w:highlight w:val="none"/>
        </w:rPr>
      </w:pPr>
      <w:bookmarkStart w:id="125" w:name="_Toc10415"/>
      <w:r>
        <w:rPr>
          <w:rFonts w:hint="eastAsia"/>
          <w:color w:val="auto"/>
          <w:highlight w:val="none"/>
          <w:lang w:val="en-US" w:eastAsia="zh-CN"/>
        </w:rPr>
        <w:t>重点任务六：</w:t>
      </w:r>
      <w:bookmarkStart w:id="126" w:name="_Toc14430"/>
      <w:bookmarkStart w:id="127" w:name="_Toc20766"/>
      <w:r>
        <w:rPr>
          <w:rFonts w:hint="eastAsia"/>
          <w:color w:val="auto"/>
          <w:highlight w:val="none"/>
        </w:rPr>
        <w:t>深化农业农村改革，</w:t>
      </w:r>
      <w:bookmarkEnd w:id="126"/>
      <w:bookmarkEnd w:id="127"/>
      <w:r>
        <w:rPr>
          <w:rFonts w:hint="eastAsia"/>
          <w:color w:val="auto"/>
          <w:highlight w:val="none"/>
        </w:rPr>
        <w:t>壮大集体经济促进农民增收致富</w:t>
      </w:r>
      <w:bookmarkEnd w:id="125"/>
    </w:p>
    <w:p w14:paraId="382934C2">
      <w:pPr>
        <w:bidi w:val="0"/>
        <w:rPr>
          <w:rFonts w:hint="eastAsia"/>
          <w:color w:val="auto"/>
          <w:highlight w:val="none"/>
          <w:lang w:val="en-US" w:eastAsia="zh-CN"/>
        </w:rPr>
      </w:pPr>
      <w:r>
        <w:rPr>
          <w:rFonts w:hint="eastAsia"/>
          <w:color w:val="auto"/>
          <w:highlight w:val="none"/>
          <w:lang w:val="en-US" w:eastAsia="zh-CN"/>
        </w:rPr>
        <w:t>立足生态资源转化瓶颈与山区发展实际，实施“活权、兴产、聚资、强村”系统工程，深化集成改革攻坚，打造首都农业农村改革“绿色样板”。以“三变改革”为核心，推动农村资源要素市场化配置，盘活闲置资产，壮大集体经济，促进农民增收。通过“政府引导、市场运作、农民参与”的模式，实现农村资源整合、产业升级和共同富裕。</w:t>
      </w:r>
      <w:bookmarkStart w:id="128" w:name="_Toc27052"/>
    </w:p>
    <w:p w14:paraId="7202B447">
      <w:pPr>
        <w:pStyle w:val="4"/>
        <w:bidi w:val="0"/>
        <w:rPr>
          <w:rFonts w:hint="eastAsia"/>
          <w:color w:val="auto"/>
          <w:highlight w:val="none"/>
          <w:lang w:val="en-US" w:eastAsia="zh-CN"/>
        </w:rPr>
      </w:pPr>
      <w:bookmarkStart w:id="129" w:name="_Toc7085"/>
      <w:bookmarkStart w:id="130" w:name="_Toc11581"/>
      <w:r>
        <w:rPr>
          <w:rFonts w:hint="eastAsia"/>
          <w:color w:val="auto"/>
          <w:highlight w:val="none"/>
          <w:lang w:val="en-US" w:eastAsia="zh-CN"/>
        </w:rPr>
        <w:t>（一）深化土地要素市场化改革，资源变资产，激活沉睡资源价值</w:t>
      </w:r>
      <w:bookmarkEnd w:id="128"/>
      <w:bookmarkEnd w:id="129"/>
      <w:bookmarkEnd w:id="130"/>
    </w:p>
    <w:p w14:paraId="5175B778">
      <w:pPr>
        <w:bidi w:val="0"/>
        <w:rPr>
          <w:rFonts w:hint="eastAsia"/>
          <w:color w:val="auto"/>
          <w:highlight w:val="none"/>
          <w:lang w:val="en-US" w:eastAsia="zh-CN"/>
        </w:rPr>
      </w:pPr>
      <w:r>
        <w:rPr>
          <w:rFonts w:hint="eastAsia"/>
          <w:color w:val="auto"/>
          <w:highlight w:val="none"/>
          <w:lang w:val="en-US" w:eastAsia="zh-CN"/>
        </w:rPr>
        <w:t>1.农村集体土地整合利用。推进农村集体经营性建设用地入市，优先用于乡村旅游、康养民宿、农业加工等产业项目。鼓励村集体以土地托管、租赁、入股等方式，与社会资本合作开发特色农业园区、共享农庄等。</w:t>
      </w:r>
    </w:p>
    <w:p w14:paraId="7418CD8A">
      <w:pPr>
        <w:bidi w:val="0"/>
        <w:rPr>
          <w:rFonts w:hint="eastAsia"/>
          <w:color w:val="auto"/>
          <w:highlight w:val="none"/>
          <w:lang w:val="en-US" w:eastAsia="zh-CN"/>
        </w:rPr>
      </w:pPr>
      <w:r>
        <w:rPr>
          <w:rFonts w:hint="eastAsia"/>
          <w:color w:val="auto"/>
          <w:highlight w:val="none"/>
          <w:lang w:val="en-US" w:eastAsia="zh-CN"/>
        </w:rPr>
        <w:t>2.闲置农房与宅基地盘活。推广“闲置农房+合作社+企业”模式，发展乡村民宿、文创工作室、乡村康养等业态，探索“点状供地”支持配套建设。建立区级农村产权交易平台，规范宅基地使用权、农房租赁等流转交易。</w:t>
      </w:r>
    </w:p>
    <w:p w14:paraId="480BFC34">
      <w:pPr>
        <w:bidi w:val="0"/>
        <w:rPr>
          <w:rFonts w:hint="eastAsia"/>
          <w:color w:val="auto"/>
          <w:highlight w:val="none"/>
          <w:lang w:val="en-US" w:eastAsia="zh-CN"/>
        </w:rPr>
      </w:pPr>
      <w:r>
        <w:rPr>
          <w:rFonts w:hint="eastAsia"/>
          <w:color w:val="auto"/>
          <w:highlight w:val="none"/>
          <w:lang w:val="en-US" w:eastAsia="zh-CN"/>
        </w:rPr>
        <w:t>3.生态资源价值转化。依托“九沟十八湾”生态资源，探索“生态银行”模式，整合林地、水域等资源，发展碳汇交易、生态旅游、林下经济等绿色产业。</w:t>
      </w:r>
    </w:p>
    <w:p w14:paraId="25B9498C">
      <w:pPr>
        <w:bidi w:val="0"/>
        <w:rPr>
          <w:rFonts w:hint="eastAsia"/>
          <w:color w:val="auto"/>
          <w:highlight w:val="none"/>
          <w:lang w:val="en-US" w:eastAsia="zh-CN"/>
        </w:rPr>
      </w:pPr>
      <w:r>
        <w:rPr>
          <w:rFonts w:hint="eastAsia"/>
          <w:color w:val="auto"/>
          <w:highlight w:val="none"/>
          <w:lang w:val="en-US" w:eastAsia="zh-CN"/>
        </w:rPr>
        <w:t>4.空间保障</w:t>
      </w:r>
      <w:bookmarkStart w:id="131" w:name="_Toc17746"/>
      <w:r>
        <w:rPr>
          <w:rFonts w:hint="eastAsia"/>
          <w:color w:val="auto"/>
          <w:highlight w:val="none"/>
          <w:lang w:val="en-US" w:eastAsia="zh-CN"/>
        </w:rPr>
        <w:t>。编制《生态敏感区项目用地负面清单》，预留5%新增建设用地指标用于乡村产业。</w:t>
      </w:r>
    </w:p>
    <w:p w14:paraId="3987B762">
      <w:pPr>
        <w:pStyle w:val="4"/>
        <w:bidi w:val="0"/>
        <w:rPr>
          <w:rFonts w:hint="eastAsia"/>
          <w:color w:val="auto"/>
          <w:highlight w:val="none"/>
          <w:lang w:val="en-US" w:eastAsia="zh-CN"/>
        </w:rPr>
      </w:pPr>
      <w:bookmarkStart w:id="132" w:name="_Toc29546"/>
      <w:bookmarkStart w:id="133" w:name="_Toc4015"/>
      <w:r>
        <w:rPr>
          <w:rFonts w:hint="eastAsia"/>
          <w:color w:val="auto"/>
          <w:highlight w:val="none"/>
          <w:lang w:val="en-US" w:eastAsia="zh-CN"/>
        </w:rPr>
        <w:t>（二）创新财政与金融支持方式，实现资金变股金</w:t>
      </w:r>
      <w:bookmarkEnd w:id="131"/>
      <w:bookmarkEnd w:id="132"/>
      <w:bookmarkEnd w:id="133"/>
      <w:bookmarkStart w:id="134" w:name="_Toc26298"/>
    </w:p>
    <w:p w14:paraId="572A9D0D">
      <w:pPr>
        <w:bidi w:val="0"/>
        <w:rPr>
          <w:rFonts w:hint="eastAsia"/>
          <w:color w:val="auto"/>
          <w:highlight w:val="none"/>
          <w:lang w:val="en-US" w:eastAsia="zh-CN"/>
        </w:rPr>
      </w:pPr>
      <w:r>
        <w:rPr>
          <w:rFonts w:hint="eastAsia"/>
          <w:color w:val="auto"/>
          <w:highlight w:val="none"/>
          <w:lang w:val="en-US" w:eastAsia="zh-CN"/>
        </w:rPr>
        <w:t>财政资金股权化改革，将部分涉农财政资金（如乡村振兴专项资金、产业扶持资金）转化为村集体或农民股份，投入优质农业项目，按股分红。设立“三变改革”专项基金，重点支持集体经济薄弱村发展特色产业。金融赋能乡村经济，通过推广“线上审批”数字化服务模式，简化农户小额贷款、新型农业经营主体融资的申请流程，推动金融服务向农村延伸覆盖。</w:t>
      </w:r>
    </w:p>
    <w:p w14:paraId="563A3FD2">
      <w:pPr>
        <w:pStyle w:val="4"/>
        <w:bidi w:val="0"/>
        <w:rPr>
          <w:rFonts w:hint="eastAsia"/>
          <w:color w:val="auto"/>
          <w:highlight w:val="none"/>
          <w:lang w:val="en-US" w:eastAsia="zh-CN"/>
        </w:rPr>
      </w:pPr>
      <w:bookmarkStart w:id="135" w:name="_Toc31331"/>
      <w:bookmarkStart w:id="136" w:name="_Toc18744"/>
      <w:r>
        <w:rPr>
          <w:rFonts w:hint="eastAsia"/>
          <w:color w:val="auto"/>
          <w:highlight w:val="none"/>
          <w:lang w:val="en-US" w:eastAsia="zh-CN"/>
        </w:rPr>
        <w:t>（三）健全利益联结机制，</w:t>
      </w:r>
      <w:bookmarkEnd w:id="134"/>
      <w:bookmarkEnd w:id="135"/>
      <w:r>
        <w:rPr>
          <w:rFonts w:hint="eastAsia"/>
          <w:color w:val="auto"/>
          <w:highlight w:val="none"/>
          <w:lang w:val="en-US" w:eastAsia="zh-CN"/>
        </w:rPr>
        <w:t>实现农民变股东</w:t>
      </w:r>
      <w:bookmarkEnd w:id="136"/>
    </w:p>
    <w:p w14:paraId="6F7C266C">
      <w:pPr>
        <w:bidi w:val="0"/>
        <w:rPr>
          <w:rFonts w:hint="eastAsia"/>
          <w:color w:val="auto"/>
          <w:highlight w:val="none"/>
          <w:lang w:val="en-US" w:eastAsia="zh-CN"/>
        </w:rPr>
      </w:pPr>
      <w:r>
        <w:rPr>
          <w:rFonts w:hint="eastAsia"/>
          <w:color w:val="auto"/>
          <w:highlight w:val="none"/>
          <w:lang w:val="en-US" w:eastAsia="zh-CN"/>
        </w:rPr>
        <w:t>全面完成农村集体产权制度改革，量化集体资产股权，颁发股权证书，确保农民“看得见、摸得着、分得到”。推广“保底收益+按股分红+务工收入”模式，让农民共享产业增值收益。推行农民多渠道入股，土地入股，农民以承包地经营权入股合作社或农业企业，发展规模种植、休闲农业等。劳务入股，鼓励农民以技术、劳动力参与项目运营，按劳计股（如民宿管家、农耕体验师）。资金入股，引导农民自愿集资，参与乡村旅游、农产品加工等项目建设。强化权益保障，建立股权交易平台，允许农民股权有限流转、继承、抵押。设立改革风险保障金，防范经营风险，确保农民分红权益。</w:t>
      </w:r>
    </w:p>
    <w:p w14:paraId="3CC0DB78">
      <w:pPr>
        <w:pStyle w:val="4"/>
        <w:bidi w:val="0"/>
        <w:rPr>
          <w:rFonts w:hint="eastAsia"/>
          <w:color w:val="auto"/>
          <w:highlight w:val="none"/>
          <w:lang w:val="en-US" w:eastAsia="zh-CN"/>
        </w:rPr>
      </w:pPr>
      <w:bookmarkStart w:id="137" w:name="_Toc9837"/>
      <w:bookmarkStart w:id="138" w:name="_Toc16732"/>
      <w:r>
        <w:rPr>
          <w:rFonts w:hint="eastAsia"/>
          <w:color w:val="auto"/>
          <w:highlight w:val="none"/>
          <w:lang w:val="en-US" w:eastAsia="zh-CN"/>
        </w:rPr>
        <w:t>（四）拓宽农民增收多元路径，筑牢共同富裕根基</w:t>
      </w:r>
      <w:bookmarkEnd w:id="137"/>
    </w:p>
    <w:p w14:paraId="7B51560E">
      <w:pPr>
        <w:bidi w:val="0"/>
        <w:rPr>
          <w:rFonts w:hint="eastAsia"/>
          <w:color w:val="auto"/>
          <w:highlight w:val="none"/>
          <w:lang w:val="en-US" w:eastAsia="zh-CN"/>
        </w:rPr>
      </w:pPr>
      <w:r>
        <w:rPr>
          <w:rFonts w:hint="eastAsia"/>
          <w:color w:val="auto"/>
          <w:highlight w:val="none"/>
          <w:lang w:val="en-US" w:eastAsia="zh-CN"/>
        </w:rPr>
        <w:t>1.深化就业增收模式，强化务工收益保障。围绕农村人居环境整治、生态修复、基础设施建设等领域，谋划实施以工代赈项目，建立“劳务报酬+技能培训+公益性岗位”联动机制，确保项目劳务报酬按一定比例发放，吸纳当地农村劳动力参与，尤其关注大龄农村劳动力就业；同时推动就业优先发展战略，强化完善公共就业服务，以稳定务工收入带动农民增收。</w:t>
      </w:r>
    </w:p>
    <w:p w14:paraId="2721D2AB">
      <w:pPr>
        <w:bidi w:val="0"/>
        <w:rPr>
          <w:rFonts w:hint="eastAsia"/>
          <w:color w:val="auto"/>
          <w:highlight w:val="none"/>
          <w:lang w:val="en-US" w:eastAsia="zh-CN"/>
        </w:rPr>
      </w:pPr>
      <w:r>
        <w:rPr>
          <w:rFonts w:hint="eastAsia"/>
          <w:color w:val="auto"/>
          <w:highlight w:val="none"/>
          <w:lang w:val="en-US" w:eastAsia="zh-CN"/>
        </w:rPr>
        <w:t>2.激活产业增收潜力，丰富经营收益场景。支持农民发展庭院经济、林下种植养殖等产业，因地制宜拓展民宿经济，推广“农户+合作社+电商平台”模式，积极发展新兴电商经济，鼓励农民通过直播带货、农旅体验服务等新业态拓宽农产品销售渠道、增加经营性收入。</w:t>
      </w:r>
    </w:p>
    <w:p w14:paraId="0438D5E2">
      <w:pPr>
        <w:bidi w:val="0"/>
        <w:rPr>
          <w:rFonts w:hint="eastAsia"/>
          <w:color w:val="auto"/>
          <w:highlight w:val="none"/>
          <w:lang w:eastAsia="zh-CN"/>
        </w:rPr>
      </w:pPr>
      <w:r>
        <w:rPr>
          <w:rFonts w:hint="eastAsia"/>
          <w:color w:val="auto"/>
          <w:highlight w:val="none"/>
          <w:lang w:val="en-US" w:eastAsia="zh-CN"/>
        </w:rPr>
        <w:t>3.健全联农带农机制，释放增值收益红利。充分发挥新型农业经营主体作用，健全新型农业经营主体扶持政策与农户增收挂钩机制，完善联农带农机制，让农民更多分享产业增值收益；此外，探索“三变”改革模式，壮大农村集体经济，多维度盘活农村闲置资产，消除村集体返薄风险，并落实各项惠农惠民政策，为农民增收提供坚实保障。</w:t>
      </w:r>
    </w:p>
    <w:p w14:paraId="0FAFE1F7">
      <w:pPr>
        <w:pStyle w:val="4"/>
        <w:bidi w:val="0"/>
        <w:rPr>
          <w:rFonts w:hint="eastAsia"/>
          <w:color w:val="auto"/>
          <w:highlight w:val="none"/>
        </w:rPr>
      </w:pPr>
      <w:bookmarkStart w:id="139" w:name="_Toc11280"/>
      <w:r>
        <w:rPr>
          <w:rFonts w:hint="eastAsia"/>
          <w:color w:val="auto"/>
          <w:highlight w:val="none"/>
          <w:lang w:eastAsia="zh-CN"/>
        </w:rPr>
        <w:t>（五）</w:t>
      </w:r>
      <w:r>
        <w:rPr>
          <w:rFonts w:hint="eastAsia"/>
          <w:color w:val="auto"/>
          <w:highlight w:val="none"/>
        </w:rPr>
        <w:t>创新多元化投融资机制，打通“绿水青山”转化通道</w:t>
      </w:r>
      <w:bookmarkEnd w:id="138"/>
      <w:bookmarkEnd w:id="139"/>
    </w:p>
    <w:p w14:paraId="14E1E15F">
      <w:pPr>
        <w:bidi w:val="0"/>
        <w:rPr>
          <w:rFonts w:hint="eastAsia"/>
          <w:color w:val="auto"/>
          <w:highlight w:val="none"/>
          <w:lang w:val="en-US" w:eastAsia="zh-CN"/>
        </w:rPr>
      </w:pPr>
      <w:r>
        <w:rPr>
          <w:rFonts w:hint="eastAsia"/>
          <w:color w:val="auto"/>
          <w:highlight w:val="none"/>
          <w:lang w:val="en-US" w:eastAsia="zh-CN"/>
        </w:rPr>
        <w:t>1.构建绿色金融体系。设立“延庆生态振兴基金”，整合财政资金、社会资本及碳汇收益，重点支持有机农业、林下经济、民宿升级等绿色产业项目，探索“碳汇质押+保险+信贷”联动模式。</w:t>
      </w:r>
    </w:p>
    <w:p w14:paraId="139D2E37">
      <w:pPr>
        <w:bidi w:val="0"/>
        <w:rPr>
          <w:rFonts w:hint="eastAsia"/>
          <w:color w:val="auto"/>
          <w:highlight w:val="none"/>
          <w:lang w:val="en-US" w:eastAsia="zh-CN"/>
        </w:rPr>
      </w:pPr>
      <w:r>
        <w:rPr>
          <w:rFonts w:hint="eastAsia"/>
          <w:color w:val="auto"/>
          <w:highlight w:val="none"/>
          <w:lang w:val="en-US" w:eastAsia="zh-CN"/>
        </w:rPr>
        <w:t>2.强化资金精准撬动。优化涉农资金整合，建立“大专项+任务清单”机制，统筹高标准农田建设、乡村旅游等资金，向集体经济强村和联农带农项目倾斜。鼓励国有企业以基金等形式，投向新质生产力领域。</w:t>
      </w:r>
      <w:r>
        <w:rPr>
          <w:color w:val="auto"/>
          <w:highlight w:val="none"/>
        </w:rPr>
        <w:commentReference w:id="3"/>
      </w:r>
    </w:p>
    <w:p w14:paraId="390AC406">
      <w:pPr>
        <w:bidi w:val="0"/>
        <w:rPr>
          <w:rFonts w:hint="eastAsia"/>
          <w:color w:val="auto"/>
          <w:highlight w:val="none"/>
          <w:lang w:val="en-US" w:eastAsia="zh-CN"/>
        </w:rPr>
      </w:pPr>
      <w:r>
        <w:rPr>
          <w:rFonts w:hint="eastAsia"/>
          <w:color w:val="auto"/>
          <w:highlight w:val="none"/>
          <w:lang w:val="en-US" w:eastAsia="zh-CN"/>
        </w:rPr>
        <w:t>3.激活社会资本参与。创新“乡创合伙人”制度，遴选30个优质农文旅项目面向社会招标，给予用地指标、品牌授权等支持，建立“投资方+村集体+农户”股权架构。</w:t>
      </w:r>
    </w:p>
    <w:p w14:paraId="58364F22">
      <w:pPr>
        <w:pStyle w:val="4"/>
        <w:bidi w:val="0"/>
        <w:rPr>
          <w:rFonts w:hint="default"/>
          <w:color w:val="auto"/>
          <w:highlight w:val="none"/>
          <w:lang w:val="en-US" w:eastAsia="zh-CN"/>
        </w:rPr>
      </w:pPr>
      <w:bookmarkStart w:id="140" w:name="_Toc23636"/>
      <w:bookmarkStart w:id="141" w:name="_Toc9412"/>
      <w:bookmarkStart w:id="142" w:name="_Toc21327"/>
      <w:r>
        <w:rPr>
          <w:rFonts w:hint="eastAsia"/>
          <w:color w:val="auto"/>
          <w:highlight w:val="none"/>
          <w:lang w:val="en-US" w:eastAsia="zh-CN"/>
        </w:rPr>
        <w:t>（六）创新生态文明改革，激发</w:t>
      </w:r>
      <w:bookmarkEnd w:id="140"/>
      <w:bookmarkEnd w:id="141"/>
      <w:r>
        <w:rPr>
          <w:rFonts w:hint="eastAsia"/>
          <w:color w:val="auto"/>
          <w:highlight w:val="none"/>
          <w:lang w:val="en-US" w:eastAsia="zh-CN"/>
        </w:rPr>
        <w:t>发展方式绿色转型</w:t>
      </w:r>
      <w:bookmarkEnd w:id="142"/>
    </w:p>
    <w:p w14:paraId="3FD7C100">
      <w:pPr>
        <w:bidi w:val="0"/>
        <w:rPr>
          <w:rFonts w:hint="eastAsia"/>
          <w:color w:val="auto"/>
          <w:highlight w:val="none"/>
          <w:lang w:val="en-US" w:eastAsia="zh-CN"/>
        </w:rPr>
      </w:pPr>
      <w:r>
        <w:rPr>
          <w:rFonts w:hint="eastAsia"/>
          <w:color w:val="auto"/>
          <w:highlight w:val="none"/>
          <w:lang w:val="en-US" w:eastAsia="zh-CN"/>
        </w:rPr>
        <w:t>1.完善多元化生态补偿与价值实现机制。探索建立更加完善的生态系统生产总值（GEP）核算体系及应用机制。重点完善公益林、湿地、自然保护地等重要生态空间的补偿标准动态调整机制，推广基于生态产品价值的市场化补偿模式（如水权交易、碳汇项目开发）。探索建立鼓励企业、社会组织参与乡村生态建设的引导政策和共建平台。</w:t>
      </w:r>
    </w:p>
    <w:p w14:paraId="43FABFAF">
      <w:pPr>
        <w:bidi w:val="0"/>
        <w:rPr>
          <w:rFonts w:hint="eastAsia"/>
          <w:color w:val="auto"/>
          <w:highlight w:val="none"/>
          <w:lang w:val="en-US" w:eastAsia="zh-CN"/>
        </w:rPr>
      </w:pPr>
      <w:r>
        <w:rPr>
          <w:rFonts w:hint="eastAsia"/>
          <w:color w:val="auto"/>
          <w:highlight w:val="none"/>
          <w:lang w:val="en-US" w:eastAsia="zh-CN"/>
        </w:rPr>
        <w:t>2.推进生态文明体制改革创新。建立健全最严格的生态环境保护制度，强化“三线一单”落地应用。深化集体林权制度改革，激活林业发展潜力。探索建立“生态保护红线+碳汇提升”协同管控机制。完善生态环境损害责任追究制度，压实属地管理和部门监管责任。</w:t>
      </w:r>
      <w:bookmarkStart w:id="143" w:name="_Toc29917"/>
    </w:p>
    <w:bookmarkEnd w:id="143"/>
    <w:p w14:paraId="0B9AC9F8">
      <w:pPr>
        <w:pStyle w:val="6"/>
        <w:rPr>
          <w:rFonts w:hint="eastAsia"/>
          <w:color w:val="auto"/>
          <w:highlight w:val="none"/>
        </w:rPr>
      </w:pPr>
    </w:p>
    <w:p w14:paraId="27AF5EC5">
      <w:pPr>
        <w:pStyle w:val="3"/>
        <w:numPr>
          <w:ilvl w:val="0"/>
          <w:numId w:val="2"/>
        </w:numPr>
        <w:bidi w:val="0"/>
        <w:rPr>
          <w:rFonts w:hint="eastAsia"/>
          <w:color w:val="auto"/>
          <w:highlight w:val="none"/>
        </w:rPr>
      </w:pPr>
      <w:bookmarkStart w:id="144" w:name="_Toc17743"/>
      <w:r>
        <w:rPr>
          <w:rFonts w:hint="eastAsia"/>
          <w:color w:val="auto"/>
          <w:highlight w:val="none"/>
          <w:lang w:val="en-US" w:eastAsia="zh-CN"/>
        </w:rPr>
        <w:t>重点任务七：</w:t>
      </w:r>
      <w:bookmarkStart w:id="145" w:name="_Toc6852"/>
      <w:bookmarkStart w:id="146" w:name="_Toc16049"/>
      <w:r>
        <w:rPr>
          <w:rFonts w:hint="eastAsia"/>
          <w:color w:val="auto"/>
          <w:highlight w:val="none"/>
        </w:rPr>
        <w:t>大力培养乡村人才，促进乡村人才体系现代化</w:t>
      </w:r>
      <w:bookmarkEnd w:id="144"/>
      <w:bookmarkEnd w:id="145"/>
      <w:bookmarkEnd w:id="146"/>
    </w:p>
    <w:p w14:paraId="47C0F86C">
      <w:pPr>
        <w:bidi w:val="0"/>
        <w:rPr>
          <w:rFonts w:hint="eastAsia"/>
          <w:color w:val="auto"/>
          <w:highlight w:val="none"/>
          <w:lang w:val="en-US" w:eastAsia="zh-CN"/>
        </w:rPr>
      </w:pPr>
      <w:r>
        <w:rPr>
          <w:rFonts w:hint="eastAsia"/>
          <w:color w:val="auto"/>
          <w:highlight w:val="none"/>
          <w:lang w:val="en-US" w:eastAsia="zh-CN"/>
        </w:rPr>
        <w:t>立足延庆生态涵养区功能定位，结合《延庆区柔性引进人才办法》和《“延庆英才卡”管理办法》，围绕“1+4+1”绿色产业体系，制定“引育用留”全链条人才发展计划，着力构建“战略人才领军、产业人才支撑、本土人才扎根、服务人才下沉”的立体化乡村人才队伍体系。充分激活北京市“科技小院”等既有机制效能，探索“延庆路径”，为打造首都农业农村现代化“绿色样板”提供坚实智力支撑。</w:t>
      </w:r>
      <w:bookmarkStart w:id="147" w:name="_Toc10503"/>
      <w:bookmarkStart w:id="148" w:name="_Toc18722"/>
      <w:bookmarkStart w:id="149" w:name="_Toc13520"/>
    </w:p>
    <w:p w14:paraId="745464BC">
      <w:pPr>
        <w:pStyle w:val="4"/>
        <w:bidi w:val="0"/>
        <w:rPr>
          <w:rFonts w:hint="eastAsia"/>
          <w:color w:val="auto"/>
          <w:highlight w:val="none"/>
          <w:lang w:val="en-US" w:eastAsia="zh-CN"/>
        </w:rPr>
      </w:pPr>
      <w:bookmarkStart w:id="150" w:name="_Toc18313"/>
      <w:r>
        <w:rPr>
          <w:rFonts w:hint="eastAsia"/>
          <w:color w:val="auto"/>
          <w:highlight w:val="none"/>
          <w:lang w:val="en-US" w:eastAsia="zh-CN"/>
        </w:rPr>
        <w:t>（一）</w:t>
      </w:r>
      <w:bookmarkEnd w:id="147"/>
      <w:bookmarkEnd w:id="148"/>
      <w:bookmarkEnd w:id="149"/>
      <w:r>
        <w:rPr>
          <w:rFonts w:hint="eastAsia"/>
          <w:color w:val="auto"/>
          <w:highlight w:val="none"/>
        </w:rPr>
        <w:t>聚焦主导产业，精准匹配人才需求</w:t>
      </w:r>
      <w:bookmarkEnd w:id="150"/>
    </w:p>
    <w:p w14:paraId="6BF61999">
      <w:pPr>
        <w:bidi w:val="0"/>
        <w:rPr>
          <w:rFonts w:hint="eastAsia"/>
          <w:color w:val="auto"/>
          <w:highlight w:val="none"/>
          <w:lang w:val="en-US" w:eastAsia="zh-CN"/>
        </w:rPr>
      </w:pPr>
      <w:r>
        <w:rPr>
          <w:rFonts w:hint="eastAsia"/>
          <w:color w:val="auto"/>
          <w:highlight w:val="none"/>
          <w:lang w:val="en-US" w:eastAsia="zh-CN"/>
        </w:rPr>
        <w:t>立足延庆“1+4+1”绿色产业体系，围绕生态农业、文旅融合、数字经济等重点领域，建立“产业发展—人才需求—岗位配置”联动机制。</w:t>
      </w:r>
    </w:p>
    <w:p w14:paraId="0CF4DA4E">
      <w:pPr>
        <w:bidi w:val="0"/>
        <w:rPr>
          <w:rFonts w:hint="eastAsia"/>
          <w:color w:val="auto"/>
          <w:highlight w:val="none"/>
          <w:lang w:val="en-US" w:eastAsia="zh-CN"/>
        </w:rPr>
      </w:pPr>
      <w:r>
        <w:rPr>
          <w:rFonts w:hint="eastAsia"/>
          <w:b/>
          <w:bCs/>
          <w:color w:val="auto"/>
          <w:highlight w:val="none"/>
          <w:lang w:val="en-US" w:eastAsia="zh-CN"/>
        </w:rPr>
        <w:t>1.在生态农业领域。</w:t>
      </w:r>
      <w:r>
        <w:rPr>
          <w:rFonts w:hint="eastAsia"/>
          <w:color w:val="auto"/>
          <w:highlight w:val="none"/>
          <w:lang w:val="en-US" w:eastAsia="zh-CN"/>
        </w:rPr>
        <w:t>重点发展有机种植、生态养殖及农产品精深加工，瞄准智能育种、绿色防控、低碳循环技术方向，引进具有高级职称或硕士以上学历的农业科技人才，培育带动农户增收的产业经营人才，推动大规模高标准农田建设与“妫水农耕”品牌升级。</w:t>
      </w:r>
    </w:p>
    <w:p w14:paraId="1E231DB4">
      <w:pPr>
        <w:bidi w:val="0"/>
        <w:rPr>
          <w:rFonts w:hint="eastAsia"/>
          <w:color w:val="auto"/>
          <w:highlight w:val="none"/>
          <w:lang w:val="en-US" w:eastAsia="zh-CN"/>
        </w:rPr>
      </w:pPr>
      <w:r>
        <w:rPr>
          <w:rFonts w:hint="eastAsia"/>
          <w:b/>
          <w:bCs/>
          <w:color w:val="auto"/>
          <w:highlight w:val="none"/>
          <w:lang w:val="en-US" w:eastAsia="zh-CN"/>
        </w:rPr>
        <w:t>2.文旅建设领域。</w:t>
      </w:r>
      <w:r>
        <w:rPr>
          <w:rFonts w:hint="eastAsia"/>
          <w:color w:val="auto"/>
          <w:highlight w:val="none"/>
          <w:lang w:val="en-US" w:eastAsia="zh-CN"/>
        </w:rPr>
        <w:t>以精品民宿、乡村旅游、长城文化创意为核心，培育工程管理人才、场景策划运营管理人才和掌握传统技艺的文化创意人才，新增多条休闲农业路线及多个农文旅融合示范村。</w:t>
      </w:r>
    </w:p>
    <w:p w14:paraId="228D7CFE">
      <w:pPr>
        <w:bidi w:val="0"/>
        <w:rPr>
          <w:rFonts w:hint="eastAsia"/>
          <w:color w:val="auto"/>
          <w:highlight w:val="none"/>
          <w:lang w:val="en-US" w:eastAsia="zh-CN"/>
        </w:rPr>
      </w:pPr>
      <w:r>
        <w:rPr>
          <w:rFonts w:hint="eastAsia"/>
          <w:b/>
          <w:bCs/>
          <w:color w:val="auto"/>
          <w:highlight w:val="none"/>
          <w:lang w:val="en-US" w:eastAsia="zh-CN"/>
        </w:rPr>
        <w:t>3.数字经济领域。</w:t>
      </w:r>
      <w:r>
        <w:rPr>
          <w:rFonts w:hint="eastAsia"/>
          <w:color w:val="auto"/>
          <w:highlight w:val="none"/>
          <w:lang w:val="en-US" w:eastAsia="zh-CN"/>
        </w:rPr>
        <w:t>重点布局智慧农业与农村电商，引进掌握物联网、大数据分析技能的数字技术人才，推动农业全产业链数字化试点，培育一批农村电商示范企业。</w:t>
      </w:r>
    </w:p>
    <w:p w14:paraId="0B8C4ECC">
      <w:pPr>
        <w:pStyle w:val="4"/>
        <w:bidi w:val="0"/>
        <w:rPr>
          <w:rFonts w:hint="eastAsia"/>
          <w:color w:val="auto"/>
          <w:highlight w:val="none"/>
          <w:lang w:val="en-US" w:eastAsia="zh-CN"/>
        </w:rPr>
      </w:pPr>
      <w:bookmarkStart w:id="151" w:name="_Toc18912"/>
      <w:r>
        <w:rPr>
          <w:rFonts w:hint="eastAsia"/>
          <w:color w:val="auto"/>
          <w:highlight w:val="none"/>
          <w:lang w:val="en-US" w:eastAsia="zh-CN"/>
        </w:rPr>
        <w:t>（二）构建分层分类人才体系，明确引育标准</w:t>
      </w:r>
      <w:bookmarkEnd w:id="151"/>
    </w:p>
    <w:p w14:paraId="1C348269">
      <w:pPr>
        <w:bidi w:val="0"/>
        <w:rPr>
          <w:rFonts w:hint="eastAsia"/>
          <w:color w:val="auto"/>
          <w:highlight w:val="none"/>
          <w:lang w:val="en-US" w:eastAsia="zh-CN"/>
        </w:rPr>
      </w:pPr>
      <w:r>
        <w:rPr>
          <w:rFonts w:hint="eastAsia"/>
          <w:color w:val="auto"/>
          <w:highlight w:val="none"/>
          <w:lang w:val="en-US" w:eastAsia="zh-CN"/>
        </w:rPr>
        <w:t>按照“战略领军—产业骨干—本土实用—返乡创业”四级架构，建立精准化人才画像与培育标准。</w:t>
      </w:r>
    </w:p>
    <w:p w14:paraId="27A4A8EC">
      <w:pPr>
        <w:bidi w:val="0"/>
        <w:rPr>
          <w:rFonts w:hint="eastAsia"/>
          <w:color w:val="auto"/>
          <w:highlight w:val="none"/>
          <w:lang w:val="en-US" w:eastAsia="zh-CN"/>
        </w:rPr>
      </w:pPr>
      <w:r>
        <w:rPr>
          <w:rFonts w:hint="eastAsia"/>
          <w:color w:val="auto"/>
          <w:highlight w:val="none"/>
          <w:lang w:val="en-US" w:eastAsia="zh-CN"/>
        </w:rPr>
        <w:t>1.战略领军人才。重点面向农业科研院所学科带头人、省级以上农业龙头企业技术负责人及行业领军团队，提供技术攻关专项支持等方式，助力地区突破生态农业、智慧文旅等领域关键技术瓶颈，推动科技成果在本地转化应用，带动产业向高端化、智能化升级。</w:t>
      </w:r>
      <w:bookmarkStart w:id="152" w:name="_Toc23896"/>
      <w:bookmarkStart w:id="153" w:name="_Toc6083"/>
    </w:p>
    <w:bookmarkEnd w:id="152"/>
    <w:bookmarkEnd w:id="153"/>
    <w:p w14:paraId="15F73B2E">
      <w:pPr>
        <w:bidi w:val="0"/>
        <w:rPr>
          <w:rFonts w:hint="eastAsia"/>
          <w:color w:val="auto"/>
          <w:highlight w:val="none"/>
          <w:lang w:val="en-US" w:eastAsia="zh-CN"/>
        </w:rPr>
      </w:pPr>
      <w:r>
        <w:rPr>
          <w:rFonts w:hint="eastAsia"/>
          <w:color w:val="auto"/>
          <w:highlight w:val="none"/>
          <w:lang w:val="en-US" w:eastAsia="zh-CN"/>
        </w:rPr>
        <w:t>2.产业骨干人才。聚焦“专精特新”农业企业高管、乡村CEO及民宿主理人，要求具备较强产业带动能力和市场运营经验。</w:t>
      </w:r>
    </w:p>
    <w:p w14:paraId="4BD35B41">
      <w:pPr>
        <w:bidi w:val="0"/>
        <w:rPr>
          <w:rFonts w:hint="eastAsia"/>
          <w:color w:val="auto"/>
          <w:highlight w:val="none"/>
          <w:lang w:val="en-US" w:eastAsia="zh-CN"/>
        </w:rPr>
      </w:pPr>
      <w:r>
        <w:rPr>
          <w:rFonts w:hint="eastAsia"/>
          <w:color w:val="auto"/>
          <w:highlight w:val="none"/>
          <w:lang w:val="en-US" w:eastAsia="zh-CN"/>
        </w:rPr>
        <w:t>3.本土实用人才。以“土专家”“田秀才”为核心，培育取得高级技师证书的农业技术人才及带动就业的合作社骨干。</w:t>
      </w:r>
    </w:p>
    <w:p w14:paraId="00E6D191">
      <w:pPr>
        <w:bidi w:val="0"/>
        <w:rPr>
          <w:rFonts w:hint="eastAsia"/>
          <w:color w:val="auto"/>
          <w:highlight w:val="none"/>
          <w:lang w:val="en-US" w:eastAsia="zh-CN"/>
        </w:rPr>
      </w:pPr>
      <w:r>
        <w:rPr>
          <w:rFonts w:hint="eastAsia"/>
          <w:color w:val="auto"/>
          <w:highlight w:val="none"/>
          <w:lang w:val="en-US" w:eastAsia="zh-CN"/>
        </w:rPr>
        <w:t>4.返乡创业人才。面向大学生、创客及外出务工人员，出台专项创业补贴办法，给予创业补贴及无息贷款支持，鼓励带动本地就业的创业项目。</w:t>
      </w:r>
    </w:p>
    <w:p w14:paraId="5DA1B934">
      <w:pPr>
        <w:pStyle w:val="4"/>
        <w:bidi w:val="0"/>
        <w:rPr>
          <w:rFonts w:hint="eastAsia"/>
          <w:color w:val="auto"/>
          <w:highlight w:val="none"/>
          <w:lang w:val="en-US" w:eastAsia="zh-CN"/>
        </w:rPr>
      </w:pPr>
      <w:bookmarkStart w:id="154" w:name="_Toc16945"/>
      <w:bookmarkStart w:id="155" w:name="_Toc12984"/>
      <w:r>
        <w:rPr>
          <w:rFonts w:hint="eastAsia"/>
          <w:color w:val="auto"/>
          <w:highlight w:val="none"/>
          <w:lang w:val="en-US" w:eastAsia="zh-CN"/>
        </w:rPr>
        <w:t>（三）</w:t>
      </w:r>
      <w:bookmarkEnd w:id="154"/>
      <w:r>
        <w:rPr>
          <w:rFonts w:hint="eastAsia"/>
          <w:color w:val="auto"/>
          <w:highlight w:val="none"/>
          <w:lang w:val="en-US" w:eastAsia="zh-CN"/>
        </w:rPr>
        <w:t>创新引育路径，强化平台载体支撑</w:t>
      </w:r>
      <w:bookmarkEnd w:id="155"/>
    </w:p>
    <w:p w14:paraId="67AE7D3D">
      <w:pPr>
        <w:bidi w:val="0"/>
        <w:rPr>
          <w:rFonts w:hint="eastAsia"/>
          <w:color w:val="auto"/>
          <w:highlight w:val="none"/>
          <w:lang w:val="en-US" w:eastAsia="zh-CN"/>
        </w:rPr>
      </w:pPr>
      <w:r>
        <w:rPr>
          <w:rFonts w:hint="eastAsia"/>
          <w:color w:val="auto"/>
          <w:highlight w:val="none"/>
          <w:lang w:val="en-US" w:eastAsia="zh-CN"/>
        </w:rPr>
        <w:t>实施“渠道引才+工程育才”计划，构建“柔性引进—专项招聘—返乡激励”多元化引才体系。</w:t>
      </w:r>
    </w:p>
    <w:p w14:paraId="5E7A9855">
      <w:pPr>
        <w:bidi w:val="0"/>
        <w:rPr>
          <w:rFonts w:hint="eastAsia"/>
          <w:color w:val="auto"/>
          <w:highlight w:val="none"/>
          <w:lang w:val="en-US" w:eastAsia="zh-CN"/>
        </w:rPr>
      </w:pPr>
      <w:r>
        <w:rPr>
          <w:rFonts w:hint="eastAsia"/>
          <w:color w:val="auto"/>
          <w:highlight w:val="none"/>
          <w:lang w:val="en-US" w:eastAsia="zh-CN"/>
        </w:rPr>
        <w:t>1.渠道引才机制。柔性引才方面，深化与科研院所合作共建“科技小院”，引进高端人才，对接“银龄行动”吸纳退休专家开展技术帮扶。专项招聘方面，依托市级“三支一扶”计划，选聘北京生源应届高校毕业生从事支农工作，服务期满择优纳入事业编制。返乡激励方面，通过创业补贴、贷款支持及大赛推荐等措施，吸引人才回流。</w:t>
      </w:r>
    </w:p>
    <w:p w14:paraId="7CAE3A0A">
      <w:pPr>
        <w:bidi w:val="0"/>
        <w:rPr>
          <w:rFonts w:hint="eastAsia"/>
          <w:color w:val="auto"/>
          <w:highlight w:val="none"/>
          <w:lang w:val="en-US" w:eastAsia="zh-CN"/>
        </w:rPr>
      </w:pPr>
      <w:r>
        <w:rPr>
          <w:rFonts w:hint="eastAsia"/>
          <w:color w:val="auto"/>
          <w:highlight w:val="none"/>
          <w:lang w:val="en-US" w:eastAsia="zh-CN"/>
        </w:rPr>
        <w:t>2.工程育才机制。以绿富隆农业科技、禾适种植专业合作社等多家龙头企业为核心，建设乡村人才实训基地，升级“延庆区科技助力乡村振兴工作站”，整合专家资源，发布技术成果转化需求，促成产学研合作项目。</w:t>
      </w:r>
    </w:p>
    <w:p w14:paraId="0217688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2"/>
      </w:tblGrid>
      <w:tr w14:paraId="4A24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2" w:type="dxa"/>
          </w:tcPr>
          <w:p w14:paraId="5F49F33E">
            <w:pPr>
              <w:widowControl/>
              <w:ind w:left="0" w:leftChars="0" w:firstLine="0" w:firstLineChars="0"/>
              <w:jc w:val="center"/>
              <w:rPr>
                <w:rFonts w:hint="default"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rPr>
              <w:t>专栏</w:t>
            </w:r>
            <w:r>
              <w:rPr>
                <w:rFonts w:hint="eastAsia" w:ascii="仿宋_GB2312" w:hAnsi="仿宋_GB2312" w:cs="仿宋_GB2312"/>
                <w:b/>
                <w:bCs/>
                <w:color w:val="auto"/>
                <w:sz w:val="30"/>
                <w:szCs w:val="30"/>
                <w:highlight w:val="none"/>
                <w:lang w:val="en-US" w:eastAsia="zh-CN"/>
              </w:rPr>
              <w:t>十九</w:t>
            </w:r>
          </w:p>
          <w:p w14:paraId="679FC735">
            <w:pPr>
              <w:pStyle w:val="6"/>
              <w:ind w:left="0" w:leftChars="0" w:firstLine="0" w:firstLineChars="0"/>
              <w:jc w:val="center"/>
              <w:rPr>
                <w:rFonts w:hint="default"/>
                <w:color w:val="auto"/>
                <w:highlight w:val="none"/>
                <w:lang w:val="en-US"/>
              </w:rPr>
            </w:pPr>
            <w:r>
              <w:rPr>
                <w:rFonts w:hint="eastAsia" w:ascii="仿宋_GB2312" w:hAnsi="仿宋_GB2312" w:eastAsia="仿宋_GB2312" w:cs="仿宋_GB2312"/>
                <w:b/>
                <w:bCs/>
                <w:color w:val="auto"/>
                <w:sz w:val="30"/>
                <w:szCs w:val="30"/>
                <w:highlight w:val="none"/>
                <w:lang w:val="en-US" w:eastAsia="zh-CN"/>
              </w:rPr>
              <w:t>乡村育才工程</w:t>
            </w:r>
          </w:p>
          <w:p w14:paraId="03F8407B">
            <w:pPr>
              <w:widowControl/>
              <w:numPr>
                <w:ilvl w:val="-1"/>
                <w:numId w:val="0"/>
              </w:numPr>
              <w:spacing w:line="560" w:lineRule="exact"/>
              <w:ind w:firstLine="640" w:firstLineChars="200"/>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重点推进“头雁领航”“乡土工匠”“数字新农人”三大项目，遴选合作社理事长对接优质资源，开展民宿管家、乡村工匠等技能培训，培育掌握智慧农业技术的新型人才，依托龙头企业建设实训基地并给予运营补贴。</w:t>
            </w:r>
            <w:r>
              <w:rPr>
                <w:rStyle w:val="17"/>
                <w:rFonts w:ascii="宋体" w:hAnsi="宋体" w:eastAsia="宋体" w:cs="宋体"/>
                <w:color w:val="auto"/>
                <w:kern w:val="0"/>
                <w:sz w:val="24"/>
                <w:highlight w:val="none"/>
              </w:rPr>
              <w:t>​</w:t>
            </w:r>
          </w:p>
        </w:tc>
      </w:tr>
    </w:tbl>
    <w:p w14:paraId="0AAEDABA">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jc w:val="left"/>
        <w:textAlignment w:val="auto"/>
        <w:outlineLvl w:val="1"/>
        <w:rPr>
          <w:rFonts w:hint="eastAsia" w:ascii="楷体_GB2312" w:hAnsi="楷体_GB2312" w:eastAsia="楷体_GB2312" w:cs="楷体_GB2312"/>
          <w:b w:val="0"/>
          <w:bCs/>
          <w:color w:val="auto"/>
          <w:sz w:val="32"/>
          <w:szCs w:val="32"/>
          <w:highlight w:val="none"/>
          <w:lang w:val="en-US" w:eastAsia="zh-CN"/>
        </w:rPr>
      </w:pPr>
    </w:p>
    <w:p w14:paraId="5F5381BE">
      <w:pPr>
        <w:pStyle w:val="4"/>
        <w:bidi w:val="0"/>
        <w:rPr>
          <w:rFonts w:hint="eastAsia"/>
          <w:color w:val="auto"/>
          <w:highlight w:val="none"/>
          <w:lang w:val="en-US" w:eastAsia="zh-CN"/>
        </w:rPr>
      </w:pPr>
      <w:bookmarkStart w:id="156" w:name="_Toc18374"/>
      <w:r>
        <w:rPr>
          <w:rFonts w:hint="eastAsia"/>
          <w:color w:val="auto"/>
          <w:highlight w:val="none"/>
          <w:lang w:val="en-US" w:eastAsia="zh-CN"/>
        </w:rPr>
        <w:t>（四）健全保障机制，压实统筹考核责任</w:t>
      </w:r>
      <w:bookmarkEnd w:id="156"/>
    </w:p>
    <w:p w14:paraId="75616EA8">
      <w:pPr>
        <w:bidi w:val="0"/>
        <w:rPr>
          <w:rFonts w:hint="eastAsia"/>
          <w:color w:val="auto"/>
          <w:highlight w:val="none"/>
          <w:lang w:val="en-US" w:eastAsia="zh-CN"/>
        </w:rPr>
      </w:pPr>
      <w:bookmarkStart w:id="157" w:name="_Toc8558"/>
      <w:r>
        <w:rPr>
          <w:rFonts w:hint="eastAsia"/>
          <w:color w:val="auto"/>
          <w:highlight w:val="none"/>
          <w:lang w:val="en-US" w:eastAsia="zh-CN"/>
        </w:rPr>
        <w:t>构建“政策—机制—平台—考核”一体化保障体系。政策层面升级“英才卡”服务，覆盖医疗、教育等多项权益，对全职引进的卓越人才给予安家费，对柔性引进人才给予绩效奖励。机制层面由区农业农村局牵头，统筹推进人才服务事项。平台层面整合科技助力乡村振兴资源，发布技术成果，促成供需对接项目。通过系统施策，力争柔性引进一批高端农业人才，培育一批产业带头人，新增一批高素质农民，显著提升人才对农业总产值和农村居民收入的带动作用。</w:t>
      </w:r>
      <w:bookmarkEnd w:id="157"/>
    </w:p>
    <w:p w14:paraId="39F32799">
      <w:pPr>
        <w:pStyle w:val="3"/>
        <w:numPr>
          <w:ilvl w:val="0"/>
          <w:numId w:val="2"/>
        </w:numPr>
        <w:bidi w:val="0"/>
        <w:rPr>
          <w:rFonts w:hint="eastAsia"/>
          <w:color w:val="auto"/>
          <w:highlight w:val="none"/>
        </w:rPr>
      </w:pPr>
      <w:bookmarkStart w:id="158" w:name="_Toc31818"/>
      <w:r>
        <w:rPr>
          <w:rFonts w:hint="eastAsia"/>
          <w:color w:val="auto"/>
          <w:highlight w:val="none"/>
          <w:lang w:val="en-US" w:eastAsia="zh-CN"/>
        </w:rPr>
        <w:t>重点任务八：</w:t>
      </w:r>
      <w:bookmarkStart w:id="159" w:name="_Toc10573"/>
      <w:bookmarkStart w:id="160" w:name="_Toc2114"/>
      <w:r>
        <w:rPr>
          <w:rFonts w:hint="eastAsia"/>
          <w:color w:val="auto"/>
          <w:highlight w:val="none"/>
        </w:rPr>
        <w:t>繁荣乡村文化，推动文明乡风现代化</w:t>
      </w:r>
      <w:bookmarkEnd w:id="158"/>
      <w:bookmarkEnd w:id="159"/>
      <w:bookmarkEnd w:id="160"/>
    </w:p>
    <w:p w14:paraId="69667064">
      <w:pPr>
        <w:bidi w:val="0"/>
        <w:rPr>
          <w:rFonts w:hint="eastAsia"/>
          <w:color w:val="auto"/>
          <w:highlight w:val="none"/>
          <w:lang w:val="en-US" w:eastAsia="zh-CN"/>
        </w:rPr>
      </w:pPr>
      <w:r>
        <w:rPr>
          <w:rFonts w:hint="eastAsia"/>
          <w:color w:val="auto"/>
          <w:highlight w:val="none"/>
          <w:lang w:val="en-US" w:eastAsia="zh-CN"/>
        </w:rPr>
        <w:t>立足长城文化底蕴与绿色冬奥精神传承，以“思想引领铸魂、文化惠民提质、乡风文明浸润、产业赋能增值”为路径，构建兼具历史厚重感、时代创新力、生态亲和度的延庆乡村文化新生态，打造全国乡村文化振兴与乡风文明建设的“延庆样板”。</w:t>
      </w:r>
      <w:bookmarkStart w:id="161" w:name="_Toc31417"/>
      <w:bookmarkStart w:id="162" w:name="_Toc23991"/>
    </w:p>
    <w:p w14:paraId="30C3D162">
      <w:pPr>
        <w:pStyle w:val="4"/>
        <w:bidi w:val="0"/>
        <w:rPr>
          <w:rFonts w:hint="eastAsia"/>
          <w:color w:val="auto"/>
          <w:highlight w:val="none"/>
          <w:lang w:val="en-US" w:eastAsia="zh-CN"/>
        </w:rPr>
      </w:pPr>
      <w:bookmarkStart w:id="163" w:name="_Toc7268"/>
      <w:bookmarkStart w:id="164" w:name="_Toc1217"/>
      <w:r>
        <w:rPr>
          <w:rFonts w:hint="eastAsia"/>
          <w:color w:val="auto"/>
          <w:highlight w:val="none"/>
          <w:lang w:val="en-US" w:eastAsia="zh-CN"/>
        </w:rPr>
        <w:t>（一）深化思想引领，筑牢乡村精神文化高地</w:t>
      </w:r>
      <w:bookmarkEnd w:id="161"/>
      <w:bookmarkEnd w:id="162"/>
      <w:bookmarkEnd w:id="163"/>
      <w:bookmarkEnd w:id="164"/>
    </w:p>
    <w:p w14:paraId="12C7514D">
      <w:pPr>
        <w:bidi w:val="0"/>
        <w:rPr>
          <w:rFonts w:hint="eastAsia"/>
          <w:color w:val="auto"/>
          <w:highlight w:val="none"/>
          <w:lang w:val="en-US" w:eastAsia="zh-CN"/>
        </w:rPr>
      </w:pPr>
      <w:r>
        <w:rPr>
          <w:rFonts w:hint="eastAsia"/>
          <w:color w:val="auto"/>
          <w:highlight w:val="none"/>
          <w:lang w:val="en-US" w:eastAsia="zh-CN"/>
        </w:rPr>
        <w:t>1.推进理论传播乡土化。依托新时代文明实践中心（所、站），建好用好最美冬奥城讲解员、百姓宣讲员等队伍，用方言土语、情景短剧等形式宣讲党的创新理论。</w:t>
      </w:r>
    </w:p>
    <w:p w14:paraId="376E7ADE">
      <w:pPr>
        <w:bidi w:val="0"/>
        <w:rPr>
          <w:rFonts w:hint="eastAsia"/>
          <w:color w:val="auto"/>
          <w:highlight w:val="none"/>
          <w:lang w:val="en-US" w:eastAsia="zh-CN"/>
        </w:rPr>
      </w:pPr>
      <w:r>
        <w:rPr>
          <w:rFonts w:hint="eastAsia"/>
          <w:color w:val="auto"/>
          <w:highlight w:val="none"/>
          <w:lang w:val="en-US" w:eastAsia="zh-CN"/>
        </w:rPr>
        <w:t>2.培育践行核心价值观。深化“延庆榜样”“延庆好乡亲”文明品牌建设，扎实做好先进典型选树和学习宣传，建设向上向善道德风尚。</w:t>
      </w:r>
    </w:p>
    <w:p w14:paraId="748A332D">
      <w:pPr>
        <w:bidi w:val="0"/>
        <w:rPr>
          <w:rFonts w:hint="eastAsia"/>
          <w:color w:val="auto"/>
          <w:highlight w:val="none"/>
        </w:rPr>
      </w:pPr>
      <w:r>
        <w:rPr>
          <w:rFonts w:hint="eastAsia"/>
          <w:color w:val="auto"/>
          <w:highlight w:val="none"/>
          <w:lang w:val="en-US" w:eastAsia="zh-CN"/>
        </w:rPr>
        <w:t>3.移风易俗攻坚长效化</w:t>
      </w:r>
      <w:bookmarkStart w:id="165" w:name="_Toc26140"/>
      <w:bookmarkStart w:id="166" w:name="_Toc22304"/>
      <w:r>
        <w:rPr>
          <w:rFonts w:hint="eastAsia"/>
          <w:color w:val="auto"/>
          <w:highlight w:val="none"/>
          <w:lang w:val="en-US" w:eastAsia="zh-CN"/>
        </w:rPr>
        <w:t>。</w:t>
      </w:r>
      <w:r>
        <w:rPr>
          <w:rFonts w:hint="eastAsia"/>
          <w:color w:val="auto"/>
          <w:highlight w:val="none"/>
        </w:rPr>
        <w:t>持续推进婚俗改革工作，鼓励社会力量举办特色主题式集体婚礼、集体颁证活动，指导乡镇</w:t>
      </w:r>
      <w:r>
        <w:rPr>
          <w:rFonts w:hint="eastAsia"/>
          <w:color w:val="auto"/>
          <w:highlight w:val="none"/>
          <w:lang w:eastAsia="zh-CN"/>
        </w:rPr>
        <w:t>（</w:t>
      </w:r>
      <w:r>
        <w:rPr>
          <w:rFonts w:hint="eastAsia"/>
          <w:color w:val="auto"/>
          <w:highlight w:val="none"/>
        </w:rPr>
        <w:t>街道</w:t>
      </w:r>
      <w:r>
        <w:rPr>
          <w:rFonts w:hint="eastAsia"/>
          <w:color w:val="auto"/>
          <w:highlight w:val="none"/>
          <w:lang w:eastAsia="zh-CN"/>
        </w:rPr>
        <w:t>）</w:t>
      </w:r>
      <w:r>
        <w:rPr>
          <w:rFonts w:hint="eastAsia"/>
          <w:color w:val="auto"/>
          <w:highlight w:val="none"/>
        </w:rPr>
        <w:t>多形式宣传推广优秀传统婚俗文化。统筹做好重点节日祭扫服务保障，优化服务举措、加强安全管理、倡导文明祭扫。充分发挥村级红白理事会作用，加强农村地区丧葬事务管理，常态化推进移风易俗。</w:t>
      </w:r>
      <w:r>
        <w:rPr>
          <w:rFonts w:hint="eastAsia"/>
          <w:color w:val="auto"/>
          <w:highlight w:val="none"/>
          <w:lang w:eastAsia="zh-CN"/>
        </w:rPr>
        <w:t>通过</w:t>
      </w:r>
      <w:r>
        <w:rPr>
          <w:rFonts w:hint="eastAsia"/>
          <w:color w:val="auto"/>
          <w:highlight w:val="none"/>
        </w:rPr>
        <w:t>建立完善移风易俗落实机制</w:t>
      </w:r>
      <w:r>
        <w:rPr>
          <w:rFonts w:hint="eastAsia"/>
          <w:color w:val="auto"/>
          <w:highlight w:val="none"/>
          <w:lang w:eastAsia="zh-CN"/>
        </w:rPr>
        <w:t>，</w:t>
      </w:r>
      <w:r>
        <w:rPr>
          <w:rFonts w:hint="eastAsia"/>
          <w:color w:val="auto"/>
          <w:highlight w:val="none"/>
        </w:rPr>
        <w:t>开展常态化宣传和集中宣传</w:t>
      </w:r>
      <w:r>
        <w:rPr>
          <w:rFonts w:hint="eastAsia"/>
          <w:color w:val="auto"/>
          <w:highlight w:val="none"/>
          <w:lang w:eastAsia="zh-CN"/>
        </w:rPr>
        <w:t>，</w:t>
      </w:r>
      <w:r>
        <w:rPr>
          <w:rFonts w:hint="eastAsia"/>
          <w:color w:val="auto"/>
          <w:highlight w:val="none"/>
        </w:rPr>
        <w:t>党员、</w:t>
      </w:r>
      <w:r>
        <w:rPr>
          <w:rFonts w:hint="eastAsia"/>
          <w:color w:val="auto"/>
          <w:highlight w:val="none"/>
          <w:lang w:eastAsia="zh-CN"/>
        </w:rPr>
        <w:t>村</w:t>
      </w:r>
      <w:r>
        <w:rPr>
          <w:rFonts w:hint="eastAsia"/>
          <w:color w:val="auto"/>
          <w:highlight w:val="none"/>
        </w:rPr>
        <w:t>干部以身作则带头</w:t>
      </w:r>
      <w:r>
        <w:rPr>
          <w:rFonts w:hint="eastAsia"/>
          <w:color w:val="auto"/>
          <w:highlight w:val="none"/>
          <w:lang w:eastAsia="zh-CN"/>
        </w:rPr>
        <w:t>示范</w:t>
      </w:r>
      <w:r>
        <w:rPr>
          <w:rFonts w:hint="eastAsia"/>
          <w:color w:val="auto"/>
          <w:highlight w:val="none"/>
        </w:rPr>
        <w:t>有效遏制高价彩礼、人情攀比、厚葬薄养、铺张浪费等陈规陋习，农民群众在婚丧嫁娶中的人情、宴席、彩礼等支出负担明显减轻，婚丧礼俗倡导性标准在行政村实现全覆盖，</w:t>
      </w:r>
      <w:r>
        <w:rPr>
          <w:rFonts w:hint="eastAsia"/>
          <w:color w:val="auto"/>
          <w:highlight w:val="none"/>
          <w:lang w:eastAsia="zh-CN"/>
        </w:rPr>
        <w:t>区</w:t>
      </w:r>
      <w:r>
        <w:rPr>
          <w:rFonts w:hint="eastAsia"/>
          <w:color w:val="auto"/>
          <w:highlight w:val="none"/>
        </w:rPr>
        <w:t>、</w:t>
      </w:r>
      <w:r>
        <w:rPr>
          <w:rFonts w:hint="eastAsia"/>
          <w:color w:val="auto"/>
          <w:highlight w:val="none"/>
          <w:lang w:eastAsia="zh-CN"/>
        </w:rPr>
        <w:t>乡镇</w:t>
      </w:r>
      <w:r>
        <w:rPr>
          <w:rFonts w:hint="eastAsia"/>
          <w:color w:val="auto"/>
          <w:highlight w:val="none"/>
        </w:rPr>
        <w:t>、村推进移风易俗的工作制度基本完善，农民群众自我管理、自觉践行移风易俗的长效机制基本形成，中华优秀传统美德得到更好弘扬传承，婚事新办、丧事简办、孝老爱亲、勤俭节约等文明风尚更加浓厚，乡村焕发文明新气象。</w:t>
      </w:r>
    </w:p>
    <w:p w14:paraId="162EB009">
      <w:pPr>
        <w:bidi w:val="0"/>
        <w:rPr>
          <w:rFonts w:hint="eastAsia"/>
          <w:color w:val="auto"/>
          <w:highlight w:val="none"/>
          <w:lang w:val="en-US" w:eastAsia="zh-CN"/>
        </w:rPr>
      </w:pPr>
      <w:r>
        <w:rPr>
          <w:rFonts w:hint="eastAsia"/>
          <w:color w:val="auto"/>
          <w:highlight w:val="none"/>
          <w:lang w:val="en-US" w:eastAsia="zh-CN"/>
        </w:rPr>
        <w:t>4.</w:t>
      </w:r>
      <w:r>
        <w:rPr>
          <w:rFonts w:hint="eastAsia"/>
          <w:color w:val="auto"/>
          <w:highlight w:val="none"/>
        </w:rPr>
        <w:t>深化文明村镇创建，构建常态长效机制。将文明村镇创建纳入乡村振兴和基层党建重点任务，作为干部考核重要内容，推动</w:t>
      </w:r>
      <w:r>
        <w:rPr>
          <w:rFonts w:hint="eastAsia"/>
          <w:color w:val="auto"/>
          <w:highlight w:val="none"/>
          <w:lang w:eastAsia="zh-CN"/>
        </w:rPr>
        <w:t>文明培育、文明实践、文明创建</w:t>
      </w:r>
      <w:r>
        <w:rPr>
          <w:rFonts w:hint="eastAsia"/>
          <w:color w:val="auto"/>
          <w:highlight w:val="none"/>
        </w:rPr>
        <w:t>制度化、经常化。实施负面清单动态管理，对涉及违法违纪、安全生产事故、环境污染等情形的坚决不予提名或予以除名，确保创建质量。加强宣传引导，推广先进经验，营造学先进、赶先进、当先进的良好氛围，发挥文明村镇示范引领作用，带动乡村文明水平整体提升。</w:t>
      </w:r>
    </w:p>
    <w:p w14:paraId="411C2F5B">
      <w:pPr>
        <w:pStyle w:val="4"/>
        <w:bidi w:val="0"/>
        <w:rPr>
          <w:rFonts w:hint="eastAsia"/>
          <w:color w:val="auto"/>
          <w:highlight w:val="none"/>
          <w:lang w:val="en-US" w:eastAsia="zh-CN"/>
        </w:rPr>
      </w:pPr>
      <w:bookmarkStart w:id="167" w:name="_Toc30998"/>
      <w:bookmarkStart w:id="168" w:name="_Toc25916"/>
      <w:r>
        <w:rPr>
          <w:rFonts w:hint="eastAsia"/>
          <w:color w:val="auto"/>
          <w:highlight w:val="none"/>
          <w:lang w:val="en-US" w:eastAsia="zh-CN"/>
        </w:rPr>
        <w:t>（二）重塑文化生态，激活乡土文脉时代价值</w:t>
      </w:r>
      <w:bookmarkEnd w:id="165"/>
      <w:bookmarkEnd w:id="166"/>
      <w:bookmarkEnd w:id="167"/>
      <w:bookmarkEnd w:id="168"/>
    </w:p>
    <w:p w14:paraId="3D78A295">
      <w:pPr>
        <w:bidi w:val="0"/>
        <w:rPr>
          <w:rFonts w:hint="eastAsia"/>
          <w:color w:val="auto"/>
          <w:highlight w:val="none"/>
          <w:lang w:val="en-US" w:eastAsia="zh-CN"/>
        </w:rPr>
      </w:pPr>
      <w:r>
        <w:rPr>
          <w:rFonts w:hint="eastAsia"/>
          <w:color w:val="auto"/>
          <w:highlight w:val="none"/>
          <w:lang w:val="en-US" w:eastAsia="zh-CN"/>
        </w:rPr>
        <w:t>1.长城文脉保护与活态传承。实施“长城人家”文化保育工程，对长城沿线传统村落（如石峡、柳沟）进行风貌管控与活化利用，建立“长城村落数字档案库”。扶持石雕、砖刻、古建营造等非遗工坊，开发长城主题文创。复壮“绿色文物”，系统开展长城沿线古树名木抢救复壮及古树群生境保护，打造“长城古树文化走廊”。</w:t>
      </w:r>
    </w:p>
    <w:p w14:paraId="391372FB">
      <w:pPr>
        <w:bidi w:val="0"/>
        <w:rPr>
          <w:rFonts w:hint="eastAsia"/>
          <w:color w:val="auto"/>
          <w:highlight w:val="none"/>
        </w:rPr>
      </w:pPr>
      <w:r>
        <w:rPr>
          <w:rFonts w:hint="eastAsia"/>
          <w:color w:val="auto"/>
          <w:highlight w:val="none"/>
          <w:lang w:val="en-US" w:eastAsia="zh-CN"/>
        </w:rPr>
        <w:t>2.优化公共文化服务供给。优化公共文化服务供给。构建“十分钟文化服务圈”，提质升级街道乡镇文化中心、社区（村）文化室，提高基层公共文化设施建设管理水平和使用效率。健全群众性文化活动开展机制，拓展群众文化参与程度。继续举办好长城文化节、端午文化节等特色品牌文化活动，积极参与“歌唱北京”“舞动北京”“戏聚北京”“艺韵北京”“影像北京”和“阅读北京”系列文化活动，为基层文化人才、文艺骨干、乡贤文化人才提供创作及展示平台，全面展现延庆的人文风貌。</w:t>
      </w:r>
    </w:p>
    <w:p w14:paraId="0D943999">
      <w:pPr>
        <w:pStyle w:val="3"/>
        <w:numPr>
          <w:ilvl w:val="0"/>
          <w:numId w:val="2"/>
        </w:numPr>
        <w:bidi w:val="0"/>
        <w:rPr>
          <w:rFonts w:hint="eastAsia"/>
          <w:color w:val="auto"/>
          <w:highlight w:val="none"/>
        </w:rPr>
      </w:pPr>
      <w:bookmarkStart w:id="169" w:name="_Toc2605"/>
      <w:r>
        <w:rPr>
          <w:rFonts w:hint="eastAsia"/>
          <w:color w:val="auto"/>
          <w:highlight w:val="none"/>
          <w:lang w:val="en-US" w:eastAsia="zh-CN"/>
        </w:rPr>
        <w:t>重点任务九：</w:t>
      </w:r>
      <w:bookmarkStart w:id="170" w:name="_Toc1457"/>
      <w:bookmarkStart w:id="171" w:name="_Toc15280"/>
      <w:r>
        <w:rPr>
          <w:rFonts w:hint="eastAsia"/>
          <w:color w:val="auto"/>
          <w:highlight w:val="none"/>
        </w:rPr>
        <w:t>加强农村基层组织建设，推进乡村治理现代化</w:t>
      </w:r>
      <w:bookmarkEnd w:id="169"/>
      <w:bookmarkEnd w:id="170"/>
      <w:bookmarkEnd w:id="171"/>
    </w:p>
    <w:p w14:paraId="5A2D8ABE">
      <w:pPr>
        <w:bidi w:val="0"/>
        <w:rPr>
          <w:rFonts w:hint="eastAsia" w:ascii="仿宋_GB2312" w:hAnsi="仿宋_GB2312" w:eastAsia="仿宋_GB2312" w:cs="仿宋_GB2312"/>
          <w:color w:val="auto"/>
          <w:kern w:val="2"/>
          <w:szCs w:val="32"/>
          <w:highlight w:val="none"/>
          <w:lang w:val="en-US" w:eastAsia="zh-CN" w:bidi="ar-SA"/>
        </w:rPr>
      </w:pPr>
      <w:r>
        <w:rPr>
          <w:rFonts w:hint="eastAsia"/>
          <w:color w:val="auto"/>
          <w:highlight w:val="none"/>
          <w:lang w:val="en-US" w:eastAsia="zh-CN"/>
        </w:rPr>
        <w:t>立足山区治理实际与绿色发展使命，实施 “红擎聚能·善治延庆”工程，通过组织体系重构、数字治理赋能、多元协同破题，打造党建引领坚强有力、三治融合深度有效、平安韧性全域覆盖的首都乡村治理现代化标杆。</w:t>
      </w:r>
      <w:bookmarkStart w:id="172" w:name="_Toc18144"/>
    </w:p>
    <w:p w14:paraId="7C3A0864">
      <w:pPr>
        <w:pStyle w:val="4"/>
        <w:bidi w:val="0"/>
        <w:rPr>
          <w:rFonts w:hint="eastAsia"/>
          <w:color w:val="auto"/>
          <w:highlight w:val="none"/>
          <w:lang w:val="en-US" w:eastAsia="zh-CN"/>
        </w:rPr>
      </w:pPr>
      <w:bookmarkStart w:id="173" w:name="_Toc8026"/>
      <w:bookmarkStart w:id="174" w:name="_Toc1752"/>
      <w:r>
        <w:rPr>
          <w:rFonts w:hint="eastAsia"/>
          <w:color w:val="auto"/>
          <w:highlight w:val="none"/>
          <w:lang w:val="en-US" w:eastAsia="zh-CN"/>
        </w:rPr>
        <w:t>（一）实施“多级共振”强基工程，锻造堪当振兴重任的铁军</w:t>
      </w:r>
      <w:bookmarkEnd w:id="172"/>
      <w:bookmarkEnd w:id="173"/>
      <w:bookmarkEnd w:id="174"/>
    </w:p>
    <w:p w14:paraId="3B6B2E4F">
      <w:pPr>
        <w:bidi w:val="0"/>
        <w:rPr>
          <w:rFonts w:hint="eastAsia"/>
          <w:color w:val="auto"/>
          <w:highlight w:val="none"/>
          <w:lang w:val="en-US" w:eastAsia="zh-CN"/>
        </w:rPr>
      </w:pPr>
      <w:r>
        <w:rPr>
          <w:rFonts w:hint="eastAsia"/>
          <w:color w:val="auto"/>
          <w:highlight w:val="none"/>
          <w:lang w:val="en-US" w:eastAsia="zh-CN"/>
        </w:rPr>
        <w:t>1.深化班子能力重塑。统筹推进乡村领导班子和村“两委”换届工作，选优配强政治过硬、带富能力强的基层带头人。以组织振兴“头雁工程”为引领，实施“领航实训工程”，组织村干部开展研学，围绕特色农业种植、民宿集群运营等主题设立“书记项目”，通过“季度拉练+成果晾晒”推动头雁队伍在实践中提升产业带动力。完善村干部待遇保障体系，落实报酬增长机制和养老医疗保障。建立干部培育储备常态整合机制，动态储备农业农村、文旅融合等领域专业人才。</w:t>
      </w:r>
    </w:p>
    <w:p w14:paraId="2A74FB2A">
      <w:pPr>
        <w:bidi w:val="0"/>
        <w:rPr>
          <w:rFonts w:hint="eastAsia"/>
          <w:color w:val="auto"/>
          <w:highlight w:val="none"/>
          <w:lang w:val="en-US" w:eastAsia="zh-CN"/>
        </w:rPr>
      </w:pPr>
      <w:bookmarkStart w:id="175" w:name="_Toc31513"/>
      <w:r>
        <w:rPr>
          <w:rFonts w:hint="eastAsia"/>
          <w:color w:val="auto"/>
          <w:highlight w:val="none"/>
          <w:lang w:val="en-US" w:eastAsia="zh-CN"/>
        </w:rPr>
        <w:t>2.构建村级监督体系建设。健全完善以村党组织为领导核心、村民会议或村民代表会议为决策机构、村民委员会为管理执行机构，村务监督委员会充分发挥监督作用的农村基层自治组织体系，指导村务监督委员会认真履行村务监督工作职能，着重做好村务决策执行、村务公开</w:t>
      </w:r>
      <w:r>
        <w:rPr>
          <w:rFonts w:hint="default"/>
          <w:color w:val="auto"/>
          <w:highlight w:val="none"/>
          <w:lang w:val="en-US" w:eastAsia="zh-CN"/>
        </w:rPr>
        <w:t>事项合法性和及时性</w:t>
      </w:r>
      <w:r>
        <w:rPr>
          <w:rFonts w:hint="eastAsia"/>
          <w:color w:val="auto"/>
          <w:highlight w:val="none"/>
          <w:lang w:val="en-US" w:eastAsia="zh-CN"/>
        </w:rPr>
        <w:t>、村委会成员履职情况等方面监督工作，完善落实工作例会、学习培训、印章管理等制度。</w:t>
      </w:r>
    </w:p>
    <w:p w14:paraId="200CBCC9">
      <w:pPr>
        <w:pStyle w:val="4"/>
        <w:bidi w:val="0"/>
        <w:rPr>
          <w:rFonts w:hint="eastAsia"/>
          <w:color w:val="auto"/>
          <w:highlight w:val="none"/>
          <w:lang w:val="en-US" w:eastAsia="zh-CN"/>
        </w:rPr>
      </w:pPr>
      <w:bookmarkStart w:id="176" w:name="_Toc4925"/>
      <w:bookmarkStart w:id="177" w:name="_Toc20662"/>
      <w:r>
        <w:rPr>
          <w:rFonts w:hint="eastAsia"/>
          <w:color w:val="auto"/>
          <w:highlight w:val="none"/>
          <w:lang w:val="en-US" w:eastAsia="zh-CN"/>
        </w:rPr>
        <w:t>（二）构建“多维一体”治理网络，破解山区治理碎片化难题</w:t>
      </w:r>
      <w:bookmarkEnd w:id="175"/>
      <w:bookmarkEnd w:id="176"/>
      <w:bookmarkEnd w:id="177"/>
    </w:p>
    <w:p w14:paraId="35E4B34D">
      <w:pPr>
        <w:bidi w:val="0"/>
        <w:rPr>
          <w:rFonts w:hint="eastAsia"/>
          <w:color w:val="auto"/>
          <w:highlight w:val="none"/>
          <w:lang w:val="en-US" w:eastAsia="zh-CN"/>
        </w:rPr>
      </w:pPr>
      <w:r>
        <w:rPr>
          <w:rFonts w:hint="eastAsia"/>
          <w:color w:val="auto"/>
          <w:highlight w:val="none"/>
          <w:lang w:val="en-US" w:eastAsia="zh-CN"/>
        </w:rPr>
        <w:t>1.打造“三级贯通”治理中枢。区级建立“乡村治理指挥云图”，集成12345涉农诉求、森林防火监测等各类系统。镇级建设“一站式治理服务中心”，统筹综合执法、应急管理、民生服务等。村级推行“微网格治理3.0”（10户联防组+党员中心户），赋予网格员生态巡查、民宿报备等权限。</w:t>
      </w:r>
    </w:p>
    <w:p w14:paraId="4F8AB99B">
      <w:pPr>
        <w:bidi w:val="0"/>
        <w:rPr>
          <w:rFonts w:hint="eastAsia"/>
          <w:color w:val="auto"/>
          <w:highlight w:val="none"/>
          <w:lang w:val="en-US" w:eastAsia="zh-CN"/>
        </w:rPr>
      </w:pPr>
      <w:r>
        <w:rPr>
          <w:rFonts w:hint="eastAsia"/>
          <w:color w:val="auto"/>
          <w:highlight w:val="none"/>
          <w:lang w:val="en-US" w:eastAsia="zh-CN"/>
        </w:rPr>
        <w:t>2.创新“山川协同”治理机制</w:t>
      </w:r>
      <w:bookmarkStart w:id="178" w:name="_Toc12406"/>
      <w:r>
        <w:rPr>
          <w:rFonts w:hint="eastAsia"/>
          <w:color w:val="auto"/>
          <w:highlight w:val="none"/>
          <w:lang w:val="en-US" w:eastAsia="zh-CN"/>
        </w:rPr>
        <w:t>。山区川区联动，建立长城沿线6乡镇“生态保护党建联盟”，共管森林防火、文物巡查。村企共建，在民宿集群区推行“村党支部+经营主体”共治理事会，逐步推行百里画廊试点“分红反哺治理基金”模式。</w:t>
      </w:r>
    </w:p>
    <w:p w14:paraId="7AD4F465">
      <w:pPr>
        <w:pStyle w:val="4"/>
        <w:bidi w:val="0"/>
        <w:rPr>
          <w:rFonts w:hint="eastAsia"/>
          <w:color w:val="auto"/>
          <w:highlight w:val="none"/>
          <w:lang w:val="en-US" w:eastAsia="zh-CN"/>
        </w:rPr>
      </w:pPr>
      <w:bookmarkStart w:id="179" w:name="_Toc1133"/>
      <w:bookmarkStart w:id="180" w:name="_Toc7963"/>
      <w:r>
        <w:rPr>
          <w:rFonts w:hint="eastAsia"/>
          <w:color w:val="auto"/>
          <w:highlight w:val="none"/>
          <w:lang w:val="en-US" w:eastAsia="zh-CN"/>
        </w:rPr>
        <w:t>（三）深化“三治融合”实践场景，激发乡村善治内生动力</w:t>
      </w:r>
      <w:bookmarkEnd w:id="178"/>
      <w:bookmarkEnd w:id="179"/>
      <w:bookmarkEnd w:id="180"/>
    </w:p>
    <w:p w14:paraId="7160A77B">
      <w:pPr>
        <w:bidi w:val="0"/>
        <w:rPr>
          <w:rFonts w:hint="default"/>
          <w:color w:val="auto"/>
          <w:highlight w:val="none"/>
          <w:lang w:val="en-US" w:eastAsia="zh-CN"/>
        </w:rPr>
      </w:pPr>
      <w:r>
        <w:rPr>
          <w:rFonts w:hint="eastAsia"/>
          <w:color w:val="auto"/>
          <w:highlight w:val="none"/>
          <w:lang w:val="en-US" w:eastAsia="zh-CN"/>
        </w:rPr>
        <w:t>1.自治强基。乡镇、村党组织发挥全面领导作用，宣传党的主张、执行党的决定，完善党组织对农村各类组织和各项工作的领导机制，推动完善自治、法治、德治相结合的乡村治理体系。村镇实行党务、政（村）务、财务公开制度，村级重大事项决策实行“四议一审两公开”。依法履职清单，依法协助清单推广清单制、积分制等乡村治理创新模式。发挥村民议事会、道德评议会、红白理事会、禁毒禁赌会等群众组织的作用，持之以恒推进移风易俗工作。强化村民参与村级事务，推广“村民说事”“有事好商量”等社会矛盾纠纷多元预防调处化解综合机制，推进和谐邻里建设。不断推动民主选举、民主协商、民主决策、民主管理、民主监督在乡村走深走实。</w:t>
      </w:r>
    </w:p>
    <w:p w14:paraId="12963ED2">
      <w:pPr>
        <w:bidi w:val="0"/>
        <w:rPr>
          <w:rFonts w:hint="eastAsia"/>
          <w:color w:val="auto"/>
          <w:highlight w:val="none"/>
          <w:lang w:val="en-US" w:eastAsia="zh-CN"/>
        </w:rPr>
      </w:pPr>
      <w:r>
        <w:rPr>
          <w:rFonts w:hint="eastAsia"/>
          <w:color w:val="auto"/>
          <w:highlight w:val="none"/>
          <w:lang w:val="en-US" w:eastAsia="zh-CN"/>
        </w:rPr>
        <w:t>2.法治保障。强化乡村法律服务供给。健全区、乡镇、村三级公共法律服务实体平台，实现每村配备1名村居法律顾问全覆盖。改进服务模式，将法律咨询、法律援助、人民调解等纳入农村基本公共服务，实施“1名村（居）法律顾问+N名法律明白人”行动，提升基层依法治理合力。</w:t>
      </w:r>
      <w:r>
        <w:rPr>
          <w:rFonts w:hint="eastAsia"/>
          <w:color w:val="auto"/>
          <w:highlight w:val="none"/>
        </w:rPr>
        <w:t>深化“法律进农村”工作，</w:t>
      </w:r>
      <w:r>
        <w:rPr>
          <w:rFonts w:hint="eastAsia"/>
          <w:color w:val="auto"/>
          <w:highlight w:val="none"/>
          <w:lang w:eastAsia="zh-CN"/>
        </w:rPr>
        <w:t>有效</w:t>
      </w:r>
      <w:r>
        <w:rPr>
          <w:rFonts w:hint="eastAsia"/>
          <w:color w:val="auto"/>
          <w:highlight w:val="none"/>
        </w:rPr>
        <w:t>整合法治资源，</w:t>
      </w:r>
      <w:r>
        <w:rPr>
          <w:rFonts w:hint="eastAsia"/>
          <w:color w:val="auto"/>
          <w:highlight w:val="none"/>
          <w:lang w:eastAsia="zh-CN"/>
        </w:rPr>
        <w:t>提升农村基层干部和“法律明白人”</w:t>
      </w:r>
      <w:r>
        <w:rPr>
          <w:rFonts w:hint="eastAsia"/>
          <w:color w:val="auto"/>
          <w:highlight w:val="none"/>
        </w:rPr>
        <w:t>法治素养。</w:t>
      </w:r>
    </w:p>
    <w:p w14:paraId="76245902">
      <w:pPr>
        <w:bidi w:val="0"/>
        <w:rPr>
          <w:rFonts w:hint="eastAsia"/>
          <w:color w:val="auto"/>
          <w:highlight w:val="none"/>
          <w:lang w:val="en-US" w:eastAsia="zh-CN"/>
        </w:rPr>
      </w:pPr>
      <w:r>
        <w:rPr>
          <w:rFonts w:hint="eastAsia"/>
          <w:color w:val="auto"/>
          <w:highlight w:val="none"/>
          <w:lang w:val="en-US" w:eastAsia="zh-CN"/>
        </w:rPr>
        <w:t>3.德治润心。深化新时代文明实践“延庆品牌”，特色阵地建设，打造“1+N”实践网络，以区级文明实践中心为枢纽，依托乡镇党群服务中心、长城文化带、生态驿站等资源，建设“红色教育”“生态环保”“非遗传承”等主题实践站，实现“一站一特色”。推广“点单式”服务，通过数字平台收集村民需求，精准配送理论宣讲、农技培训、家风课堂等服务，每年开展活动不少于200场次。传承“延庆乡韵”，</w:t>
      </w:r>
      <w:r>
        <w:rPr>
          <w:rFonts w:hint="eastAsia"/>
          <w:color w:val="auto"/>
          <w:highlight w:val="none"/>
        </w:rPr>
        <w:t>挖掘永宁古城、山梆子戏、花钹大鼓等非遗文化，组建“乡村文化合作社”，</w:t>
      </w:r>
      <w:r>
        <w:rPr>
          <w:rFonts w:hint="eastAsia"/>
          <w:color w:val="auto"/>
          <w:highlight w:val="none"/>
          <w:lang w:val="en-US" w:eastAsia="zh-CN"/>
        </w:rPr>
        <w:t>创作反映孝老爱亲、诚信守约的文艺作品，每年巡演50场以上。推行“道德评议台”，由村民代表、乡贤组成评议组，对陋习进行公开评议，结果与“文明家庭”评选挂钩。</w:t>
      </w:r>
    </w:p>
    <w:p w14:paraId="03E15C17">
      <w:pPr>
        <w:bidi w:val="0"/>
        <w:rPr>
          <w:rFonts w:hint="eastAsia"/>
          <w:color w:val="auto"/>
          <w:highlight w:val="none"/>
          <w:lang w:val="en-US" w:eastAsia="zh-CN"/>
        </w:rPr>
      </w:pPr>
      <w:r>
        <w:rPr>
          <w:rFonts w:hint="eastAsia"/>
          <w:color w:val="auto"/>
          <w:highlight w:val="none"/>
          <w:lang w:val="en-US" w:eastAsia="zh-CN"/>
        </w:rPr>
        <w:t>4.文化凝心。将铸牢中华民族共同体意识融入乡村文明实践，依托新时代文明实践站开展“民族团结一家亲”主题活动。结合“延庆乡韵”挖掘各民族交融历史，通过“乡村大舞台”促进文化互鉴。建立“多民族互助小组”，在特色农业、民宿经营等领域结对帮扶，评选“民族团结示范户”，推动各民族在乡村振兴中守望相助。</w:t>
      </w:r>
    </w:p>
    <w:p w14:paraId="246F22CE">
      <w:pPr>
        <w:rPr>
          <w:rFonts w:hint="eastAsia"/>
          <w:color w:val="auto"/>
          <w:highlight w:val="none"/>
        </w:rPr>
      </w:pPr>
    </w:p>
    <w:p w14:paraId="7C5BDBEC">
      <w:pPr>
        <w:pStyle w:val="3"/>
        <w:numPr>
          <w:ilvl w:val="0"/>
          <w:numId w:val="2"/>
        </w:numPr>
        <w:bidi w:val="0"/>
        <w:rPr>
          <w:rFonts w:hint="eastAsia"/>
          <w:color w:val="auto"/>
          <w:highlight w:val="none"/>
          <w:lang w:val="en-US" w:eastAsia="zh-CN"/>
        </w:rPr>
      </w:pPr>
      <w:bookmarkStart w:id="181" w:name="_Toc643"/>
      <w:bookmarkStart w:id="182" w:name="_Toc1399"/>
      <w:r>
        <w:rPr>
          <w:rFonts w:hint="eastAsia"/>
          <w:color w:val="auto"/>
          <w:highlight w:val="none"/>
          <w:lang w:val="en-US" w:eastAsia="zh-CN"/>
        </w:rPr>
        <w:t>保障措施</w:t>
      </w:r>
      <w:bookmarkEnd w:id="181"/>
      <w:bookmarkEnd w:id="182"/>
    </w:p>
    <w:p w14:paraId="15CE6367">
      <w:pPr>
        <w:bidi w:val="0"/>
        <w:rPr>
          <w:rFonts w:hint="eastAsia"/>
          <w:color w:val="auto"/>
          <w:highlight w:val="none"/>
          <w:lang w:val="en-US" w:eastAsia="zh-CN"/>
        </w:rPr>
      </w:pPr>
      <w:bookmarkStart w:id="183" w:name="_Toc10243"/>
      <w:r>
        <w:rPr>
          <w:rFonts w:hint="eastAsia"/>
          <w:color w:val="auto"/>
          <w:highlight w:val="none"/>
          <w:lang w:val="en-US" w:eastAsia="zh-CN"/>
        </w:rPr>
        <w:t>通过高位统筹、多元协同、闭环管控共筑现代化强基工程。</w:t>
      </w:r>
      <w:bookmarkStart w:id="184" w:name="_Toc30006"/>
    </w:p>
    <w:p w14:paraId="6B430C88">
      <w:pPr>
        <w:pStyle w:val="4"/>
        <w:bidi w:val="0"/>
        <w:rPr>
          <w:rFonts w:hint="eastAsia"/>
          <w:color w:val="auto"/>
          <w:highlight w:val="none"/>
          <w:lang w:val="en-US" w:eastAsia="zh-CN"/>
        </w:rPr>
      </w:pPr>
      <w:bookmarkStart w:id="185" w:name="_Toc5374"/>
      <w:r>
        <w:rPr>
          <w:rFonts w:hint="eastAsia"/>
          <w:color w:val="auto"/>
          <w:highlight w:val="none"/>
          <w:lang w:val="en-US" w:eastAsia="zh-CN"/>
        </w:rPr>
        <w:t>（一）</w:t>
      </w:r>
      <w:bookmarkEnd w:id="183"/>
      <w:bookmarkEnd w:id="184"/>
      <w:bookmarkStart w:id="186" w:name="_Toc20053"/>
      <w:r>
        <w:rPr>
          <w:rFonts w:hint="eastAsia"/>
          <w:color w:val="auto"/>
          <w:highlight w:val="none"/>
          <w:lang w:val="en-US" w:eastAsia="zh-CN"/>
        </w:rPr>
        <w:t>强化统筹协调的组织领导体系</w:t>
      </w:r>
      <w:bookmarkEnd w:id="185"/>
    </w:p>
    <w:p w14:paraId="205CE14E">
      <w:pPr>
        <w:bidi w:val="0"/>
        <w:rPr>
          <w:rFonts w:hint="eastAsia"/>
          <w:color w:val="auto"/>
          <w:highlight w:val="none"/>
          <w:lang w:val="en-US" w:eastAsia="zh-CN"/>
        </w:rPr>
      </w:pPr>
      <w:r>
        <w:rPr>
          <w:rFonts w:hint="eastAsia"/>
          <w:color w:val="auto"/>
          <w:highlight w:val="none"/>
          <w:lang w:val="en-US" w:eastAsia="zh-CN"/>
        </w:rPr>
        <w:t>1.健全高位统筹机制：成立由区委书记任组长的规划实施领导小组，设立农业农村现代化指挥部，建立“季度调度、年度评估、中期调整”推进机制。</w:t>
      </w:r>
    </w:p>
    <w:p w14:paraId="2D0C691F">
      <w:pPr>
        <w:bidi w:val="0"/>
        <w:rPr>
          <w:rFonts w:hint="eastAsia"/>
          <w:color w:val="auto"/>
          <w:highlight w:val="none"/>
          <w:lang w:val="en-US" w:eastAsia="zh-CN"/>
        </w:rPr>
      </w:pPr>
      <w:r>
        <w:rPr>
          <w:rFonts w:hint="eastAsia"/>
          <w:color w:val="auto"/>
          <w:highlight w:val="none"/>
          <w:lang w:val="en-US" w:eastAsia="zh-CN"/>
        </w:rPr>
        <w:t>2.压实三级书记责任：将规划重点任务纳入乡镇党政班子考核，实行“乡村振兴实绩清单”公示制度，考核结果与干部任用、资金分配直接挂钩。</w:t>
      </w:r>
    </w:p>
    <w:p w14:paraId="5C1752CF">
      <w:pPr>
        <w:pStyle w:val="4"/>
        <w:bidi w:val="0"/>
        <w:rPr>
          <w:rFonts w:hint="eastAsia"/>
          <w:color w:val="auto"/>
          <w:highlight w:val="none"/>
          <w:lang w:val="en-US" w:eastAsia="zh-CN"/>
        </w:rPr>
      </w:pPr>
      <w:bookmarkStart w:id="187" w:name="_Toc1523"/>
      <w:bookmarkStart w:id="188" w:name="_Toc28164"/>
      <w:r>
        <w:rPr>
          <w:rFonts w:hint="eastAsia"/>
          <w:color w:val="auto"/>
          <w:highlight w:val="none"/>
          <w:lang w:val="en-US" w:eastAsia="zh-CN"/>
        </w:rPr>
        <w:t>（二）</w:t>
      </w:r>
      <w:bookmarkEnd w:id="186"/>
      <w:bookmarkEnd w:id="187"/>
      <w:bookmarkStart w:id="189" w:name="_Toc25902"/>
      <w:r>
        <w:rPr>
          <w:rFonts w:hint="eastAsia"/>
          <w:color w:val="auto"/>
          <w:highlight w:val="none"/>
          <w:lang w:val="en-US" w:eastAsia="zh-CN"/>
        </w:rPr>
        <w:t>构建协同高效的联动工作机制</w:t>
      </w:r>
      <w:bookmarkEnd w:id="188"/>
    </w:p>
    <w:p w14:paraId="6D18BBEF">
      <w:pPr>
        <w:bidi w:val="0"/>
        <w:rPr>
          <w:rFonts w:hint="eastAsia"/>
          <w:color w:val="auto"/>
          <w:highlight w:val="none"/>
          <w:lang w:val="en-US" w:eastAsia="zh-CN"/>
        </w:rPr>
      </w:pPr>
      <w:r>
        <w:rPr>
          <w:rFonts w:hint="eastAsia"/>
          <w:color w:val="auto"/>
          <w:highlight w:val="none"/>
          <w:lang w:val="en-US" w:eastAsia="zh-CN"/>
        </w:rPr>
        <w:t>1.深化部门协同：建立农业农村、生态环保、文旅等部门“联席会商”制度，针对农旅融合、碳汇开发等跨领域任务组建专班攻坚。</w:t>
      </w:r>
    </w:p>
    <w:p w14:paraId="3E12E679">
      <w:pPr>
        <w:bidi w:val="0"/>
        <w:rPr>
          <w:rFonts w:hint="eastAsia"/>
          <w:color w:val="auto"/>
          <w:highlight w:val="none"/>
          <w:lang w:val="en-US" w:eastAsia="zh-CN"/>
        </w:rPr>
      </w:pPr>
      <w:r>
        <w:rPr>
          <w:rFonts w:hint="eastAsia"/>
          <w:color w:val="auto"/>
          <w:highlight w:val="none"/>
          <w:lang w:val="en-US" w:eastAsia="zh-CN"/>
        </w:rPr>
        <w:t>2.推动社会参与：成立延庆乡村振兴专家智库，吸纳高校、企业代表参与政策设计；开通“妫水兴农”公众参与平台，畅通村民诉求反馈渠道。</w:t>
      </w:r>
    </w:p>
    <w:p w14:paraId="0BAC12E8">
      <w:pPr>
        <w:pStyle w:val="4"/>
        <w:bidi w:val="0"/>
        <w:rPr>
          <w:rFonts w:hint="eastAsia"/>
          <w:color w:val="auto"/>
          <w:highlight w:val="none"/>
          <w:lang w:val="en-US" w:eastAsia="zh-CN"/>
        </w:rPr>
      </w:pPr>
      <w:bookmarkStart w:id="190" w:name="_Toc9431"/>
      <w:bookmarkStart w:id="191" w:name="_Toc19840"/>
      <w:r>
        <w:rPr>
          <w:rFonts w:hint="eastAsia"/>
          <w:color w:val="auto"/>
          <w:highlight w:val="none"/>
          <w:lang w:val="en-US" w:eastAsia="zh-CN"/>
        </w:rPr>
        <w:t>（三）</w:t>
      </w:r>
      <w:bookmarkEnd w:id="189"/>
      <w:bookmarkEnd w:id="190"/>
      <w:bookmarkStart w:id="192" w:name="_Toc30703"/>
      <w:r>
        <w:rPr>
          <w:rFonts w:hint="eastAsia"/>
          <w:color w:val="auto"/>
          <w:highlight w:val="none"/>
          <w:lang w:val="en-US" w:eastAsia="zh-CN"/>
        </w:rPr>
        <w:t>完善生态优先的考核评价机制</w:t>
      </w:r>
      <w:bookmarkEnd w:id="191"/>
    </w:p>
    <w:p w14:paraId="2B569A41">
      <w:pPr>
        <w:bidi w:val="0"/>
        <w:rPr>
          <w:rFonts w:hint="eastAsia"/>
          <w:color w:val="auto"/>
          <w:highlight w:val="none"/>
          <w:lang w:val="en-US" w:eastAsia="zh-CN"/>
        </w:rPr>
      </w:pPr>
      <w:r>
        <w:rPr>
          <w:rFonts w:hint="eastAsia"/>
          <w:color w:val="auto"/>
          <w:highlight w:val="none"/>
          <w:lang w:val="en-US" w:eastAsia="zh-CN"/>
        </w:rPr>
        <w:t>优化考核指标，增设“有机认证面积占比”“生态产品价值转化率”“联农带农覆盖率”等特色指标，生态类权重提升至40%。</w:t>
      </w:r>
    </w:p>
    <w:p w14:paraId="64CDFF63">
      <w:pPr>
        <w:pStyle w:val="4"/>
        <w:bidi w:val="0"/>
        <w:rPr>
          <w:rFonts w:hint="eastAsia"/>
          <w:color w:val="auto"/>
          <w:highlight w:val="none"/>
          <w:lang w:val="en-US" w:eastAsia="zh-CN"/>
        </w:rPr>
      </w:pPr>
      <w:bookmarkStart w:id="193" w:name="_Toc16828"/>
      <w:bookmarkStart w:id="194" w:name="_Toc23444"/>
      <w:r>
        <w:rPr>
          <w:rFonts w:hint="eastAsia"/>
          <w:color w:val="auto"/>
          <w:highlight w:val="none"/>
          <w:lang w:val="en-US" w:eastAsia="zh-CN"/>
        </w:rPr>
        <w:t>（四）</w:t>
      </w:r>
      <w:bookmarkEnd w:id="192"/>
      <w:bookmarkEnd w:id="193"/>
      <w:r>
        <w:rPr>
          <w:rFonts w:hint="eastAsia"/>
          <w:color w:val="auto"/>
          <w:highlight w:val="none"/>
          <w:lang w:val="en-US" w:eastAsia="zh-CN"/>
        </w:rPr>
        <w:t>强化多元投入的资源要素保障</w:t>
      </w:r>
      <w:bookmarkEnd w:id="194"/>
    </w:p>
    <w:p w14:paraId="2C045AC2">
      <w:pPr>
        <w:bidi w:val="0"/>
        <w:rPr>
          <w:rFonts w:hint="eastAsia"/>
          <w:color w:val="auto"/>
          <w:highlight w:val="none"/>
          <w:lang w:val="en-US" w:eastAsia="zh-CN"/>
        </w:rPr>
      </w:pPr>
      <w:r>
        <w:rPr>
          <w:rFonts w:hint="eastAsia"/>
          <w:color w:val="auto"/>
          <w:highlight w:val="none"/>
          <w:lang w:val="en-US" w:eastAsia="zh-CN"/>
        </w:rPr>
        <w:t>1.土地要素保障：单列1%新增建设用地指标专项支持乡村产业，试点集体经营性建设用地“点状供地”；闲置宅基地盘活指标优先用于民宿、初加工项目。</w:t>
      </w:r>
    </w:p>
    <w:p w14:paraId="58E4673D">
      <w:pPr>
        <w:bidi w:val="0"/>
        <w:rPr>
          <w:rFonts w:hint="eastAsia"/>
          <w:color w:val="auto"/>
          <w:highlight w:val="none"/>
          <w:lang w:val="en-US" w:eastAsia="zh-CN"/>
        </w:rPr>
      </w:pPr>
      <w:r>
        <w:rPr>
          <w:rFonts w:hint="eastAsia"/>
          <w:color w:val="auto"/>
          <w:highlight w:val="none"/>
          <w:lang w:val="en-US" w:eastAsia="zh-CN"/>
        </w:rPr>
        <w:t>2.资金长效投入：区财政年均支农增幅高于一般预算支出3个百分点；用好市政府绿色债券额度，争取国家级生态补偿试点资金。</w:t>
      </w:r>
    </w:p>
    <w:p w14:paraId="2CE23AF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textAlignment w:val="auto"/>
        <w:rPr>
          <w:rFonts w:hint="eastAsia"/>
          <w:color w:val="auto"/>
          <w:highlight w:val="none"/>
          <w:lang w:val="en-US" w:eastAsia="zh-CN"/>
        </w:rPr>
      </w:pPr>
    </w:p>
    <w:p w14:paraId="5F8E4AD7">
      <w:pPr>
        <w:rPr>
          <w:rFonts w:hint="eastAsia"/>
          <w:color w:val="auto"/>
          <w:highlight w:val="none"/>
          <w:lang w:val="en-US" w:eastAsia="zh-CN"/>
        </w:rPr>
      </w:pPr>
      <w:r>
        <w:rPr>
          <w:rFonts w:hint="eastAsia"/>
          <w:color w:val="auto"/>
          <w:highlight w:val="none"/>
          <w:lang w:val="en-US" w:eastAsia="zh-CN"/>
        </w:rPr>
        <w:br w:type="page"/>
      </w:r>
    </w:p>
    <w:p w14:paraId="51C9AE0C">
      <w:pPr>
        <w:pStyle w:val="3"/>
        <w:bidi w:val="0"/>
        <w:rPr>
          <w:rFonts w:hint="eastAsia"/>
          <w:color w:val="auto"/>
          <w:highlight w:val="none"/>
          <w:lang w:val="en-US" w:eastAsia="zh-CN"/>
        </w:rPr>
      </w:pPr>
      <w:bookmarkStart w:id="195" w:name="_Toc10031"/>
      <w:r>
        <w:rPr>
          <w:rFonts w:hint="eastAsia"/>
          <w:color w:val="auto"/>
          <w:highlight w:val="none"/>
          <w:lang w:val="en-US" w:eastAsia="zh-CN"/>
        </w:rPr>
        <w:t>附件</w:t>
      </w:r>
      <w:bookmarkEnd w:id="195"/>
    </w:p>
    <w:p w14:paraId="232B444C">
      <w:pPr>
        <w:bidi w:val="0"/>
        <w:rPr>
          <w:rFonts w:hint="eastAsia"/>
          <w:color w:val="auto"/>
          <w:highlight w:val="none"/>
          <w:lang w:val="en-US" w:eastAsia="zh-CN"/>
        </w:rPr>
      </w:pPr>
      <w:r>
        <w:rPr>
          <w:rFonts w:hint="eastAsia"/>
          <w:color w:val="auto"/>
          <w:highlight w:val="none"/>
          <w:lang w:val="en-US" w:eastAsia="zh-CN"/>
        </w:rPr>
        <w:t>附件1：拟研提延庆区“十五五”时期（2026-2030）规划重点任务情况表</w:t>
      </w:r>
    </w:p>
    <w:p w14:paraId="45277644">
      <w:pPr>
        <w:bidi w:val="0"/>
        <w:rPr>
          <w:rFonts w:hint="eastAsia"/>
          <w:color w:val="auto"/>
          <w:highlight w:val="none"/>
          <w:lang w:val="en-US" w:eastAsia="zh-CN"/>
        </w:rPr>
      </w:pPr>
      <w:r>
        <w:rPr>
          <w:rFonts w:hint="eastAsia"/>
          <w:color w:val="auto"/>
          <w:highlight w:val="none"/>
          <w:lang w:val="en-US" w:eastAsia="zh-CN"/>
        </w:rPr>
        <w:t>附件2：拟研提延庆区“十五五”时期（2026-2030）规划重点项目清单</w:t>
      </w:r>
    </w:p>
    <w:p w14:paraId="63A86431">
      <w:pPr>
        <w:bidi w:val="0"/>
        <w:rPr>
          <w:rFonts w:hint="eastAsia"/>
          <w:color w:val="auto"/>
          <w:highlight w:val="none"/>
          <w:lang w:val="en-US" w:eastAsia="zh-CN"/>
        </w:rPr>
      </w:pPr>
      <w:r>
        <w:rPr>
          <w:rFonts w:hint="eastAsia"/>
          <w:color w:val="auto"/>
          <w:highlight w:val="none"/>
          <w:lang w:val="en-US" w:eastAsia="zh-CN"/>
        </w:rPr>
        <w:t>附件3：拟研提延庆区“十五五”时期（2026-2030）政策及改革举措清单</w:t>
      </w:r>
    </w:p>
    <w:p w14:paraId="1AFFC3BD">
      <w:pPr>
        <w:bidi w:val="0"/>
        <w:rPr>
          <w:rFonts w:hint="default"/>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1</w:t>
      </w:r>
      <w:r>
        <w:rPr>
          <w:rFonts w:hint="default"/>
          <w:color w:val="auto"/>
          <w:highlight w:val="none"/>
          <w:lang w:val="en-US" w:eastAsia="zh-CN"/>
        </w:rPr>
        <w:t>：高效示范田及高附加值示范田建设分布图</w:t>
      </w:r>
    </w:p>
    <w:p w14:paraId="71263D13">
      <w:pPr>
        <w:bidi w:val="0"/>
        <w:rPr>
          <w:rFonts w:hint="default"/>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2</w:t>
      </w:r>
      <w:r>
        <w:rPr>
          <w:rFonts w:hint="default"/>
          <w:color w:val="auto"/>
          <w:highlight w:val="none"/>
          <w:lang w:val="en-US" w:eastAsia="zh-CN"/>
        </w:rPr>
        <w:t>：露地冷凉蔬菜示范园及育苗基地规划分布图</w:t>
      </w:r>
    </w:p>
    <w:p w14:paraId="450DF167">
      <w:pPr>
        <w:bidi w:val="0"/>
        <w:rPr>
          <w:rFonts w:hint="default"/>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3</w:t>
      </w:r>
      <w:r>
        <w:rPr>
          <w:rFonts w:hint="default"/>
          <w:color w:val="auto"/>
          <w:highlight w:val="none"/>
          <w:lang w:val="en-US" w:eastAsia="zh-CN"/>
        </w:rPr>
        <w:t>：低效果园更新及智慧化绿色果园建设分布图</w:t>
      </w:r>
    </w:p>
    <w:p w14:paraId="78255992">
      <w:pPr>
        <w:bidi w:val="0"/>
        <w:rPr>
          <w:rFonts w:hint="default"/>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4</w:t>
      </w:r>
      <w:r>
        <w:rPr>
          <w:rFonts w:hint="default"/>
          <w:color w:val="auto"/>
          <w:highlight w:val="none"/>
          <w:lang w:val="en-US" w:eastAsia="zh-CN"/>
        </w:rPr>
        <w:t>：北京延庆林果花草蜂药种业创新孵化基地规划图</w:t>
      </w:r>
    </w:p>
    <w:p w14:paraId="09FB8D98">
      <w:pPr>
        <w:bidi w:val="0"/>
        <w:rPr>
          <w:rFonts w:hint="default"/>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5</w:t>
      </w:r>
      <w:r>
        <w:rPr>
          <w:rFonts w:hint="default"/>
          <w:color w:val="auto"/>
          <w:highlight w:val="none"/>
          <w:lang w:val="en-US" w:eastAsia="zh-CN"/>
        </w:rPr>
        <w:t>：现代设施农业规划图</w:t>
      </w:r>
    </w:p>
    <w:p w14:paraId="3AACFF19">
      <w:pPr>
        <w:bidi w:val="0"/>
        <w:rPr>
          <w:rFonts w:hint="default"/>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6</w:t>
      </w:r>
      <w:r>
        <w:rPr>
          <w:rFonts w:hint="default"/>
          <w:color w:val="auto"/>
          <w:highlight w:val="none"/>
          <w:lang w:val="en-US" w:eastAsia="zh-CN"/>
        </w:rPr>
        <w:t>：有机果蔬示范基地规划图</w:t>
      </w:r>
    </w:p>
    <w:p w14:paraId="752F9B3C">
      <w:pPr>
        <w:bidi w:val="0"/>
        <w:rPr>
          <w:rFonts w:hint="default"/>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7</w:t>
      </w:r>
      <w:r>
        <w:rPr>
          <w:rFonts w:hint="default"/>
          <w:color w:val="auto"/>
          <w:highlight w:val="none"/>
          <w:lang w:val="en-US" w:eastAsia="zh-CN"/>
        </w:rPr>
        <w:t>：社会化服务组织规划分布图</w:t>
      </w:r>
    </w:p>
    <w:p w14:paraId="545A9144">
      <w:pPr>
        <w:bidi w:val="0"/>
        <w:rPr>
          <w:rFonts w:hint="default"/>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8</w:t>
      </w:r>
      <w:r>
        <w:rPr>
          <w:rFonts w:hint="default"/>
          <w:color w:val="auto"/>
          <w:highlight w:val="none"/>
          <w:lang w:val="en-US" w:eastAsia="zh-CN"/>
        </w:rPr>
        <w:t>：乡村特色产业规划分布图</w:t>
      </w:r>
    </w:p>
    <w:p w14:paraId="57843A39">
      <w:pPr>
        <w:bidi w:val="0"/>
        <w:rPr>
          <w:rFonts w:hint="default"/>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9</w:t>
      </w:r>
      <w:r>
        <w:rPr>
          <w:rFonts w:hint="default"/>
          <w:color w:val="auto"/>
          <w:highlight w:val="none"/>
          <w:lang w:val="en-US" w:eastAsia="zh-CN"/>
        </w:rPr>
        <w:t>：农产品仓储加工及商贸物流规划分布图</w:t>
      </w:r>
    </w:p>
    <w:p w14:paraId="1E92C7AE">
      <w:pPr>
        <w:bidi w:val="0"/>
        <w:rPr>
          <w:rFonts w:hint="default"/>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10</w:t>
      </w:r>
      <w:r>
        <w:rPr>
          <w:rFonts w:hint="default"/>
          <w:color w:val="auto"/>
          <w:highlight w:val="none"/>
          <w:lang w:val="en-US" w:eastAsia="zh-CN"/>
        </w:rPr>
        <w:t>：“城</w:t>
      </w:r>
      <w:r>
        <w:rPr>
          <w:rFonts w:hint="eastAsia"/>
          <w:color w:val="auto"/>
          <w:highlight w:val="none"/>
          <w:lang w:val="en-US" w:eastAsia="zh-CN"/>
        </w:rPr>
        <w:t>－</w:t>
      </w:r>
      <w:r>
        <w:rPr>
          <w:rFonts w:hint="default"/>
          <w:color w:val="auto"/>
          <w:highlight w:val="none"/>
          <w:lang w:val="en-US" w:eastAsia="zh-CN"/>
        </w:rPr>
        <w:t>镇</w:t>
      </w:r>
      <w:r>
        <w:rPr>
          <w:rFonts w:hint="eastAsia"/>
          <w:color w:val="auto"/>
          <w:highlight w:val="none"/>
          <w:lang w:val="en-US" w:eastAsia="zh-CN"/>
        </w:rPr>
        <w:t>－</w:t>
      </w:r>
      <w:r>
        <w:rPr>
          <w:rFonts w:hint="default"/>
          <w:color w:val="auto"/>
          <w:highlight w:val="none"/>
          <w:lang w:val="en-US" w:eastAsia="zh-CN"/>
        </w:rPr>
        <w:t>村”融合发展规划图</w:t>
      </w:r>
    </w:p>
    <w:p w14:paraId="16B6693B">
      <w:pPr>
        <w:pStyle w:val="2"/>
        <w:rPr>
          <w:rFonts w:hint="eastAsia"/>
          <w:color w:val="auto"/>
          <w:highlight w:val="none"/>
          <w:lang w:val="en-US" w:eastAsia="zh-CN"/>
        </w:rPr>
      </w:pPr>
    </w:p>
    <w:p w14:paraId="6CE1B752">
      <w:pPr>
        <w:pStyle w:val="2"/>
        <w:ind w:left="0" w:leftChars="0" w:firstLine="0" w:firstLineChars="0"/>
        <w:rPr>
          <w:rFonts w:hint="eastAsia"/>
          <w:color w:val="auto"/>
          <w:highlight w:val="none"/>
          <w:lang w:val="en-US" w:eastAsia="zh-CN"/>
        </w:rPr>
        <w:sectPr>
          <w:footerReference r:id="rId9" w:type="default"/>
          <w:pgSz w:w="11906" w:h="16838"/>
          <w:pgMar w:top="2098" w:right="1474" w:bottom="1984" w:left="1587" w:header="851" w:footer="992" w:gutter="0"/>
          <w:pgNumType w:fmt="decimal"/>
          <w:cols w:space="425" w:num="1"/>
          <w:docGrid w:type="lines" w:linePitch="312" w:charSpace="0"/>
        </w:sectPr>
      </w:pPr>
    </w:p>
    <w:p w14:paraId="65F4F461">
      <w:pPr>
        <w:bidi w:val="0"/>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59264" behindDoc="0" locked="0" layoutInCell="1" allowOverlap="1">
            <wp:simplePos x="0" y="0"/>
            <wp:positionH relativeFrom="column">
              <wp:posOffset>-1256665</wp:posOffset>
            </wp:positionH>
            <wp:positionV relativeFrom="paragraph">
              <wp:posOffset>-4911090</wp:posOffset>
            </wp:positionV>
            <wp:extent cx="10701655" cy="7562850"/>
            <wp:effectExtent l="0" t="0" r="4445" b="0"/>
            <wp:wrapTopAndBottom/>
            <wp:docPr id="5" name="图片 5" descr="附件1：高效示范田及高附加值示范田建设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1：高效示范田及高附加值示范田建设分布图"/>
                    <pic:cNvPicPr>
                      <a:picLocks noChangeAspect="1"/>
                    </pic:cNvPicPr>
                  </pic:nvPicPr>
                  <pic:blipFill>
                    <a:blip r:embed="rId11"/>
                    <a:stretch>
                      <a:fillRect/>
                    </a:stretch>
                  </pic:blipFill>
                  <pic:spPr>
                    <a:xfrm>
                      <a:off x="0" y="0"/>
                      <a:ext cx="10701655" cy="7562850"/>
                    </a:xfrm>
                    <a:prstGeom prst="rect">
                      <a:avLst/>
                    </a:prstGeom>
                  </pic:spPr>
                </pic:pic>
              </a:graphicData>
            </a:graphic>
          </wp:anchor>
        </w:drawing>
      </w:r>
    </w:p>
    <w:p w14:paraId="1335F531">
      <w:pPr>
        <w:pStyle w:val="2"/>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2336" behindDoc="0" locked="0" layoutInCell="1" allowOverlap="1">
            <wp:simplePos x="0" y="0"/>
            <wp:positionH relativeFrom="column">
              <wp:posOffset>-1259840</wp:posOffset>
            </wp:positionH>
            <wp:positionV relativeFrom="paragraph">
              <wp:posOffset>-1007745</wp:posOffset>
            </wp:positionV>
            <wp:extent cx="10701655" cy="7562850"/>
            <wp:effectExtent l="0" t="0" r="4445" b="0"/>
            <wp:wrapTopAndBottom/>
            <wp:docPr id="11" name="图片 11" descr="F:/延庆十五五农业规划/附件配图/附件2：露地冷凉蔬菜示范园及育苗基地规划分布图.jpg附件2：露地冷凉蔬菜示范园及育苗基地规划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延庆十五五农业规划/附件配图/附件2：露地冷凉蔬菜示范园及育苗基地规划分布图.jpg附件2：露地冷凉蔬菜示范园及育苗基地规划分布图"/>
                    <pic:cNvPicPr>
                      <a:picLocks noChangeAspect="1"/>
                    </pic:cNvPicPr>
                  </pic:nvPicPr>
                  <pic:blipFill>
                    <a:blip r:embed="rId12"/>
                    <a:srcRect t="42" b="42"/>
                    <a:stretch>
                      <a:fillRect/>
                    </a:stretch>
                  </pic:blipFill>
                  <pic:spPr>
                    <a:xfrm>
                      <a:off x="0" y="0"/>
                      <a:ext cx="10701655" cy="7562850"/>
                    </a:xfrm>
                    <a:prstGeom prst="rect">
                      <a:avLst/>
                    </a:prstGeom>
                  </pic:spPr>
                </pic:pic>
              </a:graphicData>
            </a:graphic>
          </wp:anchor>
        </w:drawing>
      </w:r>
    </w:p>
    <w:p w14:paraId="3066917B">
      <w:pPr>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3360" behindDoc="0" locked="0" layoutInCell="1" allowOverlap="1">
            <wp:simplePos x="0" y="0"/>
            <wp:positionH relativeFrom="column">
              <wp:posOffset>-1259840</wp:posOffset>
            </wp:positionH>
            <wp:positionV relativeFrom="paragraph">
              <wp:posOffset>-1007745</wp:posOffset>
            </wp:positionV>
            <wp:extent cx="10701655" cy="7562850"/>
            <wp:effectExtent l="0" t="0" r="4445" b="0"/>
            <wp:wrapTopAndBottom/>
            <wp:docPr id="12" name="图片 12" descr="F:/延庆十五五农业规划/附件配图/附件3：低效果园更新及智慧化绿色果园建设分布图.jpg附件3：低效果园更新及智慧化绿色果园建设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延庆十五五农业规划/附件配图/附件3：低效果园更新及智慧化绿色果园建设分布图.jpg附件3：低效果园更新及智慧化绿色果园建设分布图"/>
                    <pic:cNvPicPr>
                      <a:picLocks noChangeAspect="1"/>
                    </pic:cNvPicPr>
                  </pic:nvPicPr>
                  <pic:blipFill>
                    <a:blip r:embed="rId13"/>
                    <a:srcRect t="42" b="42"/>
                    <a:stretch>
                      <a:fillRect/>
                    </a:stretch>
                  </pic:blipFill>
                  <pic:spPr>
                    <a:xfrm>
                      <a:off x="0" y="0"/>
                      <a:ext cx="10701655" cy="7562850"/>
                    </a:xfrm>
                    <a:prstGeom prst="rect">
                      <a:avLst/>
                    </a:prstGeom>
                  </pic:spPr>
                </pic:pic>
              </a:graphicData>
            </a:graphic>
          </wp:anchor>
        </w:drawing>
      </w:r>
    </w:p>
    <w:p w14:paraId="4B6B5538">
      <w:pPr>
        <w:pStyle w:val="2"/>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4384" behindDoc="0" locked="0" layoutInCell="1" allowOverlap="1">
            <wp:simplePos x="0" y="0"/>
            <wp:positionH relativeFrom="column">
              <wp:posOffset>-1259840</wp:posOffset>
            </wp:positionH>
            <wp:positionV relativeFrom="paragraph">
              <wp:posOffset>-1007745</wp:posOffset>
            </wp:positionV>
            <wp:extent cx="10701655" cy="7562850"/>
            <wp:effectExtent l="0" t="0" r="4445" b="0"/>
            <wp:wrapTopAndBottom/>
            <wp:docPr id="13" name="图片 13" descr="F:/延庆十五五农业规划/附件配图/附件4：北京延庆林果花草蜂药种业创新孵化基地规划图.jpg附件4：北京延庆林果花草蜂药种业创新孵化基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延庆十五五农业规划/附件配图/附件4：北京延庆林果花草蜂药种业创新孵化基地规划图.jpg附件4：北京延庆林果花草蜂药种业创新孵化基地规划图"/>
                    <pic:cNvPicPr>
                      <a:picLocks noChangeAspect="1"/>
                    </pic:cNvPicPr>
                  </pic:nvPicPr>
                  <pic:blipFill>
                    <a:blip r:embed="rId14"/>
                    <a:srcRect t="42" b="42"/>
                    <a:stretch>
                      <a:fillRect/>
                    </a:stretch>
                  </pic:blipFill>
                  <pic:spPr>
                    <a:xfrm>
                      <a:off x="0" y="0"/>
                      <a:ext cx="10701655" cy="7562850"/>
                    </a:xfrm>
                    <a:prstGeom prst="rect">
                      <a:avLst/>
                    </a:prstGeom>
                  </pic:spPr>
                </pic:pic>
              </a:graphicData>
            </a:graphic>
          </wp:anchor>
        </w:drawing>
      </w:r>
    </w:p>
    <w:p w14:paraId="386D7CDB">
      <w:pPr>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5408" behindDoc="0" locked="0" layoutInCell="1" allowOverlap="1">
            <wp:simplePos x="0" y="0"/>
            <wp:positionH relativeFrom="column">
              <wp:posOffset>-1259840</wp:posOffset>
            </wp:positionH>
            <wp:positionV relativeFrom="paragraph">
              <wp:posOffset>-1007745</wp:posOffset>
            </wp:positionV>
            <wp:extent cx="10701655" cy="7562850"/>
            <wp:effectExtent l="0" t="0" r="4445" b="0"/>
            <wp:wrapTopAndBottom/>
            <wp:docPr id="14" name="图片 14" descr="F:/延庆十五五农业规划/附件配图/附件5：现代设施农业规划图.jpg附件5：现代设施农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延庆十五五农业规划/附件配图/附件5：现代设施农业规划图.jpg附件5：现代设施农业规划图"/>
                    <pic:cNvPicPr>
                      <a:picLocks noChangeAspect="1"/>
                    </pic:cNvPicPr>
                  </pic:nvPicPr>
                  <pic:blipFill>
                    <a:blip r:embed="rId15"/>
                    <a:srcRect t="42" b="42"/>
                    <a:stretch>
                      <a:fillRect/>
                    </a:stretch>
                  </pic:blipFill>
                  <pic:spPr>
                    <a:xfrm>
                      <a:off x="0" y="0"/>
                      <a:ext cx="10701655" cy="7562850"/>
                    </a:xfrm>
                    <a:prstGeom prst="rect">
                      <a:avLst/>
                    </a:prstGeom>
                  </pic:spPr>
                </pic:pic>
              </a:graphicData>
            </a:graphic>
          </wp:anchor>
        </w:drawing>
      </w:r>
    </w:p>
    <w:p w14:paraId="550F337A">
      <w:pPr>
        <w:pStyle w:val="2"/>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6432" behindDoc="0" locked="0" layoutInCell="1" allowOverlap="1">
            <wp:simplePos x="0" y="0"/>
            <wp:positionH relativeFrom="column">
              <wp:posOffset>-1259840</wp:posOffset>
            </wp:positionH>
            <wp:positionV relativeFrom="paragraph">
              <wp:posOffset>-1007745</wp:posOffset>
            </wp:positionV>
            <wp:extent cx="10701655" cy="7562850"/>
            <wp:effectExtent l="0" t="0" r="4445" b="0"/>
            <wp:wrapTopAndBottom/>
            <wp:docPr id="15" name="图片 15" descr="F:/延庆十五五农业规划/附件配图/附件6：有机果蔬示范基地规划图.jpg附件6：有机果蔬示范基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延庆十五五农业规划/附件配图/附件6：有机果蔬示范基地规划图.jpg附件6：有机果蔬示范基地规划图"/>
                    <pic:cNvPicPr>
                      <a:picLocks noChangeAspect="1"/>
                    </pic:cNvPicPr>
                  </pic:nvPicPr>
                  <pic:blipFill>
                    <a:blip r:embed="rId16"/>
                    <a:srcRect t="42" b="42"/>
                    <a:stretch>
                      <a:fillRect/>
                    </a:stretch>
                  </pic:blipFill>
                  <pic:spPr>
                    <a:xfrm>
                      <a:off x="0" y="0"/>
                      <a:ext cx="10701655" cy="7562850"/>
                    </a:xfrm>
                    <a:prstGeom prst="rect">
                      <a:avLst/>
                    </a:prstGeom>
                  </pic:spPr>
                </pic:pic>
              </a:graphicData>
            </a:graphic>
          </wp:anchor>
        </w:drawing>
      </w:r>
    </w:p>
    <w:p w14:paraId="05A789DE">
      <w:pPr>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7456" behindDoc="0" locked="0" layoutInCell="1" allowOverlap="1">
            <wp:simplePos x="0" y="0"/>
            <wp:positionH relativeFrom="column">
              <wp:posOffset>-1259840</wp:posOffset>
            </wp:positionH>
            <wp:positionV relativeFrom="paragraph">
              <wp:posOffset>-1007745</wp:posOffset>
            </wp:positionV>
            <wp:extent cx="10701655" cy="7562850"/>
            <wp:effectExtent l="0" t="0" r="4445" b="0"/>
            <wp:wrapTopAndBottom/>
            <wp:docPr id="16" name="图片 16" descr="F:/延庆十五五农业规划/附件配图/附件7：社会化服务组织规划分布图.jpg附件7：社会化服务组织规划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延庆十五五农业规划/附件配图/附件7：社会化服务组织规划分布图.jpg附件7：社会化服务组织规划分布图"/>
                    <pic:cNvPicPr>
                      <a:picLocks noChangeAspect="1"/>
                    </pic:cNvPicPr>
                  </pic:nvPicPr>
                  <pic:blipFill>
                    <a:blip r:embed="rId17"/>
                    <a:srcRect t="42" b="42"/>
                    <a:stretch>
                      <a:fillRect/>
                    </a:stretch>
                  </pic:blipFill>
                  <pic:spPr>
                    <a:xfrm>
                      <a:off x="0" y="0"/>
                      <a:ext cx="10701655" cy="7562850"/>
                    </a:xfrm>
                    <a:prstGeom prst="rect">
                      <a:avLst/>
                    </a:prstGeom>
                  </pic:spPr>
                </pic:pic>
              </a:graphicData>
            </a:graphic>
          </wp:anchor>
        </w:drawing>
      </w:r>
    </w:p>
    <w:p w14:paraId="63570135">
      <w:pPr>
        <w:pStyle w:val="2"/>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8480" behindDoc="0" locked="0" layoutInCell="1" allowOverlap="1">
            <wp:simplePos x="0" y="0"/>
            <wp:positionH relativeFrom="column">
              <wp:posOffset>-1259840</wp:posOffset>
            </wp:positionH>
            <wp:positionV relativeFrom="paragraph">
              <wp:posOffset>-1007745</wp:posOffset>
            </wp:positionV>
            <wp:extent cx="10701655" cy="7562850"/>
            <wp:effectExtent l="0" t="0" r="4445" b="0"/>
            <wp:wrapTopAndBottom/>
            <wp:docPr id="17" name="图片 17" descr="F:/延庆十五五农业规划/附件配图/附件8：乡村特色产业规划分布图.jpg附件8：乡村特色产业规划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延庆十五五农业规划/附件配图/附件8：乡村特色产业规划分布图.jpg附件8：乡村特色产业规划分布图"/>
                    <pic:cNvPicPr>
                      <a:picLocks noChangeAspect="1"/>
                    </pic:cNvPicPr>
                  </pic:nvPicPr>
                  <pic:blipFill>
                    <a:blip r:embed="rId18"/>
                    <a:srcRect t="42" b="42"/>
                    <a:stretch>
                      <a:fillRect/>
                    </a:stretch>
                  </pic:blipFill>
                  <pic:spPr>
                    <a:xfrm>
                      <a:off x="0" y="0"/>
                      <a:ext cx="10701655" cy="7562850"/>
                    </a:xfrm>
                    <a:prstGeom prst="rect">
                      <a:avLst/>
                    </a:prstGeom>
                  </pic:spPr>
                </pic:pic>
              </a:graphicData>
            </a:graphic>
          </wp:anchor>
        </w:drawing>
      </w:r>
    </w:p>
    <w:p w14:paraId="70BD3018">
      <w:pPr>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9504" behindDoc="0" locked="0" layoutInCell="1" allowOverlap="1">
            <wp:simplePos x="0" y="0"/>
            <wp:positionH relativeFrom="column">
              <wp:posOffset>-1259840</wp:posOffset>
            </wp:positionH>
            <wp:positionV relativeFrom="paragraph">
              <wp:posOffset>-1007745</wp:posOffset>
            </wp:positionV>
            <wp:extent cx="10701655" cy="7562850"/>
            <wp:effectExtent l="0" t="0" r="4445" b="0"/>
            <wp:wrapTopAndBottom/>
            <wp:docPr id="18" name="图片 18" descr="F:/延庆十五五农业规划/附件配图/附件9：农产品仓储加工及商贸物流规划分布图.jpg附件9：农产品仓储加工及商贸物流规划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延庆十五五农业规划/附件配图/附件9：农产品仓储加工及商贸物流规划分布图.jpg附件9：农产品仓储加工及商贸物流规划分布图"/>
                    <pic:cNvPicPr>
                      <a:picLocks noChangeAspect="1"/>
                    </pic:cNvPicPr>
                  </pic:nvPicPr>
                  <pic:blipFill>
                    <a:blip r:embed="rId19"/>
                    <a:srcRect t="42" b="42"/>
                    <a:stretch>
                      <a:fillRect/>
                    </a:stretch>
                  </pic:blipFill>
                  <pic:spPr>
                    <a:xfrm>
                      <a:off x="0" y="0"/>
                      <a:ext cx="10701655" cy="7562850"/>
                    </a:xfrm>
                    <a:prstGeom prst="rect">
                      <a:avLst/>
                    </a:prstGeom>
                  </pic:spPr>
                </pic:pic>
              </a:graphicData>
            </a:graphic>
          </wp:anchor>
        </w:drawing>
      </w:r>
    </w:p>
    <w:p w14:paraId="0D285D0B">
      <w:pPr>
        <w:pStyle w:val="2"/>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1312" behindDoc="0" locked="0" layoutInCell="1" allowOverlap="1">
            <wp:simplePos x="0" y="0"/>
            <wp:positionH relativeFrom="column">
              <wp:posOffset>-1259840</wp:posOffset>
            </wp:positionH>
            <wp:positionV relativeFrom="paragraph">
              <wp:posOffset>-1007745</wp:posOffset>
            </wp:positionV>
            <wp:extent cx="10701655" cy="7562850"/>
            <wp:effectExtent l="0" t="0" r="4445" b="0"/>
            <wp:wrapTopAndBottom/>
            <wp:docPr id="8" name="图片 8" descr="F:/延庆十五五农业规划/附件配图/附件10：“城-镇-村”融合发展规划图.jpg附件10：“城-镇-村”融合发展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延庆十五五农业规划/附件配图/附件10：“城-镇-村”融合发展规划图.jpg附件10：“城-镇-村”融合发展规划图"/>
                    <pic:cNvPicPr>
                      <a:picLocks noChangeAspect="1"/>
                    </pic:cNvPicPr>
                  </pic:nvPicPr>
                  <pic:blipFill>
                    <a:blip r:embed="rId20"/>
                    <a:srcRect t="42" b="42"/>
                    <a:stretch>
                      <a:fillRect/>
                    </a:stretch>
                  </pic:blipFill>
                  <pic:spPr>
                    <a:xfrm>
                      <a:off x="0" y="0"/>
                      <a:ext cx="10701655" cy="7562850"/>
                    </a:xfrm>
                    <a:prstGeom prst="rect">
                      <a:avLst/>
                    </a:prstGeom>
                  </pic:spPr>
                </pic:pic>
              </a:graphicData>
            </a:graphic>
          </wp:anchor>
        </w:drawing>
      </w:r>
    </w:p>
    <w:sectPr>
      <w:pgSz w:w="16838" w:h="11906" w:orient="landscape"/>
      <w:pgMar w:top="1587" w:right="2098" w:bottom="1474" w:left="1984" w:header="851" w:footer="992" w:gutter="0"/>
      <w:pgNumType w:fmt="decimal"/>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H" w:date="2025-10-23T14:39:00Z" w:initials="">
    <w:p w14:paraId="72DD2D30">
      <w:pPr>
        <w:pStyle w:val="5"/>
        <w:rPr>
          <w:rFonts w:hint="default" w:eastAsia="仿宋_GB2312"/>
          <w:lang w:val="en-US" w:eastAsia="zh-CN"/>
        </w:rPr>
      </w:pPr>
      <w:r>
        <w:rPr>
          <w:rFonts w:hint="eastAsia"/>
          <w:lang w:val="en-US" w:eastAsia="zh-CN"/>
        </w:rPr>
        <w:t>园林绿化局意见已修改</w:t>
      </w:r>
    </w:p>
  </w:comment>
  <w:comment w:id="1" w:author="ZH" w:date="2025-10-23T14:39:25Z" w:initials="">
    <w:p w14:paraId="79EC448C">
      <w:pPr>
        <w:pStyle w:val="5"/>
        <w:rPr>
          <w:rFonts w:hint="default" w:eastAsia="仿宋_GB2312"/>
          <w:lang w:val="en-US" w:eastAsia="zh-CN"/>
        </w:rPr>
      </w:pPr>
      <w:r>
        <w:rPr>
          <w:rFonts w:hint="eastAsia"/>
          <w:lang w:val="en-US" w:eastAsia="zh-CN"/>
        </w:rPr>
        <w:t>吸收采纳一（二）民建：进一步促进农民合作社高质量发展</w:t>
      </w:r>
    </w:p>
  </w:comment>
  <w:comment w:id="2" w:author="ZH" w:date="2025-10-23T14:40:32Z" w:initials="">
    <w:p w14:paraId="6083EF4F">
      <w:pPr>
        <w:pStyle w:val="5"/>
        <w:rPr>
          <w:rFonts w:hint="default" w:eastAsia="仿宋_GB2312"/>
          <w:lang w:val="en-US" w:eastAsia="zh-CN"/>
        </w:rPr>
      </w:pPr>
      <w:r>
        <w:rPr>
          <w:rFonts w:hint="eastAsia"/>
          <w:lang w:val="en-US" w:eastAsia="zh-CN"/>
        </w:rPr>
        <w:t>吸收采纳二（二）民进：构建从宏观到微观的系统性风貌管控与塑造</w:t>
      </w:r>
    </w:p>
  </w:comment>
  <w:comment w:id="3" w:author="ZH" w:date="2025-10-23T14:44:18Z" w:initials="">
    <w:p w14:paraId="76883DEB">
      <w:pPr>
        <w:pStyle w:val="5"/>
        <w:rPr>
          <w:rFonts w:hint="default" w:eastAsia="仿宋_GB2312"/>
          <w:lang w:val="en-US" w:eastAsia="zh-CN"/>
        </w:rPr>
      </w:pPr>
      <w:r>
        <w:rPr>
          <w:rFonts w:hint="eastAsia"/>
          <w:lang w:val="en-US" w:eastAsia="zh-CN"/>
        </w:rPr>
        <w:t>吸收采纳一（三）致公党：国资引领，助力培育新质生产力</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2DD2D30" w15:done="0"/>
  <w15:commentEx w15:paraId="79EC448C" w15:done="0"/>
  <w15:commentEx w15:paraId="6083EF4F" w15:done="0"/>
  <w15:commentEx w15:paraId="76883D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B6BEADA-7CC8-4B9F-A8CC-FA764C41EC99}"/>
  </w:font>
  <w:font w:name="黑体">
    <w:panose1 w:val="02010609060101010101"/>
    <w:charset w:val="86"/>
    <w:family w:val="auto"/>
    <w:pitch w:val="default"/>
    <w:sig w:usb0="800002BF" w:usb1="38CF7CFA" w:usb2="00000016" w:usb3="00000000" w:csb0="00040001" w:csb1="00000000"/>
    <w:embedRegular r:id="rId2" w:fontKey="{770FC0D8-50FF-4B7B-94FA-738BB5BF01F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C8FB4FE6-B61C-4DBC-859E-B0A84141BC38}"/>
  </w:font>
  <w:font w:name="仿宋_GB2312">
    <w:panose1 w:val="02010609030101010101"/>
    <w:charset w:val="86"/>
    <w:family w:val="auto"/>
    <w:pitch w:val="default"/>
    <w:sig w:usb0="00000001" w:usb1="080E0000" w:usb2="00000000" w:usb3="00000000" w:csb0="00040000" w:csb1="00000000"/>
    <w:embedRegular r:id="rId4" w:fontKey="{3496C433-8EB7-45EB-AC5B-A513796DD14B}"/>
  </w:font>
  <w:font w:name="楷体_GB2312">
    <w:panose1 w:val="02010609030101010101"/>
    <w:charset w:val="86"/>
    <w:family w:val="modern"/>
    <w:pitch w:val="default"/>
    <w:sig w:usb0="00000001" w:usb1="080E0000" w:usb2="00000000" w:usb3="00000000" w:csb0="00040000" w:csb1="00000000"/>
    <w:embedRegular r:id="rId5" w:fontKey="{316FAB03-1DC6-4808-BC77-E5957E26938E}"/>
  </w:font>
  <w:font w:name="方正小标宋简体">
    <w:panose1 w:val="03000509000000000000"/>
    <w:charset w:val="86"/>
    <w:family w:val="auto"/>
    <w:pitch w:val="default"/>
    <w:sig w:usb0="00000001" w:usb1="080E0000" w:usb2="00000000" w:usb3="00000000" w:csb0="00040000" w:csb1="00000000"/>
    <w:embedRegular r:id="rId6" w:fontKey="{1EDEFC92-23ED-4C94-9593-D54890924674}"/>
  </w:font>
  <w:font w:name="华文仿宋">
    <w:panose1 w:val="02010600040101010101"/>
    <w:charset w:val="86"/>
    <w:family w:val="auto"/>
    <w:pitch w:val="default"/>
    <w:sig w:usb0="00000287" w:usb1="080F0000" w:usb2="00000000" w:usb3="00000000" w:csb0="0004009F" w:csb1="DFD70000"/>
    <w:embedRegular r:id="rId7" w:fontKey="{9AEC128E-910C-4017-906E-BE6E12228F4D}"/>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A768B">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596AC">
                          <w:pPr>
                            <w:pStyle w:val="9"/>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EC596AC">
                    <w:pPr>
                      <w:pStyle w:val="9"/>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363A6">
    <w:pPr>
      <w:pStyle w:val="9"/>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0927AF">
                          <w:pPr>
                            <w:pStyle w:val="9"/>
                          </w:pPr>
                          <w:r>
                            <w:t>—</w:t>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6</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660927AF">
                    <w:pPr>
                      <w:pStyle w:val="9"/>
                    </w:pPr>
                    <w:r>
                      <w:t>—</w:t>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6</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2C07F">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74D87F">
                          <w:pPr>
                            <w:pStyle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474D87F">
                    <w:pPr>
                      <w:pStyle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03821C"/>
    <w:multiLevelType w:val="singleLevel"/>
    <w:tmpl w:val="0303821C"/>
    <w:lvl w:ilvl="0" w:tentative="0">
      <w:start w:val="2"/>
      <w:numFmt w:val="chineseCounting"/>
      <w:suff w:val="nothing"/>
      <w:lvlText w:val="（%1）"/>
      <w:lvlJc w:val="left"/>
      <w:rPr>
        <w:rFonts w:hint="eastAsia"/>
      </w:rPr>
    </w:lvl>
  </w:abstractNum>
  <w:abstractNum w:abstractNumId="1">
    <w:nsid w:val="34050FA6"/>
    <w:multiLevelType w:val="singleLevel"/>
    <w:tmpl w:val="34050FA6"/>
    <w:lvl w:ilvl="0" w:tentative="0">
      <w:start w:val="4"/>
      <w:numFmt w:val="chineseCounting"/>
      <w:suff w:val="nothing"/>
      <w:lvlText w:val="%1、"/>
      <w:lvlJc w:val="left"/>
      <w:rPr>
        <w:rFonts w:hint="eastAsia"/>
      </w:rPr>
    </w:lvl>
  </w:abstractNum>
  <w:abstractNum w:abstractNumId="2">
    <w:nsid w:val="47F0F1C7"/>
    <w:multiLevelType w:val="singleLevel"/>
    <w:tmpl w:val="47F0F1C7"/>
    <w:lvl w:ilvl="0" w:tentative="0">
      <w:start w:val="1"/>
      <w:numFmt w:val="chineseCounting"/>
      <w:suff w:val="nothing"/>
      <w:lvlText w:val="（%1）"/>
      <w:lvlJc w:val="left"/>
      <w:rPr>
        <w:rFonts w:hint="eastAsia"/>
      </w:rPr>
    </w:lvl>
  </w:abstractNum>
  <w:abstractNum w:abstractNumId="3">
    <w:nsid w:val="6E80BC52"/>
    <w:multiLevelType w:val="singleLevel"/>
    <w:tmpl w:val="6E80BC52"/>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H">
    <w15:presenceInfo w15:providerId="WPS Office" w15:userId="4155285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514C5"/>
    <w:rsid w:val="0061443A"/>
    <w:rsid w:val="0091171D"/>
    <w:rsid w:val="0094794C"/>
    <w:rsid w:val="00A61823"/>
    <w:rsid w:val="00A81D22"/>
    <w:rsid w:val="00AA1D15"/>
    <w:rsid w:val="00CC21FA"/>
    <w:rsid w:val="00F6588F"/>
    <w:rsid w:val="00F66C2B"/>
    <w:rsid w:val="00F76805"/>
    <w:rsid w:val="01006A64"/>
    <w:rsid w:val="01204922"/>
    <w:rsid w:val="01592DDE"/>
    <w:rsid w:val="01656254"/>
    <w:rsid w:val="01BF15B5"/>
    <w:rsid w:val="01FA3DBC"/>
    <w:rsid w:val="021B6BBC"/>
    <w:rsid w:val="023E5189"/>
    <w:rsid w:val="025452F4"/>
    <w:rsid w:val="02601DEA"/>
    <w:rsid w:val="027A738C"/>
    <w:rsid w:val="027F4BE6"/>
    <w:rsid w:val="02920B5A"/>
    <w:rsid w:val="02F27E5C"/>
    <w:rsid w:val="030804BD"/>
    <w:rsid w:val="031265AB"/>
    <w:rsid w:val="034D3112"/>
    <w:rsid w:val="037B7F18"/>
    <w:rsid w:val="03801489"/>
    <w:rsid w:val="039F1373"/>
    <w:rsid w:val="03C57717"/>
    <w:rsid w:val="0409052A"/>
    <w:rsid w:val="041B5A4A"/>
    <w:rsid w:val="042F10F4"/>
    <w:rsid w:val="046E3100"/>
    <w:rsid w:val="04A77E08"/>
    <w:rsid w:val="04BF3ADE"/>
    <w:rsid w:val="04F93E19"/>
    <w:rsid w:val="051C4A8C"/>
    <w:rsid w:val="05390931"/>
    <w:rsid w:val="05501886"/>
    <w:rsid w:val="05E731BC"/>
    <w:rsid w:val="05F96B7B"/>
    <w:rsid w:val="060428C2"/>
    <w:rsid w:val="060A1DD1"/>
    <w:rsid w:val="064D2B49"/>
    <w:rsid w:val="0653277C"/>
    <w:rsid w:val="065A3BBB"/>
    <w:rsid w:val="06824DC3"/>
    <w:rsid w:val="06A841CA"/>
    <w:rsid w:val="06BC6527"/>
    <w:rsid w:val="070B0919"/>
    <w:rsid w:val="072D362B"/>
    <w:rsid w:val="076D5A73"/>
    <w:rsid w:val="07A02E80"/>
    <w:rsid w:val="07B35D39"/>
    <w:rsid w:val="07CC224D"/>
    <w:rsid w:val="080D4C80"/>
    <w:rsid w:val="082C1292"/>
    <w:rsid w:val="08720F75"/>
    <w:rsid w:val="088D5A05"/>
    <w:rsid w:val="08912FDE"/>
    <w:rsid w:val="089B65AD"/>
    <w:rsid w:val="08D33797"/>
    <w:rsid w:val="08F8253C"/>
    <w:rsid w:val="08FC1410"/>
    <w:rsid w:val="090B41D9"/>
    <w:rsid w:val="09222DD4"/>
    <w:rsid w:val="09287EA3"/>
    <w:rsid w:val="097A4477"/>
    <w:rsid w:val="09A60DC8"/>
    <w:rsid w:val="0A547606"/>
    <w:rsid w:val="0A700C67"/>
    <w:rsid w:val="0AEC6CAF"/>
    <w:rsid w:val="0B1A4876"/>
    <w:rsid w:val="0B1A4D82"/>
    <w:rsid w:val="0B493E31"/>
    <w:rsid w:val="0B782B60"/>
    <w:rsid w:val="0B795965"/>
    <w:rsid w:val="0C351053"/>
    <w:rsid w:val="0C3B1C9C"/>
    <w:rsid w:val="0C692894"/>
    <w:rsid w:val="0CC47EE3"/>
    <w:rsid w:val="0CE4516B"/>
    <w:rsid w:val="0CF674BA"/>
    <w:rsid w:val="0D0C3638"/>
    <w:rsid w:val="0D924A27"/>
    <w:rsid w:val="0DA50975"/>
    <w:rsid w:val="0E011F2D"/>
    <w:rsid w:val="0E44770C"/>
    <w:rsid w:val="0EC8119B"/>
    <w:rsid w:val="0EE83C31"/>
    <w:rsid w:val="0EF23656"/>
    <w:rsid w:val="0EF34C60"/>
    <w:rsid w:val="0F456F79"/>
    <w:rsid w:val="0F6E31DD"/>
    <w:rsid w:val="0F73174D"/>
    <w:rsid w:val="0F817A38"/>
    <w:rsid w:val="0F8B6CE8"/>
    <w:rsid w:val="0FA31D45"/>
    <w:rsid w:val="0FD33898"/>
    <w:rsid w:val="100F16A5"/>
    <w:rsid w:val="101173EF"/>
    <w:rsid w:val="10175803"/>
    <w:rsid w:val="10303AE2"/>
    <w:rsid w:val="104C69B2"/>
    <w:rsid w:val="10580B8E"/>
    <w:rsid w:val="108F25B6"/>
    <w:rsid w:val="10C2280A"/>
    <w:rsid w:val="10D702C0"/>
    <w:rsid w:val="10F6557F"/>
    <w:rsid w:val="10F85922"/>
    <w:rsid w:val="11097C03"/>
    <w:rsid w:val="111C6046"/>
    <w:rsid w:val="11761CAB"/>
    <w:rsid w:val="11853D3E"/>
    <w:rsid w:val="11951E4E"/>
    <w:rsid w:val="11D84431"/>
    <w:rsid w:val="11DE0500"/>
    <w:rsid w:val="11EB6918"/>
    <w:rsid w:val="11F97C95"/>
    <w:rsid w:val="126B7053"/>
    <w:rsid w:val="12967C74"/>
    <w:rsid w:val="12A733A7"/>
    <w:rsid w:val="12AC7E0D"/>
    <w:rsid w:val="12DC1F29"/>
    <w:rsid w:val="1319540A"/>
    <w:rsid w:val="13795CDF"/>
    <w:rsid w:val="13E409FB"/>
    <w:rsid w:val="141554C8"/>
    <w:rsid w:val="141C6857"/>
    <w:rsid w:val="142241C6"/>
    <w:rsid w:val="143003B8"/>
    <w:rsid w:val="14A67E8D"/>
    <w:rsid w:val="14EB18BB"/>
    <w:rsid w:val="14EF5D19"/>
    <w:rsid w:val="153E45AB"/>
    <w:rsid w:val="15451DDD"/>
    <w:rsid w:val="15520056"/>
    <w:rsid w:val="155314A7"/>
    <w:rsid w:val="156100F4"/>
    <w:rsid w:val="15DD0EEC"/>
    <w:rsid w:val="16010EB6"/>
    <w:rsid w:val="16013F56"/>
    <w:rsid w:val="16280D6C"/>
    <w:rsid w:val="162F11EA"/>
    <w:rsid w:val="163E4A75"/>
    <w:rsid w:val="16421C2C"/>
    <w:rsid w:val="16714FDF"/>
    <w:rsid w:val="167A77C8"/>
    <w:rsid w:val="167E0F42"/>
    <w:rsid w:val="169C6C9A"/>
    <w:rsid w:val="16BB6B10"/>
    <w:rsid w:val="16D451C7"/>
    <w:rsid w:val="16E421C9"/>
    <w:rsid w:val="17203BD9"/>
    <w:rsid w:val="181B4F3C"/>
    <w:rsid w:val="18565610"/>
    <w:rsid w:val="18C12A7C"/>
    <w:rsid w:val="18D4740C"/>
    <w:rsid w:val="19542643"/>
    <w:rsid w:val="195A402A"/>
    <w:rsid w:val="195F0E56"/>
    <w:rsid w:val="1971007E"/>
    <w:rsid w:val="19BB0E06"/>
    <w:rsid w:val="1A316A1D"/>
    <w:rsid w:val="1A693E78"/>
    <w:rsid w:val="1AA45A18"/>
    <w:rsid w:val="1AA534A8"/>
    <w:rsid w:val="1ACD2659"/>
    <w:rsid w:val="1AF77BC9"/>
    <w:rsid w:val="1B06579A"/>
    <w:rsid w:val="1B2171E7"/>
    <w:rsid w:val="1B311202"/>
    <w:rsid w:val="1B620523"/>
    <w:rsid w:val="1B925449"/>
    <w:rsid w:val="1BA57132"/>
    <w:rsid w:val="1C026332"/>
    <w:rsid w:val="1C5F31D8"/>
    <w:rsid w:val="1C694603"/>
    <w:rsid w:val="1CC1144E"/>
    <w:rsid w:val="1CC97FC1"/>
    <w:rsid w:val="1D000D26"/>
    <w:rsid w:val="1D054AB6"/>
    <w:rsid w:val="1D1D42BE"/>
    <w:rsid w:val="1D2A2D1D"/>
    <w:rsid w:val="1D3E5087"/>
    <w:rsid w:val="1DC036BC"/>
    <w:rsid w:val="1DD106B2"/>
    <w:rsid w:val="1E08464C"/>
    <w:rsid w:val="1E253DA2"/>
    <w:rsid w:val="1E43073E"/>
    <w:rsid w:val="1E4644BB"/>
    <w:rsid w:val="1EA41CC6"/>
    <w:rsid w:val="1EE97C47"/>
    <w:rsid w:val="1F38392F"/>
    <w:rsid w:val="1F6E5367"/>
    <w:rsid w:val="1F8067C9"/>
    <w:rsid w:val="1FA22AAF"/>
    <w:rsid w:val="1FA83694"/>
    <w:rsid w:val="1FEC5A3E"/>
    <w:rsid w:val="1FF00B97"/>
    <w:rsid w:val="1FFC753C"/>
    <w:rsid w:val="20012D1F"/>
    <w:rsid w:val="200E0DCE"/>
    <w:rsid w:val="20425586"/>
    <w:rsid w:val="20466D7F"/>
    <w:rsid w:val="2057186A"/>
    <w:rsid w:val="20A306A9"/>
    <w:rsid w:val="20E05A27"/>
    <w:rsid w:val="20FF789C"/>
    <w:rsid w:val="212F7D7E"/>
    <w:rsid w:val="214641F0"/>
    <w:rsid w:val="214A2C28"/>
    <w:rsid w:val="219537A4"/>
    <w:rsid w:val="21B7196D"/>
    <w:rsid w:val="21E2678B"/>
    <w:rsid w:val="21E76A4A"/>
    <w:rsid w:val="221126BE"/>
    <w:rsid w:val="227921AD"/>
    <w:rsid w:val="22871BA7"/>
    <w:rsid w:val="2298138C"/>
    <w:rsid w:val="22A939AB"/>
    <w:rsid w:val="22DF6424"/>
    <w:rsid w:val="22FA44D3"/>
    <w:rsid w:val="22FC1994"/>
    <w:rsid w:val="23222322"/>
    <w:rsid w:val="232B2612"/>
    <w:rsid w:val="235C4AFE"/>
    <w:rsid w:val="23643446"/>
    <w:rsid w:val="23F46728"/>
    <w:rsid w:val="242B6642"/>
    <w:rsid w:val="24D40A88"/>
    <w:rsid w:val="24E862E1"/>
    <w:rsid w:val="24FC1FC8"/>
    <w:rsid w:val="24FF28BB"/>
    <w:rsid w:val="251A4612"/>
    <w:rsid w:val="25363D42"/>
    <w:rsid w:val="25373388"/>
    <w:rsid w:val="259B3353"/>
    <w:rsid w:val="25B8272D"/>
    <w:rsid w:val="261301D0"/>
    <w:rsid w:val="26154EB4"/>
    <w:rsid w:val="26455CBF"/>
    <w:rsid w:val="264562B9"/>
    <w:rsid w:val="2681365A"/>
    <w:rsid w:val="26B942E1"/>
    <w:rsid w:val="26BA15A4"/>
    <w:rsid w:val="26DF263E"/>
    <w:rsid w:val="26F40F6D"/>
    <w:rsid w:val="2748494E"/>
    <w:rsid w:val="279D4F06"/>
    <w:rsid w:val="27C228AB"/>
    <w:rsid w:val="27E41E47"/>
    <w:rsid w:val="27EA5AE2"/>
    <w:rsid w:val="28185496"/>
    <w:rsid w:val="282B4205"/>
    <w:rsid w:val="2844263F"/>
    <w:rsid w:val="285A797B"/>
    <w:rsid w:val="286519F5"/>
    <w:rsid w:val="2889662A"/>
    <w:rsid w:val="28A4567C"/>
    <w:rsid w:val="2900009D"/>
    <w:rsid w:val="290F208E"/>
    <w:rsid w:val="29244CA4"/>
    <w:rsid w:val="29321B03"/>
    <w:rsid w:val="294003D2"/>
    <w:rsid w:val="29694DFA"/>
    <w:rsid w:val="297C274F"/>
    <w:rsid w:val="298610F8"/>
    <w:rsid w:val="29AC165D"/>
    <w:rsid w:val="29C95DE2"/>
    <w:rsid w:val="29ED0187"/>
    <w:rsid w:val="29F717A5"/>
    <w:rsid w:val="2A224043"/>
    <w:rsid w:val="2A5E151F"/>
    <w:rsid w:val="2A6E14E2"/>
    <w:rsid w:val="2A707DA2"/>
    <w:rsid w:val="2A8316F1"/>
    <w:rsid w:val="2AB00CB9"/>
    <w:rsid w:val="2AB0164F"/>
    <w:rsid w:val="2AB253C7"/>
    <w:rsid w:val="2ADC41F2"/>
    <w:rsid w:val="2AF5642C"/>
    <w:rsid w:val="2AFE23BA"/>
    <w:rsid w:val="2B061069"/>
    <w:rsid w:val="2B607E88"/>
    <w:rsid w:val="2BE05F64"/>
    <w:rsid w:val="2BF437BD"/>
    <w:rsid w:val="2C1D2D14"/>
    <w:rsid w:val="2C607287"/>
    <w:rsid w:val="2C7D7D13"/>
    <w:rsid w:val="2D872F18"/>
    <w:rsid w:val="2D9016E9"/>
    <w:rsid w:val="2DA2052F"/>
    <w:rsid w:val="2DE4334A"/>
    <w:rsid w:val="2E334F3D"/>
    <w:rsid w:val="2E392758"/>
    <w:rsid w:val="2E401F31"/>
    <w:rsid w:val="2E4F3C78"/>
    <w:rsid w:val="2E8A4CD4"/>
    <w:rsid w:val="2EAE40F8"/>
    <w:rsid w:val="2EB21E3A"/>
    <w:rsid w:val="2EB2624C"/>
    <w:rsid w:val="2ED95D4A"/>
    <w:rsid w:val="2EF517E2"/>
    <w:rsid w:val="2F072EC9"/>
    <w:rsid w:val="2F194CF3"/>
    <w:rsid w:val="2F415705"/>
    <w:rsid w:val="2F7D543B"/>
    <w:rsid w:val="2FA23C5C"/>
    <w:rsid w:val="2FA854E1"/>
    <w:rsid w:val="2FFA1CE3"/>
    <w:rsid w:val="301D75BC"/>
    <w:rsid w:val="30224D9D"/>
    <w:rsid w:val="303C3B6C"/>
    <w:rsid w:val="30B408BB"/>
    <w:rsid w:val="30B640DB"/>
    <w:rsid w:val="310F7C05"/>
    <w:rsid w:val="31230A78"/>
    <w:rsid w:val="31307046"/>
    <w:rsid w:val="31B13167"/>
    <w:rsid w:val="31F60A7B"/>
    <w:rsid w:val="32313075"/>
    <w:rsid w:val="326843E2"/>
    <w:rsid w:val="32762B96"/>
    <w:rsid w:val="327E5F36"/>
    <w:rsid w:val="331E6FAB"/>
    <w:rsid w:val="332E3848"/>
    <w:rsid w:val="336A3E9F"/>
    <w:rsid w:val="33796DFF"/>
    <w:rsid w:val="33C2229F"/>
    <w:rsid w:val="33C47458"/>
    <w:rsid w:val="33CD2BFE"/>
    <w:rsid w:val="344462CD"/>
    <w:rsid w:val="345F6942"/>
    <w:rsid w:val="34AA1DEA"/>
    <w:rsid w:val="34DD1293"/>
    <w:rsid w:val="34FA62E8"/>
    <w:rsid w:val="34FC1B68"/>
    <w:rsid w:val="350F3D9C"/>
    <w:rsid w:val="351D0231"/>
    <w:rsid w:val="356057EE"/>
    <w:rsid w:val="35EC4B64"/>
    <w:rsid w:val="3609784F"/>
    <w:rsid w:val="36202AD0"/>
    <w:rsid w:val="36623F1A"/>
    <w:rsid w:val="36AC53C0"/>
    <w:rsid w:val="36DE5263"/>
    <w:rsid w:val="36E62234"/>
    <w:rsid w:val="372D1FC1"/>
    <w:rsid w:val="3731510F"/>
    <w:rsid w:val="375E78C9"/>
    <w:rsid w:val="37640749"/>
    <w:rsid w:val="378870BF"/>
    <w:rsid w:val="37A4253C"/>
    <w:rsid w:val="37FA6FF6"/>
    <w:rsid w:val="37FB57CA"/>
    <w:rsid w:val="383C1B35"/>
    <w:rsid w:val="38420BB1"/>
    <w:rsid w:val="38433B03"/>
    <w:rsid w:val="386121DB"/>
    <w:rsid w:val="38736E44"/>
    <w:rsid w:val="388C1ACA"/>
    <w:rsid w:val="38A65E3F"/>
    <w:rsid w:val="38AA5930"/>
    <w:rsid w:val="38CE66CE"/>
    <w:rsid w:val="38D208CB"/>
    <w:rsid w:val="38FA2775"/>
    <w:rsid w:val="39002FB3"/>
    <w:rsid w:val="391D7DB8"/>
    <w:rsid w:val="39274492"/>
    <w:rsid w:val="394A3283"/>
    <w:rsid w:val="39657AA9"/>
    <w:rsid w:val="39F41AB5"/>
    <w:rsid w:val="3A13103F"/>
    <w:rsid w:val="3A1F6606"/>
    <w:rsid w:val="3A414472"/>
    <w:rsid w:val="3A601D2F"/>
    <w:rsid w:val="3A865F28"/>
    <w:rsid w:val="3ADB3B42"/>
    <w:rsid w:val="3AFE1F63"/>
    <w:rsid w:val="3B36015F"/>
    <w:rsid w:val="3B3E6803"/>
    <w:rsid w:val="3BAE5737"/>
    <w:rsid w:val="3C0A6BF6"/>
    <w:rsid w:val="3C304B04"/>
    <w:rsid w:val="3C475846"/>
    <w:rsid w:val="3C84487F"/>
    <w:rsid w:val="3C992482"/>
    <w:rsid w:val="3CB74582"/>
    <w:rsid w:val="3CC05722"/>
    <w:rsid w:val="3CD32AB0"/>
    <w:rsid w:val="3CEA4D9C"/>
    <w:rsid w:val="3CED4023"/>
    <w:rsid w:val="3D074338"/>
    <w:rsid w:val="3D3B749E"/>
    <w:rsid w:val="3DE3326B"/>
    <w:rsid w:val="3DE84774"/>
    <w:rsid w:val="3E1864B0"/>
    <w:rsid w:val="3E3A106C"/>
    <w:rsid w:val="3E4F1453"/>
    <w:rsid w:val="3E576F63"/>
    <w:rsid w:val="3E5949D3"/>
    <w:rsid w:val="3E5A3954"/>
    <w:rsid w:val="3EB8613D"/>
    <w:rsid w:val="3EDD502F"/>
    <w:rsid w:val="3EF55973"/>
    <w:rsid w:val="3F1461F9"/>
    <w:rsid w:val="3F171845"/>
    <w:rsid w:val="3F30121F"/>
    <w:rsid w:val="3F6C1B91"/>
    <w:rsid w:val="3F830C89"/>
    <w:rsid w:val="3FAB0A0B"/>
    <w:rsid w:val="3FD30A0C"/>
    <w:rsid w:val="401D6B38"/>
    <w:rsid w:val="408563A3"/>
    <w:rsid w:val="408F27F7"/>
    <w:rsid w:val="409B0943"/>
    <w:rsid w:val="40A346ED"/>
    <w:rsid w:val="40E14B1B"/>
    <w:rsid w:val="41432768"/>
    <w:rsid w:val="41981844"/>
    <w:rsid w:val="419D21A6"/>
    <w:rsid w:val="41A33177"/>
    <w:rsid w:val="41B26A67"/>
    <w:rsid w:val="420605A3"/>
    <w:rsid w:val="420E05D1"/>
    <w:rsid w:val="42586B9E"/>
    <w:rsid w:val="426A35E8"/>
    <w:rsid w:val="43212EF5"/>
    <w:rsid w:val="436F11D1"/>
    <w:rsid w:val="43A049F8"/>
    <w:rsid w:val="43F979A6"/>
    <w:rsid w:val="440B6E97"/>
    <w:rsid w:val="44166943"/>
    <w:rsid w:val="443A10F9"/>
    <w:rsid w:val="443C2B2F"/>
    <w:rsid w:val="446B7D15"/>
    <w:rsid w:val="455D7CE5"/>
    <w:rsid w:val="456022EF"/>
    <w:rsid w:val="4584196D"/>
    <w:rsid w:val="458C732D"/>
    <w:rsid w:val="45EF0E26"/>
    <w:rsid w:val="460C5D91"/>
    <w:rsid w:val="4622037D"/>
    <w:rsid w:val="46390581"/>
    <w:rsid w:val="463F72E6"/>
    <w:rsid w:val="46410CAA"/>
    <w:rsid w:val="46A92F36"/>
    <w:rsid w:val="471E3E9D"/>
    <w:rsid w:val="47653F13"/>
    <w:rsid w:val="476847C3"/>
    <w:rsid w:val="477B5E4E"/>
    <w:rsid w:val="479B31A2"/>
    <w:rsid w:val="47B24622"/>
    <w:rsid w:val="47C91C50"/>
    <w:rsid w:val="47E32AD0"/>
    <w:rsid w:val="480D1D8B"/>
    <w:rsid w:val="482C0D7C"/>
    <w:rsid w:val="485427D7"/>
    <w:rsid w:val="48614F24"/>
    <w:rsid w:val="48653F3C"/>
    <w:rsid w:val="48830FF3"/>
    <w:rsid w:val="48A405ED"/>
    <w:rsid w:val="48DF2FCB"/>
    <w:rsid w:val="48E90E85"/>
    <w:rsid w:val="48ED191F"/>
    <w:rsid w:val="48FB43EB"/>
    <w:rsid w:val="48FD7CFE"/>
    <w:rsid w:val="4904108C"/>
    <w:rsid w:val="49516880"/>
    <w:rsid w:val="4960274D"/>
    <w:rsid w:val="496176B6"/>
    <w:rsid w:val="49935FF0"/>
    <w:rsid w:val="499E7A09"/>
    <w:rsid w:val="49A22C1D"/>
    <w:rsid w:val="49A81BEF"/>
    <w:rsid w:val="49AC306A"/>
    <w:rsid w:val="49AF299B"/>
    <w:rsid w:val="49D91881"/>
    <w:rsid w:val="49EA64D4"/>
    <w:rsid w:val="49F17862"/>
    <w:rsid w:val="49FB6ECE"/>
    <w:rsid w:val="4A4D571E"/>
    <w:rsid w:val="4A6F2535"/>
    <w:rsid w:val="4AD35122"/>
    <w:rsid w:val="4B1355B6"/>
    <w:rsid w:val="4B266B52"/>
    <w:rsid w:val="4B2A21AB"/>
    <w:rsid w:val="4B75001F"/>
    <w:rsid w:val="4BA35AD9"/>
    <w:rsid w:val="4BD25472"/>
    <w:rsid w:val="4BE156B5"/>
    <w:rsid w:val="4C9E5AA1"/>
    <w:rsid w:val="4CFD3A74"/>
    <w:rsid w:val="4D221F86"/>
    <w:rsid w:val="4D297977"/>
    <w:rsid w:val="4DAE543E"/>
    <w:rsid w:val="4DCB4CB4"/>
    <w:rsid w:val="4DE002CE"/>
    <w:rsid w:val="4E2E53F7"/>
    <w:rsid w:val="4E424745"/>
    <w:rsid w:val="4E640BBD"/>
    <w:rsid w:val="4EA07161"/>
    <w:rsid w:val="4EDF6B18"/>
    <w:rsid w:val="4EE8152C"/>
    <w:rsid w:val="4EF9235D"/>
    <w:rsid w:val="4F18319B"/>
    <w:rsid w:val="4F1B2C8C"/>
    <w:rsid w:val="4F4B5D83"/>
    <w:rsid w:val="4FB530E0"/>
    <w:rsid w:val="4FCD637F"/>
    <w:rsid w:val="508127C9"/>
    <w:rsid w:val="508B34D2"/>
    <w:rsid w:val="50C03AEB"/>
    <w:rsid w:val="50D67DEE"/>
    <w:rsid w:val="50E22AAF"/>
    <w:rsid w:val="50F71161"/>
    <w:rsid w:val="510D230D"/>
    <w:rsid w:val="511B0490"/>
    <w:rsid w:val="512D3B4C"/>
    <w:rsid w:val="51387907"/>
    <w:rsid w:val="5141261A"/>
    <w:rsid w:val="515D3978"/>
    <w:rsid w:val="51624BA2"/>
    <w:rsid w:val="5191221F"/>
    <w:rsid w:val="51A55F40"/>
    <w:rsid w:val="51BD43CA"/>
    <w:rsid w:val="51C078E4"/>
    <w:rsid w:val="52230DDC"/>
    <w:rsid w:val="524870C4"/>
    <w:rsid w:val="526130AB"/>
    <w:rsid w:val="52E468C2"/>
    <w:rsid w:val="52E77F2A"/>
    <w:rsid w:val="52F81A88"/>
    <w:rsid w:val="533E6460"/>
    <w:rsid w:val="534A583A"/>
    <w:rsid w:val="535B5D4C"/>
    <w:rsid w:val="537A46AB"/>
    <w:rsid w:val="53990BF9"/>
    <w:rsid w:val="53B05F89"/>
    <w:rsid w:val="53F96C3F"/>
    <w:rsid w:val="53FD5FC4"/>
    <w:rsid w:val="54C172C5"/>
    <w:rsid w:val="55805126"/>
    <w:rsid w:val="55901458"/>
    <w:rsid w:val="55CD79BC"/>
    <w:rsid w:val="55F33BA5"/>
    <w:rsid w:val="55F47327"/>
    <w:rsid w:val="55F54EA8"/>
    <w:rsid w:val="569104D7"/>
    <w:rsid w:val="56B1795A"/>
    <w:rsid w:val="56F81E6E"/>
    <w:rsid w:val="56F938BD"/>
    <w:rsid w:val="56FC62B9"/>
    <w:rsid w:val="570636A6"/>
    <w:rsid w:val="570A1C69"/>
    <w:rsid w:val="570D3394"/>
    <w:rsid w:val="5717647F"/>
    <w:rsid w:val="57177107"/>
    <w:rsid w:val="571A66B0"/>
    <w:rsid w:val="57DF00F3"/>
    <w:rsid w:val="57FC421C"/>
    <w:rsid w:val="58047BEB"/>
    <w:rsid w:val="581D27F0"/>
    <w:rsid w:val="5822508B"/>
    <w:rsid w:val="58726012"/>
    <w:rsid w:val="587E53C1"/>
    <w:rsid w:val="58826287"/>
    <w:rsid w:val="58C4462C"/>
    <w:rsid w:val="58CB2496"/>
    <w:rsid w:val="58F3334B"/>
    <w:rsid w:val="593432C8"/>
    <w:rsid w:val="59617E35"/>
    <w:rsid w:val="59E63492"/>
    <w:rsid w:val="5A285A13"/>
    <w:rsid w:val="5A396CCA"/>
    <w:rsid w:val="5A3A1838"/>
    <w:rsid w:val="5A43263C"/>
    <w:rsid w:val="5A8443AD"/>
    <w:rsid w:val="5A9D0B40"/>
    <w:rsid w:val="5AC32B55"/>
    <w:rsid w:val="5B332483"/>
    <w:rsid w:val="5B3A4997"/>
    <w:rsid w:val="5B6A2BDF"/>
    <w:rsid w:val="5BA666DC"/>
    <w:rsid w:val="5BFE72E8"/>
    <w:rsid w:val="5C16596A"/>
    <w:rsid w:val="5C4265E0"/>
    <w:rsid w:val="5C7A3A42"/>
    <w:rsid w:val="5C976E55"/>
    <w:rsid w:val="5C98043B"/>
    <w:rsid w:val="5D245117"/>
    <w:rsid w:val="5D567FD3"/>
    <w:rsid w:val="5D804391"/>
    <w:rsid w:val="5D8353B4"/>
    <w:rsid w:val="5D870900"/>
    <w:rsid w:val="5D8B722E"/>
    <w:rsid w:val="5D9019F0"/>
    <w:rsid w:val="5DA701B9"/>
    <w:rsid w:val="5DAA2498"/>
    <w:rsid w:val="5DB27973"/>
    <w:rsid w:val="5DBB1226"/>
    <w:rsid w:val="5E343D6A"/>
    <w:rsid w:val="5E7C394C"/>
    <w:rsid w:val="5E875622"/>
    <w:rsid w:val="5E966EBF"/>
    <w:rsid w:val="5E9812C6"/>
    <w:rsid w:val="5ED23250"/>
    <w:rsid w:val="5ED86C69"/>
    <w:rsid w:val="5EE666D0"/>
    <w:rsid w:val="5F0F687C"/>
    <w:rsid w:val="5F2E616D"/>
    <w:rsid w:val="5F315C1C"/>
    <w:rsid w:val="5F4D7B51"/>
    <w:rsid w:val="5F6847A5"/>
    <w:rsid w:val="5F7A62E9"/>
    <w:rsid w:val="5F950838"/>
    <w:rsid w:val="5FA57C71"/>
    <w:rsid w:val="5FF44812"/>
    <w:rsid w:val="600B6EDF"/>
    <w:rsid w:val="602B04F3"/>
    <w:rsid w:val="607C7302"/>
    <w:rsid w:val="60A952CA"/>
    <w:rsid w:val="60DE12EA"/>
    <w:rsid w:val="61046D91"/>
    <w:rsid w:val="61265BEC"/>
    <w:rsid w:val="615220F1"/>
    <w:rsid w:val="618739EF"/>
    <w:rsid w:val="61D84114"/>
    <w:rsid w:val="620B6B90"/>
    <w:rsid w:val="622B07F3"/>
    <w:rsid w:val="6299063F"/>
    <w:rsid w:val="62AA63A9"/>
    <w:rsid w:val="62C01D4F"/>
    <w:rsid w:val="633F11B9"/>
    <w:rsid w:val="636B128A"/>
    <w:rsid w:val="63AB687C"/>
    <w:rsid w:val="63E86159"/>
    <w:rsid w:val="640020F5"/>
    <w:rsid w:val="64104931"/>
    <w:rsid w:val="64133D6A"/>
    <w:rsid w:val="64223903"/>
    <w:rsid w:val="6449399F"/>
    <w:rsid w:val="647741D3"/>
    <w:rsid w:val="647F7A80"/>
    <w:rsid w:val="64805649"/>
    <w:rsid w:val="64A03F64"/>
    <w:rsid w:val="64A0510C"/>
    <w:rsid w:val="64BB2494"/>
    <w:rsid w:val="64F61FA3"/>
    <w:rsid w:val="652A11A9"/>
    <w:rsid w:val="653B4160"/>
    <w:rsid w:val="65DC7951"/>
    <w:rsid w:val="661F5E30"/>
    <w:rsid w:val="66356E1E"/>
    <w:rsid w:val="668D341B"/>
    <w:rsid w:val="66CB5B00"/>
    <w:rsid w:val="6703679C"/>
    <w:rsid w:val="6716155A"/>
    <w:rsid w:val="673E62FC"/>
    <w:rsid w:val="67AE584B"/>
    <w:rsid w:val="67FC1454"/>
    <w:rsid w:val="67FD2796"/>
    <w:rsid w:val="68092C9C"/>
    <w:rsid w:val="68117DA2"/>
    <w:rsid w:val="682409AB"/>
    <w:rsid w:val="68684D3C"/>
    <w:rsid w:val="68686AEA"/>
    <w:rsid w:val="68757459"/>
    <w:rsid w:val="68866F70"/>
    <w:rsid w:val="689B3151"/>
    <w:rsid w:val="68BC0D7E"/>
    <w:rsid w:val="68F54E08"/>
    <w:rsid w:val="69046A75"/>
    <w:rsid w:val="690D7656"/>
    <w:rsid w:val="691E3028"/>
    <w:rsid w:val="695B6DEF"/>
    <w:rsid w:val="698931BC"/>
    <w:rsid w:val="6992763F"/>
    <w:rsid w:val="69FB2799"/>
    <w:rsid w:val="6A1231B1"/>
    <w:rsid w:val="6A3E0C40"/>
    <w:rsid w:val="6A694D9B"/>
    <w:rsid w:val="6A734C34"/>
    <w:rsid w:val="6A846249"/>
    <w:rsid w:val="6AAA1FC8"/>
    <w:rsid w:val="6AB6755B"/>
    <w:rsid w:val="6ABD66AF"/>
    <w:rsid w:val="6ACD532A"/>
    <w:rsid w:val="6AEC2E18"/>
    <w:rsid w:val="6B286B57"/>
    <w:rsid w:val="6B2E5B12"/>
    <w:rsid w:val="6B566163"/>
    <w:rsid w:val="6BB268BA"/>
    <w:rsid w:val="6BBF6A86"/>
    <w:rsid w:val="6BDA0220"/>
    <w:rsid w:val="6BEC7A32"/>
    <w:rsid w:val="6BF41B7A"/>
    <w:rsid w:val="6C146B42"/>
    <w:rsid w:val="6C6628BD"/>
    <w:rsid w:val="6C687B08"/>
    <w:rsid w:val="6C6E6699"/>
    <w:rsid w:val="6C7858DB"/>
    <w:rsid w:val="6CD4361C"/>
    <w:rsid w:val="6D1303A1"/>
    <w:rsid w:val="6D140305"/>
    <w:rsid w:val="6D260198"/>
    <w:rsid w:val="6D2F6AF2"/>
    <w:rsid w:val="6D75496F"/>
    <w:rsid w:val="6DC4047D"/>
    <w:rsid w:val="6DF66DF1"/>
    <w:rsid w:val="6E341BFA"/>
    <w:rsid w:val="6E463D8D"/>
    <w:rsid w:val="6E4F6056"/>
    <w:rsid w:val="6E714342"/>
    <w:rsid w:val="6E927817"/>
    <w:rsid w:val="6EE5485F"/>
    <w:rsid w:val="6F1B4888"/>
    <w:rsid w:val="6F4638FD"/>
    <w:rsid w:val="6F4F288F"/>
    <w:rsid w:val="6F95081D"/>
    <w:rsid w:val="6FA061E8"/>
    <w:rsid w:val="6FC86F33"/>
    <w:rsid w:val="6FCA5354"/>
    <w:rsid w:val="6FD11F7C"/>
    <w:rsid w:val="701B0E2E"/>
    <w:rsid w:val="70291255"/>
    <w:rsid w:val="703934CB"/>
    <w:rsid w:val="704D7E21"/>
    <w:rsid w:val="708426DB"/>
    <w:rsid w:val="70B04A35"/>
    <w:rsid w:val="70CD5D8E"/>
    <w:rsid w:val="70FE00D4"/>
    <w:rsid w:val="710D7763"/>
    <w:rsid w:val="713C0DFB"/>
    <w:rsid w:val="716C43C3"/>
    <w:rsid w:val="717E2024"/>
    <w:rsid w:val="71BF72D6"/>
    <w:rsid w:val="71C4646A"/>
    <w:rsid w:val="722D7823"/>
    <w:rsid w:val="724E1E5D"/>
    <w:rsid w:val="72534367"/>
    <w:rsid w:val="725A270A"/>
    <w:rsid w:val="72BB1F0C"/>
    <w:rsid w:val="72DC25AE"/>
    <w:rsid w:val="72E90A0B"/>
    <w:rsid w:val="730E4AA6"/>
    <w:rsid w:val="732659B6"/>
    <w:rsid w:val="73415B78"/>
    <w:rsid w:val="73842476"/>
    <w:rsid w:val="7392579A"/>
    <w:rsid w:val="73CD0535"/>
    <w:rsid w:val="73CF42D2"/>
    <w:rsid w:val="73EC4A73"/>
    <w:rsid w:val="73FE0D70"/>
    <w:rsid w:val="743E1CB8"/>
    <w:rsid w:val="745D1945"/>
    <w:rsid w:val="745D37F8"/>
    <w:rsid w:val="74634609"/>
    <w:rsid w:val="746F137E"/>
    <w:rsid w:val="749B627E"/>
    <w:rsid w:val="74A7141D"/>
    <w:rsid w:val="74CA6436"/>
    <w:rsid w:val="74EC2851"/>
    <w:rsid w:val="75692310"/>
    <w:rsid w:val="75BB11F1"/>
    <w:rsid w:val="75CD0A7A"/>
    <w:rsid w:val="75E301DF"/>
    <w:rsid w:val="75E762B7"/>
    <w:rsid w:val="761C3B6E"/>
    <w:rsid w:val="770D1228"/>
    <w:rsid w:val="772207AC"/>
    <w:rsid w:val="772E145A"/>
    <w:rsid w:val="775502AF"/>
    <w:rsid w:val="776C7C79"/>
    <w:rsid w:val="77A84CBF"/>
    <w:rsid w:val="77C009FE"/>
    <w:rsid w:val="78686E6C"/>
    <w:rsid w:val="787E1020"/>
    <w:rsid w:val="78AC0FFD"/>
    <w:rsid w:val="78AF606F"/>
    <w:rsid w:val="78D05435"/>
    <w:rsid w:val="791B54B2"/>
    <w:rsid w:val="797F3C93"/>
    <w:rsid w:val="79C67302"/>
    <w:rsid w:val="79CB17D1"/>
    <w:rsid w:val="79D2763C"/>
    <w:rsid w:val="7A086852"/>
    <w:rsid w:val="7A4123CB"/>
    <w:rsid w:val="7A65732D"/>
    <w:rsid w:val="7A770E0E"/>
    <w:rsid w:val="7ABB2125"/>
    <w:rsid w:val="7AFB2936"/>
    <w:rsid w:val="7B11468C"/>
    <w:rsid w:val="7B130548"/>
    <w:rsid w:val="7B16407D"/>
    <w:rsid w:val="7B334D35"/>
    <w:rsid w:val="7B396DA9"/>
    <w:rsid w:val="7B4927AB"/>
    <w:rsid w:val="7B8B41AA"/>
    <w:rsid w:val="7BED14FE"/>
    <w:rsid w:val="7C047AE7"/>
    <w:rsid w:val="7C2E38A5"/>
    <w:rsid w:val="7C7633A9"/>
    <w:rsid w:val="7C78687E"/>
    <w:rsid w:val="7C8634A9"/>
    <w:rsid w:val="7C9B6740"/>
    <w:rsid w:val="7C9F225D"/>
    <w:rsid w:val="7CDE5175"/>
    <w:rsid w:val="7CEE73E3"/>
    <w:rsid w:val="7CF038D3"/>
    <w:rsid w:val="7D0B3EF6"/>
    <w:rsid w:val="7D1172F8"/>
    <w:rsid w:val="7D6A4B1C"/>
    <w:rsid w:val="7D6A6376"/>
    <w:rsid w:val="7D7F4B0A"/>
    <w:rsid w:val="7D915EE2"/>
    <w:rsid w:val="7D953D7C"/>
    <w:rsid w:val="7DEF11E8"/>
    <w:rsid w:val="7E20467A"/>
    <w:rsid w:val="7E210565"/>
    <w:rsid w:val="7EA0012F"/>
    <w:rsid w:val="7ED91DFB"/>
    <w:rsid w:val="7F081CDB"/>
    <w:rsid w:val="7F577A8E"/>
    <w:rsid w:val="7F5C44BA"/>
    <w:rsid w:val="7F871AF4"/>
    <w:rsid w:val="7FAD37C0"/>
    <w:rsid w:val="7FBC3CC0"/>
    <w:rsid w:val="7FD80A81"/>
    <w:rsid w:val="AFF55EB6"/>
    <w:rsid w:val="DFDFB23D"/>
    <w:rsid w:val="EFDF16C9"/>
    <w:rsid w:val="F6BA2EBF"/>
    <w:rsid w:val="F9EF1684"/>
    <w:rsid w:val="FCFFED46"/>
    <w:rsid w:val="FFB94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ascii="Times New Roman" w:hAnsi="Times New Roman" w:eastAsia="仿宋_GB2312" w:cstheme="minorBidi"/>
      <w:kern w:val="2"/>
      <w:sz w:val="32"/>
      <w:szCs w:val="32"/>
      <w:lang w:val="en-US" w:eastAsia="zh-CN" w:bidi="ar-SA"/>
    </w:rPr>
  </w:style>
  <w:style w:type="paragraph" w:styleId="3">
    <w:name w:val="heading 1"/>
    <w:basedOn w:val="1"/>
    <w:next w:val="1"/>
    <w:qFormat/>
    <w:uiPriority w:val="0"/>
    <w:pPr>
      <w:keepNext/>
      <w:keepLines/>
      <w:spacing w:beforeLines="0" w:afterLines="0" w:line="560" w:lineRule="exact"/>
      <w:ind w:firstLine="600" w:firstLineChars="200"/>
      <w:outlineLvl w:val="0"/>
    </w:pPr>
    <w:rPr>
      <w:rFonts w:eastAsia="黑体" w:asciiTheme="minorAscii" w:hAnsiTheme="minorAscii"/>
      <w:kern w:val="44"/>
    </w:rPr>
  </w:style>
  <w:style w:type="paragraph" w:styleId="4">
    <w:name w:val="heading 2"/>
    <w:basedOn w:val="1"/>
    <w:next w:val="1"/>
    <w:link w:val="21"/>
    <w:unhideWhenUsed/>
    <w:qFormat/>
    <w:uiPriority w:val="0"/>
    <w:pPr>
      <w:keepNext/>
      <w:keepLines/>
      <w:autoSpaceDE w:val="0"/>
      <w:autoSpaceDN w:val="0"/>
      <w:spacing w:beforeLines="0" w:beforeAutospacing="0" w:afterLines="0" w:afterAutospacing="0" w:line="560" w:lineRule="exact"/>
      <w:ind w:firstLine="880" w:firstLineChars="200"/>
      <w:outlineLvl w:val="1"/>
    </w:pPr>
    <w:rPr>
      <w:rFonts w:ascii="Arial" w:hAnsi="Arial" w:eastAsia="楷体_GB2312"/>
      <w:sz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rPr>
  </w:style>
  <w:style w:type="paragraph" w:styleId="5">
    <w:name w:val="annotation text"/>
    <w:basedOn w:val="1"/>
    <w:qFormat/>
    <w:uiPriority w:val="0"/>
    <w:pPr>
      <w:jc w:val="left"/>
    </w:pPr>
  </w:style>
  <w:style w:type="paragraph" w:styleId="6">
    <w:name w:val="Body Text"/>
    <w:basedOn w:val="1"/>
    <w:next w:val="7"/>
    <w:unhideWhenUsed/>
    <w:qFormat/>
    <w:uiPriority w:val="99"/>
    <w:pPr>
      <w:widowControl w:val="0"/>
      <w:spacing w:after="120"/>
      <w:jc w:val="both"/>
    </w:pPr>
    <w:rPr>
      <w:rFonts w:ascii="Times New Roman" w:hAnsi="Times New Roman" w:eastAsia="宋体" w:cs="Times New Roman"/>
      <w:kern w:val="2"/>
      <w:sz w:val="21"/>
      <w:szCs w:val="24"/>
      <w:lang w:val="en-US" w:eastAsia="zh-CN" w:bidi="ar-SA"/>
    </w:rPr>
  </w:style>
  <w:style w:type="paragraph" w:customStyle="1" w:styleId="7">
    <w:name w:val="目录 11"/>
    <w:next w:val="1"/>
    <w:qFormat/>
    <w:uiPriority w:val="0"/>
    <w:pPr>
      <w:wordWrap w:val="0"/>
      <w:jc w:val="both"/>
    </w:pPr>
    <w:rPr>
      <w:rFonts w:ascii="Times New Roman" w:hAnsi="Times New Roman" w:eastAsia="宋体" w:cs="Times New Roman"/>
      <w:sz w:val="21"/>
      <w:szCs w:val="22"/>
      <w:lang w:val="en-US" w:eastAsia="zh-CN" w:bidi="ar-SA"/>
    </w:r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semiHidden/>
    <w:unhideWhenUsed/>
    <w:qFormat/>
    <w:uiPriority w:val="39"/>
    <w:rPr>
      <w:rFonts w:ascii="Calibri" w:hAnsi="Calibri" w:eastAsia="宋体" w:cs="Times New Roman"/>
    </w:rPr>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WPSOffice手动目录 2"/>
    <w:qFormat/>
    <w:uiPriority w:val="0"/>
    <w:pPr>
      <w:ind w:leftChars="200"/>
    </w:pPr>
    <w:rPr>
      <w:rFonts w:asciiTheme="minorHAnsi" w:hAnsiTheme="minorHAnsi" w:eastAsiaTheme="minorEastAsia" w:cstheme="minorBidi"/>
      <w:sz w:val="20"/>
      <w:szCs w:val="20"/>
    </w:rPr>
  </w:style>
  <w:style w:type="paragraph" w:customStyle="1" w:styleId="20">
    <w:name w:val="WPSOffice手动目录 3"/>
    <w:qFormat/>
    <w:uiPriority w:val="0"/>
    <w:pPr>
      <w:ind w:leftChars="400"/>
    </w:pPr>
    <w:rPr>
      <w:rFonts w:asciiTheme="minorHAnsi" w:hAnsiTheme="minorHAnsi" w:eastAsiaTheme="minorEastAsia" w:cstheme="minorBidi"/>
      <w:sz w:val="20"/>
      <w:szCs w:val="20"/>
    </w:rPr>
  </w:style>
  <w:style w:type="character" w:customStyle="1" w:styleId="21">
    <w:name w:val="标题 2 Char"/>
    <w:link w:val="4"/>
    <w:qFormat/>
    <w:uiPriority w:val="0"/>
    <w:rPr>
      <w:rFonts w:ascii="Arial" w:hAnsi="Arial" w:eastAsia="楷体_GB231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2197</Words>
  <Characters>2316</Characters>
  <Lines>0</Lines>
  <Paragraphs>0</Paragraphs>
  <TotalTime>13</TotalTime>
  <ScaleCrop>false</ScaleCrop>
  <LinksUpToDate>false</LinksUpToDate>
  <CharactersWithSpaces>2395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2025-04-30T16:19:00Z</dcterms:created>
  <dc:creator>Administrator</dc:creator>
  <cp:lastModifiedBy>嘻嘻嘻嘻</cp:lastModifiedBy>
  <cp:lastPrinted>2025-06-27T11:16:00Z</cp:lastPrinted>
  <dcterms:modified xsi:type="dcterms:W3CDTF">2025-12-23T01:48:36Z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80B1E7B3A3164801973BF01398B01BA3_13</vt:lpwstr>
  </property>
  <property fmtid="{D5CDD505-2E9C-101B-9397-08002B2CF9AE}" pid="4" name="KSOTemplateDocerSaveRecord">
    <vt:lpwstr>eyJoZGlkIjoiZmQ2MDMzNDEyMzhiNGE2N2VmODk1ZDQ4ZDhhYjQwNmMiLCJ1c2VySWQiOiIzMDA1MzkzNjcifQ==</vt:lpwstr>
  </property>
</Properties>
</file>