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pStyle w:val="18"/>
        <w:spacing w:before="0" w:beforeAutospacing="0" w:after="0" w:afterAutospacing="0" w:line="56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8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北京市东城区关于推动医药健康产业</w:t>
      </w:r>
    </w:p>
    <w:p>
      <w:pPr>
        <w:pStyle w:val="18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高质量发展的若干措施</w:t>
      </w:r>
    </w:p>
    <w:p>
      <w:pPr>
        <w:pStyle w:val="18"/>
        <w:spacing w:before="0" w:beforeAutospacing="0" w:after="0" w:afterAutospacing="0" w:line="560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征求意见稿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</w:p>
    <w:p>
      <w:pPr>
        <w:spacing w:after="0" w:line="560" w:lineRule="exact"/>
        <w:rPr>
          <w:rFonts w:ascii="Times New Roman" w:hAnsi="Times New Roman" w:eastAsia="仿宋_GB2312"/>
        </w:rPr>
      </w:pPr>
    </w:p>
    <w:p>
      <w:pPr>
        <w:snapToGrid w:val="0"/>
        <w:spacing w:after="0" w:line="560" w:lineRule="exact"/>
        <w:ind w:firstLine="640" w:firstLineChars="200"/>
        <w:textAlignment w:val="baseline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一、总则</w:t>
      </w:r>
    </w:p>
    <w:p>
      <w:pPr>
        <w:snapToGrid w:val="0"/>
        <w:spacing w:after="0" w:line="560" w:lineRule="exact"/>
        <w:ind w:firstLine="643" w:firstLineChars="200"/>
        <w:rPr>
          <w:rFonts w:ascii="Times New Roman" w:hAnsi="Times New Roman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shd w:val="clear" w:color="auto" w:fill="FFFFFF"/>
        </w:rPr>
        <w:t>第一条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为贯彻落实</w:t>
      </w:r>
      <w:r>
        <w:rPr>
          <w:rFonts w:ascii="Times New Roman" w:hAnsi="Times New Roman" w:eastAsia="仿宋_GB2312"/>
          <w:sz w:val="32"/>
          <w:szCs w:val="32"/>
          <w:lang w:val="zh-CN"/>
        </w:rPr>
        <w:t>《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>“</w:t>
      </w:r>
      <w:r>
        <w:rPr>
          <w:rFonts w:ascii="Times New Roman" w:hAnsi="Times New Roman" w:eastAsia="仿宋_GB2312"/>
          <w:sz w:val="32"/>
          <w:szCs w:val="32"/>
          <w:lang w:val="zh-CN"/>
        </w:rPr>
        <w:t>健康中国2030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>”</w:t>
      </w:r>
      <w:r>
        <w:rPr>
          <w:rFonts w:ascii="Times New Roman" w:hAnsi="Times New Roman" w:eastAsia="仿宋_GB2312"/>
          <w:sz w:val="32"/>
          <w:szCs w:val="32"/>
          <w:lang w:val="zh-CN"/>
        </w:rPr>
        <w:t>规划纲要》</w:t>
      </w:r>
      <w:r>
        <w:rPr>
          <w:rFonts w:ascii="Times New Roman" w:hAnsi="Times New Roman" w:eastAsia="仿宋_GB2312"/>
          <w:sz w:val="32"/>
          <w:szCs w:val="32"/>
        </w:rPr>
        <w:t>《北京市加快医药健康协同创新行动计划（2024-2026年）》</w:t>
      </w:r>
      <w:r>
        <w:rPr>
          <w:rFonts w:hint="eastAsia" w:ascii="Times New Roman" w:hAnsi="Times New Roman" w:eastAsia="仿宋_GB2312"/>
          <w:sz w:val="32"/>
          <w:szCs w:val="32"/>
        </w:rPr>
        <w:t>等文件精神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，进一步促进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医药健康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产业发展，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结合东城区实际，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制定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本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措施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snapToGrid w:val="0"/>
        <w:spacing w:after="0" w:line="560" w:lineRule="exact"/>
        <w:ind w:firstLine="643" w:firstLineChars="200"/>
        <w:textAlignment w:val="baseline"/>
        <w:rPr>
          <w:rFonts w:ascii="Times New Roman" w:hAnsi="Times New Roman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仿宋_GB2312"/>
          <w:b/>
          <w:bCs/>
          <w:color w:val="000000"/>
          <w:sz w:val="32"/>
          <w:szCs w:val="32"/>
          <w:shd w:val="clear" w:color="auto" w:fill="FFFFFF"/>
        </w:rPr>
        <w:t>第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shd w:val="clear" w:color="auto" w:fill="FFFFFF"/>
        </w:rPr>
        <w:t>二</w:t>
      </w:r>
      <w:r>
        <w:rPr>
          <w:rFonts w:ascii="Times New Roman" w:hAnsi="Times New Roman" w:eastAsia="仿宋_GB2312" w:cs="仿宋_GB2312"/>
          <w:b/>
          <w:bCs/>
          <w:color w:val="000000"/>
          <w:sz w:val="32"/>
          <w:szCs w:val="32"/>
          <w:shd w:val="clear" w:color="auto" w:fill="FFFFFF"/>
        </w:rPr>
        <w:t>条</w:t>
      </w:r>
      <w:r>
        <w:rPr>
          <w:rFonts w:ascii="Times New Roman" w:hAnsi="Times New Roman" w:eastAsia="仿宋_GB2312" w:cs="仿宋_GB2312"/>
          <w:color w:val="000000"/>
          <w:sz w:val="32"/>
          <w:szCs w:val="32"/>
          <w:shd w:val="clear" w:color="auto" w:fill="FFFFFF"/>
        </w:rPr>
        <w:t xml:space="preserve"> 本措施适用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</w:rPr>
        <w:t>于在东城区依法合规开展经营活动的市场主体及其他经济、社会组织。</w:t>
      </w:r>
    </w:p>
    <w:p>
      <w:pPr>
        <w:snapToGrid w:val="0"/>
        <w:spacing w:after="0" w:line="560" w:lineRule="exact"/>
        <w:ind w:firstLine="640" w:firstLineChars="200"/>
        <w:textAlignment w:val="baseline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二、支持中医药产业发展</w:t>
      </w:r>
    </w:p>
    <w:p>
      <w:pPr>
        <w:pStyle w:val="12"/>
        <w:snapToGrid w:val="0"/>
        <w:spacing w:before="0" w:beforeAutospacing="0" w:after="0" w:afterAutospacing="0" w:line="560" w:lineRule="exact"/>
        <w:ind w:firstLine="643" w:firstLineChars="200"/>
        <w:jc w:val="both"/>
        <w:outlineLvl w:val="9"/>
        <w:rPr>
          <w:rFonts w:hint="default" w:ascii="Times New Roman" w:hAnsi="Times New Roman" w:eastAsia="仿宋_GB2312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 xml:space="preserve">第三条 </w:t>
      </w:r>
      <w:r>
        <w:rPr>
          <w:rFonts w:ascii="Times New Roman" w:hAnsi="Times New Roman" w:eastAsia="仿宋_GB2312"/>
          <w:b w:val="0"/>
          <w:bCs w:val="0"/>
          <w:color w:val="000000"/>
          <w:sz w:val="32"/>
          <w:szCs w:val="32"/>
          <w:shd w:val="clear" w:color="auto" w:fill="FFFFFF"/>
        </w:rPr>
        <w:t>支持中医药机构创新发展。依托国家中医药传承创新发展试验区优势，支持中医药机构、科技成果转化平台、知名专家团队等市场主体发展。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szCs w:val="32"/>
          <w:shd w:val="clear" w:color="auto" w:fill="FFFFFF"/>
        </w:rPr>
        <w:t>对于创新成效突出，在促进中医药产业发展方面做出重大贡献的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首次获得国家级、市级奖励、证书的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szCs w:val="32"/>
          <w:shd w:val="clear" w:color="auto" w:fill="FFFFFF"/>
        </w:rPr>
        <w:t>机构，给予最高500万元资金支持。</w:t>
      </w:r>
    </w:p>
    <w:p>
      <w:pPr>
        <w:snapToGrid w:val="0"/>
        <w:spacing w:after="0" w:line="560" w:lineRule="exact"/>
        <w:ind w:firstLine="640" w:firstLineChars="200"/>
        <w:textAlignment w:val="baseline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三、推动产品创新价值实现</w:t>
      </w:r>
    </w:p>
    <w:p>
      <w:pPr>
        <w:snapToGrid w:val="0"/>
        <w:spacing w:after="0" w:line="560" w:lineRule="exact"/>
        <w:ind w:firstLine="643" w:firstLineChars="200"/>
        <w:rPr>
          <w:rFonts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仿宋_GB2312"/>
          <w:b/>
          <w:bCs/>
          <w:color w:val="000000"/>
          <w:sz w:val="32"/>
          <w:szCs w:val="32"/>
          <w:shd w:val="clear" w:color="auto" w:fill="FFFFFF"/>
        </w:rPr>
        <w:t>第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shd w:val="clear" w:color="auto" w:fill="FFFFFF"/>
        </w:rPr>
        <w:t>四</w:t>
      </w:r>
      <w:r>
        <w:rPr>
          <w:rFonts w:ascii="Times New Roman" w:hAnsi="Times New Roman" w:eastAsia="仿宋_GB2312" w:cs="仿宋_GB2312"/>
          <w:b/>
          <w:bCs/>
          <w:color w:val="000000"/>
          <w:sz w:val="32"/>
          <w:szCs w:val="32"/>
          <w:shd w:val="clear" w:color="auto" w:fill="FFFFFF"/>
        </w:rPr>
        <w:t>条</w:t>
      </w:r>
      <w:r>
        <w:rPr>
          <w:rFonts w:ascii="Times New Roman" w:hAnsi="Times New Roman" w:eastAsia="仿宋_GB2312" w:cs="仿宋_GB2312"/>
          <w:color w:val="000000"/>
          <w:sz w:val="32"/>
          <w:szCs w:val="32"/>
          <w:shd w:val="clear" w:color="auto" w:fill="FFFFFF"/>
        </w:rPr>
        <w:t xml:space="preserve"> 支持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</w:rPr>
        <w:t>创</w:t>
      </w:r>
      <w:r>
        <w:rPr>
          <w:rFonts w:ascii="Times New Roman" w:hAnsi="Times New Roman" w:eastAsia="仿宋_GB2312" w:cs="仿宋_GB2312"/>
          <w:color w:val="000000"/>
          <w:sz w:val="32"/>
          <w:szCs w:val="32"/>
          <w:shd w:val="clear" w:color="auto" w:fill="FFFFFF"/>
        </w:rPr>
        <w:t>新药研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</w:rPr>
        <w:t>究开</w:t>
      </w:r>
      <w:r>
        <w:rPr>
          <w:rFonts w:ascii="Times New Roman" w:hAnsi="Times New Roman" w:eastAsia="仿宋_GB2312" w:cs="仿宋_GB2312"/>
          <w:color w:val="000000"/>
          <w:sz w:val="32"/>
          <w:szCs w:val="32"/>
          <w:shd w:val="clear" w:color="auto" w:fill="FFFFFF"/>
        </w:rPr>
        <w:t>发。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</w:rPr>
        <w:t>支持</w:t>
      </w:r>
      <w:r>
        <w:rPr>
          <w:rFonts w:ascii="Times New Roman" w:hAnsi="Times New Roman" w:eastAsia="仿宋_GB2312" w:cs="仿宋_GB2312"/>
          <w:color w:val="000000"/>
          <w:sz w:val="32"/>
          <w:szCs w:val="32"/>
          <w:shd w:val="clear" w:color="auto" w:fill="FFFFFF"/>
        </w:rPr>
        <w:t>生物药、化学药、中药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</w:rPr>
        <w:t>、疫苗、细胞与基因治疗</w:t>
      </w:r>
      <w:r>
        <w:rPr>
          <w:rFonts w:ascii="Times New Roman" w:hAnsi="Times New Roman" w:eastAsia="仿宋_GB2312" w:cs="仿宋_GB2312"/>
          <w:color w:val="000000"/>
          <w:sz w:val="32"/>
          <w:szCs w:val="32"/>
          <w:shd w:val="clear" w:color="auto" w:fill="FFFFFF"/>
        </w:rPr>
        <w:t>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</w:rPr>
        <w:t>产品创新，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  <w:t>对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成果转化产业化效果突出的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eastAsia="zh-CN"/>
        </w:rPr>
        <w:t>首次获得国家级、市级奖励、证书的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项目，给予</w:t>
      </w:r>
      <w:r>
        <w:rPr>
          <w:rFonts w:ascii="Times New Roman" w:hAnsi="Times New Roman" w:eastAsia="仿宋_GB2312"/>
          <w:color w:val="auto"/>
          <w:sz w:val="32"/>
          <w:szCs w:val="32"/>
        </w:rPr>
        <w:t>项目主体单位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最高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2000万元资金支持。</w:t>
      </w:r>
    </w:p>
    <w:p>
      <w:pPr>
        <w:snapToGrid w:val="0"/>
        <w:spacing w:after="0" w:line="560" w:lineRule="exact"/>
        <w:ind w:firstLine="643" w:firstLineChars="200"/>
        <w:rPr>
          <w:rFonts w:ascii="Times New Roman" w:hAnsi="Times New Roman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仿宋_GB2312"/>
          <w:b/>
          <w:bCs/>
          <w:color w:val="000000"/>
          <w:sz w:val="32"/>
          <w:szCs w:val="32"/>
          <w:shd w:val="clear" w:color="auto" w:fill="FFFFFF"/>
        </w:rPr>
        <w:t>第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shd w:val="clear" w:color="auto" w:fill="FFFFFF"/>
        </w:rPr>
        <w:t>五</w:t>
      </w:r>
      <w:r>
        <w:rPr>
          <w:rFonts w:ascii="Times New Roman" w:hAnsi="Times New Roman" w:eastAsia="仿宋_GB2312" w:cs="仿宋_GB2312"/>
          <w:b/>
          <w:bCs/>
          <w:color w:val="000000"/>
          <w:sz w:val="32"/>
          <w:szCs w:val="32"/>
          <w:shd w:val="clear" w:color="auto" w:fill="FFFFFF"/>
        </w:rPr>
        <w:t>条</w:t>
      </w:r>
      <w:r>
        <w:rPr>
          <w:rFonts w:ascii="Times New Roman" w:hAnsi="Times New Roman" w:eastAsia="仿宋_GB2312" w:cs="仿宋_GB2312"/>
          <w:color w:val="000000"/>
          <w:sz w:val="32"/>
          <w:szCs w:val="32"/>
          <w:shd w:val="clear" w:color="auto" w:fill="FFFFFF"/>
        </w:rPr>
        <w:t xml:space="preserve"> 支持医疗器械研发和市场化发展。对于取得第二类、第三类医疗器械注册证书，首次市场化的医疗器械产品（限非零部件类医疗仪器设备及器械），按照类别每个项目品种分别给予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</w:rPr>
        <w:t>最高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100</w:t>
      </w:r>
      <w:r>
        <w:rPr>
          <w:rFonts w:ascii="Times New Roman" w:hAnsi="Times New Roman" w:eastAsia="仿宋_GB2312" w:cs="仿宋_GB2312"/>
          <w:color w:val="000000"/>
          <w:sz w:val="32"/>
          <w:szCs w:val="32"/>
          <w:shd w:val="clear" w:color="auto" w:fill="FFFFFF"/>
        </w:rPr>
        <w:t>万元、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200</w:t>
      </w:r>
      <w:r>
        <w:rPr>
          <w:rFonts w:ascii="Times New Roman" w:hAnsi="Times New Roman" w:eastAsia="仿宋_GB2312" w:cs="仿宋_GB2312"/>
          <w:color w:val="000000"/>
          <w:sz w:val="32"/>
          <w:szCs w:val="32"/>
          <w:shd w:val="clear" w:color="auto" w:fill="FFFFFF"/>
        </w:rPr>
        <w:t>万元资金支持，单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</w:rPr>
        <w:t>一市场主体</w:t>
      </w:r>
      <w:r>
        <w:rPr>
          <w:rFonts w:ascii="Times New Roman" w:hAnsi="Times New Roman" w:eastAsia="仿宋_GB2312" w:cs="仿宋_GB2312"/>
          <w:color w:val="000000"/>
          <w:sz w:val="32"/>
          <w:szCs w:val="32"/>
          <w:shd w:val="clear" w:color="auto" w:fill="FFFFFF"/>
        </w:rPr>
        <w:t>支持额度每年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</w:rPr>
        <w:t>最高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1000</w:t>
      </w:r>
      <w:r>
        <w:rPr>
          <w:rFonts w:ascii="Times New Roman" w:hAnsi="Times New Roman" w:eastAsia="仿宋_GB2312" w:cs="仿宋_GB2312"/>
          <w:color w:val="000000"/>
          <w:sz w:val="32"/>
          <w:szCs w:val="32"/>
          <w:shd w:val="clear" w:color="auto" w:fill="FFFFFF"/>
        </w:rPr>
        <w:t>万元。</w:t>
      </w:r>
    </w:p>
    <w:p>
      <w:pPr>
        <w:snapToGrid w:val="0"/>
        <w:spacing w:after="0"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</w:rPr>
        <w:t>第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</w:rPr>
        <w:t>六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</w:rPr>
        <w:t>条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支持大健康领域其他创新产品研究开发。支持合成生物制造创新产品开发。支持特殊医学用途配方食品、婴幼儿配方食品、保健食品、化妆品创新开发。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对成果转化产业化效果突出的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首次获得国家级、市级奖励、证书的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项目，给予</w:t>
      </w:r>
      <w:r>
        <w:rPr>
          <w:rFonts w:ascii="Times New Roman" w:hAnsi="Times New Roman" w:eastAsia="仿宋_GB2312"/>
          <w:color w:val="auto"/>
          <w:sz w:val="32"/>
          <w:szCs w:val="32"/>
        </w:rPr>
        <w:t>项目主体单位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最高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1000万元资金支持。</w:t>
      </w:r>
    </w:p>
    <w:p>
      <w:pPr>
        <w:snapToGrid w:val="0"/>
        <w:spacing w:after="0" w:line="56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四、提升数字医疗服务能力</w:t>
      </w:r>
    </w:p>
    <w:p>
      <w:pPr>
        <w:pStyle w:val="12"/>
        <w:snapToGrid w:val="0"/>
        <w:spacing w:before="0" w:beforeAutospacing="0" w:after="0" w:afterAutospacing="0" w:line="560" w:lineRule="exact"/>
        <w:ind w:firstLine="643" w:firstLineChars="200"/>
        <w:jc w:val="both"/>
        <w:outlineLvl w:val="9"/>
        <w:rPr>
          <w:rFonts w:hint="default"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</w:rPr>
        <w:t xml:space="preserve">第七条 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支持中医诊疗数字化平台建设。鼓励围绕名老中医诊疗思想、中医药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辨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证逻辑和诊断规律</w:t>
      </w:r>
      <w:bookmarkStart w:id="1" w:name="_GoBack"/>
      <w:bookmarkEnd w:id="1"/>
      <w:r>
        <w:rPr>
          <w:rFonts w:ascii="Times New Roman" w:hAnsi="Times New Roman" w:eastAsia="仿宋_GB2312"/>
          <w:b w:val="0"/>
          <w:bCs w:val="0"/>
          <w:sz w:val="32"/>
          <w:szCs w:val="32"/>
        </w:rPr>
        <w:t xml:space="preserve">、经典名方和名老中医经验方等内容，开展中医药领域的数字化转型。对建设形成中医临床诊疗平台、中医药数字化循证服务平台、中医辨证论治智能辅助系统等数字化创新项目，给予项目主体单位最高500万元资金支持。 </w:t>
      </w:r>
    </w:p>
    <w:p>
      <w:pPr>
        <w:pStyle w:val="12"/>
        <w:snapToGrid w:val="0"/>
        <w:spacing w:before="0" w:beforeAutospacing="0" w:after="0" w:afterAutospacing="0" w:line="560" w:lineRule="exact"/>
        <w:ind w:firstLine="643" w:firstLineChars="200"/>
        <w:jc w:val="both"/>
        <w:outlineLvl w:val="9"/>
        <w:rPr>
          <w:rFonts w:hint="default" w:ascii="Times New Roman" w:hAnsi="Times New Roman" w:eastAsia="仿宋_GB2312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第八条</w:t>
      </w:r>
      <w:r>
        <w:rPr>
          <w:rFonts w:ascii="Times New Roman" w:hAnsi="Times New Roman" w:eastAsia="仿宋_GB2312"/>
          <w:b w:val="0"/>
          <w:bCs w:val="0"/>
          <w:color w:val="000000"/>
          <w:sz w:val="32"/>
          <w:szCs w:val="32"/>
          <w:shd w:val="clear" w:color="auto" w:fill="FFFFFF"/>
        </w:rPr>
        <w:t xml:space="preserve"> 支持</w:t>
      </w:r>
      <w:r>
        <w:rPr>
          <w:rFonts w:ascii="Times New Roman" w:hAnsi="Times New Roman" w:eastAsia="仿宋_GB2312"/>
          <w:b w:val="0"/>
          <w:bCs w:val="0"/>
          <w:sz w:val="32"/>
          <w:szCs w:val="32"/>
          <w:lang w:val="zh-CN"/>
        </w:rPr>
        <w:t>数字医疗配套服务平台建设。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鼓励检验检测、医药供应链、医用软硬件设备等专业服务平台建设；鼓励医药知识产权交易和转化平台建设，有效支撑技术研发、新药评价、商贸流通等关键环节；鼓励“互联网+医药健康”平台建设，整合远程医疗、线上药房、互联网医院、临床信息采集等项目。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szCs w:val="32"/>
        </w:rPr>
        <w:t>对创新成效突出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eastAsia="zh-CN"/>
        </w:rPr>
        <w:t>首次获得国家级、市级奖励、证书的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szCs w:val="32"/>
        </w:rPr>
        <w:t>项目，给予项目主体单位最高1000万元资金支持。</w:t>
      </w:r>
    </w:p>
    <w:p>
      <w:pPr>
        <w:snapToGrid w:val="0"/>
        <w:spacing w:after="0"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</w:rPr>
        <w:t>第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</w:rPr>
        <w:t>九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</w:rPr>
        <w:t>条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 xml:space="preserve"> 鼓励</w:t>
      </w:r>
      <w:r>
        <w:rPr>
          <w:rFonts w:hint="eastAsia" w:ascii="Times New Roman" w:hAnsi="Times New Roman" w:eastAsia="仿宋_GB2312"/>
          <w:sz w:val="32"/>
          <w:szCs w:val="32"/>
        </w:rPr>
        <w:t>人工智能技术赋能大健康行业发展。支持方向包括基于人工智能的药物研发技术平台、数字医疗产品、高端医疗装备智能化产品、多模态医疗大模型驱动的数字医生、健康管理产品研发等。支持</w:t>
      </w:r>
      <w:bookmarkStart w:id="0" w:name="OLE_LINK4"/>
      <w:r>
        <w:rPr>
          <w:rFonts w:hint="eastAsia" w:ascii="Times New Roman" w:hAnsi="Times New Roman" w:eastAsia="仿宋_GB2312"/>
          <w:sz w:val="32"/>
          <w:szCs w:val="32"/>
        </w:rPr>
        <w:t>市场主体在AI辅助影像识别与诊断</w:t>
      </w:r>
      <w:bookmarkEnd w:id="0"/>
      <w:r>
        <w:rPr>
          <w:rFonts w:hint="eastAsia" w:ascii="Times New Roman" w:hAnsi="Times New Roman" w:eastAsia="仿宋_GB2312"/>
          <w:sz w:val="32"/>
          <w:szCs w:val="32"/>
        </w:rPr>
        <w:t>、智能化手术机器人、脑机接口与类脑芯片、新型生物医用材料、可穿戴设备及健康应用程序（APP）等未来趋势性项目领域开展医疗应用场景探索；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在提升疾病预防干预、疾病预警、精准医疗、慢病筛查、加速康复、医养结合等方面具有显著价值和重要贡献、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首次获得国家级、市级奖励、证书的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，给予项目主体单位最高1000万元资金支持。</w:t>
      </w:r>
    </w:p>
    <w:p>
      <w:pPr>
        <w:snapToGrid w:val="0"/>
        <w:spacing w:after="0" w:line="560" w:lineRule="exact"/>
        <w:ind w:firstLine="640" w:firstLineChars="200"/>
        <w:textAlignment w:val="baseline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五、支持创新医药发展</w:t>
      </w:r>
    </w:p>
    <w:p>
      <w:pPr>
        <w:snapToGrid w:val="0"/>
        <w:spacing w:after="0" w:line="560" w:lineRule="exact"/>
        <w:ind w:firstLine="643" w:firstLineChars="2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</w:rPr>
        <w:t>第十条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积极将辖区符合条件的医药机构按程序纳入医保定点协议管理。鼓励辖区医药企业参加国家医保药品目录谈判，让更多创新药品通过谈判纳入国家医保目录。实施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国家医疗保障疾病诊断相关分组（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CHS-DRG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）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付费新药新技术除外支付机制，聚焦新药研发、互联网+医保，对符合条件的新药新技术费用，不计入DRG病组支付标准，单独支付。积极争取上级医保部门支持，将符合条件的创新药品纳入“北京普惠健康保”特药清单；对创新技术项目支持优先启动统一定价论证程序，同步研究纳入医保支付。</w:t>
      </w:r>
    </w:p>
    <w:p>
      <w:pPr>
        <w:snapToGrid w:val="0"/>
        <w:spacing w:after="0" w:line="56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六、优化人才服务</w:t>
      </w:r>
    </w:p>
    <w:p>
      <w:pPr>
        <w:pStyle w:val="7"/>
        <w:snapToGrid w:val="0"/>
        <w:spacing w:beforeAutospacing="0" w:after="0" w:afterAutospacing="0" w:line="560" w:lineRule="exact"/>
        <w:ind w:firstLine="643" w:firstLineChars="200"/>
        <w:jc w:val="both"/>
        <w:rPr>
          <w:rFonts w:ascii="Times New Roman" w:hAnsi="Times New Roman" w:eastAsia="仿宋_GB2312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</w:rPr>
        <w:t>第十一条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shd w:val="clear" w:color="auto" w:fill="FFFFFF"/>
        </w:rPr>
        <w:t xml:space="preserve"> </w:t>
      </w:r>
      <w:r>
        <w:rPr>
          <w:rFonts w:hint="eastAsia" w:ascii="Times New Roman" w:hAnsi="Times New Roman" w:eastAsia="仿宋_GB2312"/>
          <w:color w:val="000000"/>
          <w:kern w:val="2"/>
          <w:sz w:val="32"/>
          <w:szCs w:val="32"/>
          <w:shd w:val="clear" w:color="auto" w:fill="FFFFFF"/>
        </w:rPr>
        <w:t>积极构建全方位、多层次的人才培育与引进体系，为医药健康领域的专业人才提供广阔发展空间以及贴心的服务保障，让人才引得进、留得住、用得好。</w:t>
      </w:r>
    </w:p>
    <w:p>
      <w:pPr>
        <w:snapToGrid w:val="0"/>
        <w:spacing w:after="0" w:line="560" w:lineRule="exact"/>
        <w:ind w:firstLine="640" w:firstLineChars="200"/>
        <w:textAlignment w:val="baseline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七、附则</w:t>
      </w:r>
    </w:p>
    <w:p>
      <w:pPr>
        <w:spacing w:after="0" w:line="560" w:lineRule="exact"/>
        <w:ind w:firstLine="643" w:firstLineChars="2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黑体"/>
          <w:b/>
          <w:bCs/>
          <w:color w:val="000000"/>
          <w:sz w:val="32"/>
          <w:szCs w:val="32"/>
          <w:shd w:val="clear" w:color="auto" w:fill="FFFFFF"/>
        </w:rPr>
        <w:t>第十二条</w:t>
      </w:r>
      <w:r>
        <w:rPr>
          <w:rFonts w:hint="eastAsia" w:ascii="Times New Roman" w:hAnsi="Times New Roman" w:eastAsia="仿宋_GB2312" w:cs="黑体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本措施涉及资金的条款由相关单位自主申报。申报主体应按照当年发布的通知要求及时提交申请，并对申报材料的真实性、有效性和合法性负责。涉及提供虚假材料骗取政策支持的，将依法追究申报单位以及相关人员的法律责任并追回政策支持资金。</w:t>
      </w:r>
    </w:p>
    <w:p>
      <w:pPr>
        <w:spacing w:after="0" w:line="560" w:lineRule="exact"/>
        <w:ind w:firstLine="643" w:firstLineChars="2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</w:rPr>
        <w:t>第十三条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 xml:space="preserve"> 同一主体、同一项目、同一事项若同时符合本措施多个条款和东城区其他扶持政策，原则上按照“从优不重复”原则予以支持。另有规定的除外。</w:t>
      </w:r>
    </w:p>
    <w:p>
      <w:pPr>
        <w:spacing w:after="0" w:line="560" w:lineRule="exact"/>
        <w:ind w:firstLine="643" w:firstLineChars="200"/>
        <w:rPr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</w:rPr>
        <w:t>第十四条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 xml:space="preserve"> 本措施由中关村东城园管委会东城区科学技术委员会负责解释。自印发之日起30日后施行，有效期至2028年12月31日止。施行期间如遇国家和北京市相关政策调整，本措施同步调整。</w:t>
      </w:r>
    </w:p>
    <w:p>
      <w:pPr>
        <w:spacing w:after="0" w:line="560" w:lineRule="exact"/>
        <w:rPr>
          <w:color w:val="000000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tabs>
        <w:tab w:val="clear" w:pos="4153"/>
        <w:tab w:val="clear" w:pos="8306"/>
      </w:tabs>
      <w:jc w:val="center"/>
      <w:rPr>
        <w:sz w:val="30"/>
        <w:szCs w:val="30"/>
      </w:rPr>
    </w:pPr>
    <w:r>
      <w:rPr>
        <w:sz w:val="30"/>
        <w:szCs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uXW5UtAAAAAF&#10;AQAADwAAAAAAAAABACAAAAAiAAAAZHJzL2Rvd25yZXYueG1sUEsBAhQAFAAAAAgAh07iQGr/N9uy&#10;AQAASgMAAA4AAAAAAAAAAQAgAAAAH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500"/>
    <w:rsid w:val="002169A1"/>
    <w:rsid w:val="00684325"/>
    <w:rsid w:val="00B035E6"/>
    <w:rsid w:val="00E74500"/>
    <w:rsid w:val="036719FA"/>
    <w:rsid w:val="359449F5"/>
    <w:rsid w:val="4F3B36EF"/>
    <w:rsid w:val="503E693B"/>
    <w:rsid w:val="5BE43DF6"/>
    <w:rsid w:val="62C4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2">
    <w:name w:val="heading 6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5"/>
    </w:pPr>
    <w:rPr>
      <w:rFonts w:hint="eastAsia" w:ascii="宋体" w:hAnsi="宋体"/>
      <w:b/>
      <w:bCs/>
      <w:kern w:val="0"/>
      <w:sz w:val="15"/>
      <w:szCs w:val="15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index 9"/>
    <w:basedOn w:val="1"/>
    <w:next w:val="1"/>
    <w:unhideWhenUsed/>
    <w:qFormat/>
    <w:uiPriority w:val="0"/>
    <w:pPr>
      <w:ind w:left="1600" w:leftChars="1600"/>
    </w:p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page number"/>
    <w:qFormat/>
    <w:uiPriority w:val="0"/>
  </w:style>
  <w:style w:type="paragraph" w:customStyle="1" w:styleId="11">
    <w:name w:val="标题 11"/>
    <w:basedOn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customStyle="1" w:styleId="12">
    <w:name w:val="标题 21"/>
    <w:basedOn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customStyle="1" w:styleId="13">
    <w:name w:val="标题 61"/>
    <w:basedOn w:val="1"/>
    <w:qFormat/>
    <w:uiPriority w:val="0"/>
    <w:pPr>
      <w:spacing w:before="100" w:beforeAutospacing="1" w:after="100" w:afterAutospacing="1"/>
      <w:jc w:val="left"/>
      <w:outlineLvl w:val="5"/>
    </w:pPr>
    <w:rPr>
      <w:rFonts w:hint="eastAsia" w:ascii="宋体" w:hAnsi="宋体"/>
      <w:b/>
      <w:bCs/>
      <w:kern w:val="0"/>
      <w:sz w:val="15"/>
      <w:szCs w:val="15"/>
    </w:rPr>
  </w:style>
  <w:style w:type="paragraph" w:customStyle="1" w:styleId="14">
    <w:name w:val="索引 91"/>
    <w:basedOn w:val="1"/>
    <w:qFormat/>
    <w:uiPriority w:val="0"/>
    <w:pPr>
      <w:ind w:left="1600" w:leftChars="1600"/>
    </w:pPr>
  </w:style>
  <w:style w:type="paragraph" w:customStyle="1" w:styleId="15">
    <w:name w:val="正文文本1"/>
    <w:basedOn w:val="1"/>
    <w:qFormat/>
    <w:uiPriority w:val="0"/>
    <w:pPr>
      <w:spacing w:after="120"/>
    </w:pPr>
  </w:style>
  <w:style w:type="paragraph" w:customStyle="1" w:styleId="16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7">
    <w:name w:val="页眉1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8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默认段落字体1"/>
    <w:semiHidden/>
    <w:qFormat/>
    <w:uiPriority w:val="0"/>
  </w:style>
  <w:style w:type="character" w:customStyle="1" w:styleId="21">
    <w:name w:val="超链接1"/>
    <w:qFormat/>
    <w:uiPriority w:val="0"/>
    <w:rPr>
      <w:color w:val="0000FF"/>
      <w:u w:val="single"/>
    </w:rPr>
  </w:style>
  <w:style w:type="table" w:customStyle="1" w:styleId="22">
    <w:name w:val="普通表格1"/>
    <w:semiHidden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修订2"/>
    <w:hidden/>
    <w:unhideWhenUsed/>
    <w:qFormat/>
    <w:uiPriority w:val="99"/>
    <w:pPr>
      <w:spacing w:after="0" w:line="240" w:lineRule="auto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修订3"/>
    <w:hidden/>
    <w:unhideWhenUsed/>
    <w:qFormat/>
    <w:uiPriority w:val="99"/>
    <w:pPr>
      <w:spacing w:after="0" w:line="240" w:lineRule="auto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925</Words>
  <Characters>945</Characters>
  <Lines>42</Lines>
  <Paragraphs>24</Paragraphs>
  <ScaleCrop>false</ScaleCrop>
  <LinksUpToDate>false</LinksUpToDate>
  <CharactersWithSpaces>1846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2025-10-31T09:25:00Z</dcterms:created>
  <dc:creator>MA MINGHUI</dc:creator>
  <cp:lastModifiedBy>武聪颖</cp:lastModifiedBy>
  <cp:lastPrinted>2025-12-18T03:57:04Z</cp:lastPrinted>
  <dcterms:modified xsi:type="dcterms:W3CDTF">2025-12-18T08:48:56Z</dcterms:modified>
  <dc:title>关于制定《北京市东城区关于推动医药健康产业高质量发展的若干措施（试行）》情况汇报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eyJoZGlkIjoiYTc0NzRmZjVkOTI2OGQzZDc5NDc5YWNkYzNiYTM5YzQiLCJ1c2VySWQiOiIxMjk0NzkxNzcxIn0=</vt:lpwstr>
  </property>
  <property fmtid="{D5CDD505-2E9C-101B-9397-08002B2CF9AE}" pid="3" name="KSOProductBuildVer">
    <vt:lpwstr>2052-10.8.0.6253</vt:lpwstr>
  </property>
  <property fmtid="{D5CDD505-2E9C-101B-9397-08002B2CF9AE}" pid="4" name="ICV">
    <vt:lpwstr>775927BE20B84108BD4E53E0EF912E0F_12</vt:lpwstr>
  </property>
</Properties>
</file>