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BDCD">
      <w:pPr>
        <w:adjustRightInd w:val="0"/>
        <w:snapToGrid w:val="0"/>
        <w:spacing w:line="560" w:lineRule="exact"/>
        <w:rPr>
          <w:rFonts w:ascii="黑体" w:hAnsi="黑体" w:eastAsia="黑体" w:cs="国标小标宋"/>
          <w:color w:val="000000"/>
          <w:sz w:val="32"/>
          <w:szCs w:val="32"/>
        </w:rPr>
      </w:pPr>
      <w:bookmarkStart w:id="0" w:name="_Toc4369"/>
      <w:r>
        <w:rPr>
          <w:rFonts w:hint="eastAsia" w:ascii="黑体" w:hAnsi="黑体" w:eastAsia="黑体" w:cs="国标小标宋"/>
          <w:color w:val="000000"/>
          <w:sz w:val="32"/>
          <w:szCs w:val="32"/>
        </w:rPr>
        <w:t>附件2</w:t>
      </w:r>
    </w:p>
    <w:p w14:paraId="6EC14323">
      <w:pPr>
        <w:pStyle w:val="5"/>
      </w:pPr>
    </w:p>
    <w:bookmarkEnd w:id="0"/>
    <w:p w14:paraId="018232B2">
      <w:pPr>
        <w:adjustRightInd w:val="0"/>
        <w:snapToGrid w:val="0"/>
        <w:spacing w:line="56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14:ligatures w14:val="standardContextual"/>
        </w:rPr>
        <w:t>海淀区“科技领航”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val="en-US" w:eastAsia="zh-CN"/>
          <w14:ligatures w14:val="standardContextual"/>
        </w:rPr>
        <w:t>专项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14:ligatures w14:val="standardContextual"/>
        </w:rPr>
        <w:t>政策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  <w:t>（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val="en-US" w:eastAsia="zh-CN"/>
          <w14:ligatures w14:val="standardContextual"/>
        </w:rPr>
        <w:t>试行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  <w:t>）</w:t>
      </w:r>
    </w:p>
    <w:p w14:paraId="54403E33">
      <w:pPr>
        <w:adjustRightInd w:val="0"/>
        <w:snapToGrid w:val="0"/>
        <w:spacing w:line="560" w:lineRule="exact"/>
        <w:jc w:val="center"/>
        <w:rPr>
          <w:rFonts w:ascii="方正小标宋简体" w:hAnsi="国标小标宋" w:eastAsia="方正小标宋简体" w:cs="国标小标宋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404040"/>
          <w:sz w:val="44"/>
          <w:szCs w:val="44"/>
          <w:shd w:val="clear" w:color="auto" w:fill="FFFFFF"/>
        </w:rPr>
        <w:t>（征求意见稿）</w:t>
      </w:r>
      <w:r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  <w:t>起草说明</w:t>
      </w:r>
    </w:p>
    <w:p w14:paraId="6076E4CE">
      <w:pPr>
        <w:adjustRightInd w:val="0"/>
        <w:snapToGrid w:val="0"/>
        <w:spacing w:line="560" w:lineRule="exact"/>
        <w:jc w:val="center"/>
        <w:rPr>
          <w:rFonts w:ascii="国标小标宋" w:hAnsi="国标小标宋" w:eastAsia="国标小标宋" w:cs="国标小标宋"/>
          <w:color w:val="000000"/>
          <w:sz w:val="44"/>
          <w:szCs w:val="44"/>
        </w:rPr>
      </w:pPr>
    </w:p>
    <w:p w14:paraId="3A062E4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一、出台背景</w:t>
      </w:r>
    </w:p>
    <w:p w14:paraId="6E300C8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为贯彻国家关于“强化企业科技创新主体地位，建立培育壮大科技领军企业机制”的总体要求，大力推进北京国际科技创新中心核心区建设，加快构建“1+X+1”现代化产业体系，落实好《北京国际科技创新中心建设条例》《中关村世界领先科技园区建设方案（2024—2027年）》等文件精神，持续提升科技领航企业创新能力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带动区域创新生态跃升，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结合海淀区实际情况，特制定此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专项政策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E6AFA5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二、拟定过程</w:t>
      </w:r>
    </w:p>
    <w:p w14:paraId="3F337651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本政策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聚焦海淀区信息传输软件和信息技术服务业、科学研究和技术服务业、工业等优势产业中的国家高新技术企业，支持技术创新能力强、产业带动作用大、发展能力突出的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科技领军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目的是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引导驻区企业提升科技创新能力，更好地承担国家产业链安全和创新驱动战略使命，提高科技产业国际竞争力，为构建“1+X+1”现代化产业体系、建设世界领先科技园区提供有力保障。</w:t>
      </w:r>
    </w:p>
    <w:p w14:paraId="3B3DB1A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04A40FFF">
      <w:pPr>
        <w:widowControl w:val="0"/>
        <w:spacing w:line="560" w:lineRule="exact"/>
        <w:ind w:firstLine="643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申报流程方面，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由中关村科学城管委会公开征集，登录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京策平台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进行网上申报，在线填报并提交企业相关材料。本专项暂不需提交纸质材料。</w:t>
      </w:r>
    </w:p>
    <w:p w14:paraId="1CAC6257">
      <w:pPr>
        <w:widowControl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指标方面，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从技术创新能力、产业带动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能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力、企业发展能力三个维度对符合申报要求的企业进行评价，其中技术创新能力包括研发投入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  <w:t>情况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、新获发明专利情况等指标；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产业带动能力包括市场认可地位（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auto"/>
          <w14:ligatures w14:val="standardContextual"/>
        </w:rPr>
        <w:t>世界500强、中国500强、上市、独角兽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）等指标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；企业发展能力包括企业发展新动能（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auto"/>
          <w14:ligatures w14:val="standardContextual"/>
        </w:rPr>
        <w:t>固定资产投资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）、利用外资等指标。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对于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综合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评价排名前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列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的企业，给予不超过企业2025年度研发投入6%的支持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。</w:t>
      </w:r>
    </w:p>
    <w:p w14:paraId="784681C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支持方式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后置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支持方式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对于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综合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评价排名前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列</w:t>
      </w:r>
      <w:bookmarkStart w:id="1" w:name="_GoBack"/>
      <w:bookmarkEnd w:id="1"/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的企业，给予不超过企业2025年度研发投入6%的支持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。</w:t>
      </w:r>
    </w:p>
    <w:p w14:paraId="282BAFCF">
      <w:pPr>
        <w:widowControl w:val="0"/>
        <w:spacing w:line="560" w:lineRule="exact"/>
        <w:ind w:firstLine="643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中关村科学城管委会负责专项资金的监督管理，并接受相关部门的监督。项目申报单位在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申报、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审核、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验收等工作中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存在弄虚作假和违法行为的，取消其申报资格，已拨付的资金依法予以收回。拒不配合的，由相关部门依法予以处理。</w:t>
      </w:r>
    </w:p>
    <w:p w14:paraId="7CFEAD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4FECA0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6"/>
        </w:rPr>
      </w:pPr>
    </w:p>
    <w:p w14:paraId="13453E47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2CA73-B2CA-4C2D-AFD3-783E0E7982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国标小标宋">
    <w:altName w:val="宋体"/>
    <w:panose1 w:val="00000000000000000000"/>
    <w:charset w:val="86"/>
    <w:family w:val="auto"/>
    <w:pitch w:val="default"/>
    <w:sig w:usb0="00000000" w:usb1="00000000" w:usb2="00000000" w:usb3="00000000" w:csb0="00060007" w:csb1="00000000"/>
    <w:embedRegular r:id="rId2" w:fontKey="{4B4AB795-F12F-4C09-A13D-230E77ACE6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0548FD-F7BD-40CE-AAB5-678C5A9F51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798D45D-F5D5-4644-87F0-84A8BDEDCC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F727D2D-82CC-4AA7-A0B1-877227F455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99ED688-8F4E-40F4-BD54-3F8514BB3C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4084D89-68E9-41AF-BED4-4220457823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DA24D36-BFB2-4659-B796-3B91D5D66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E056C"/>
    <w:rsid w:val="00277E5A"/>
    <w:rsid w:val="00287D02"/>
    <w:rsid w:val="0030581E"/>
    <w:rsid w:val="00445192"/>
    <w:rsid w:val="005718EC"/>
    <w:rsid w:val="007200FA"/>
    <w:rsid w:val="09DFE37A"/>
    <w:rsid w:val="11B17C7B"/>
    <w:rsid w:val="17544F9B"/>
    <w:rsid w:val="20541106"/>
    <w:rsid w:val="2328334A"/>
    <w:rsid w:val="3FBF52D7"/>
    <w:rsid w:val="4D347ECD"/>
    <w:rsid w:val="4F58116E"/>
    <w:rsid w:val="5561248A"/>
    <w:rsid w:val="6E6A433D"/>
    <w:rsid w:val="7C1B7B2C"/>
    <w:rsid w:val="7EDB40F3"/>
    <w:rsid w:val="8F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784</Words>
  <Characters>812</Characters>
  <Lines>7</Lines>
  <Paragraphs>2</Paragraphs>
  <TotalTime>0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2024-12-20T17:29:00Z</dcterms:created>
  <dc:creator>user</dc:creator>
  <cp:lastModifiedBy>范凯源</cp:lastModifiedBy>
  <dcterms:modified xsi:type="dcterms:W3CDTF">2025-12-11T07:10:05Z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DCE1BC3D560A4CF6B501E7523532000A_13</vt:lpwstr>
  </property>
  <property fmtid="{D5CDD505-2E9C-101B-9397-08002B2CF9AE}" pid="4" name="KSOTemplateDocerSaveRecord">
    <vt:lpwstr>eyJoZGlkIjoiNmM4NjViODYyNzhlNzA5Y2Y3ZGVkOTkzMzdjYzVhYjUiLCJ1c2VySWQiOiI5NzU3OTExODYifQ==</vt:lpwstr>
  </property>
</Properties>
</file>