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hAnsi="方正小标宋简体" w:eastAsia="方正小标宋简体" w:cs="方正小标宋简体"/>
          <w:color w:val="000000"/>
          <w:sz w:val="44"/>
          <w:szCs w:val="44"/>
          <w:lang w:eastAsia="zh-CN"/>
        </w:rPr>
        <w:t>昌平区镇级及以下集中式饮用水水源保护区范围、昌平区分散式水源地饮用水水源保护范围的</w:t>
      </w:r>
      <w:r>
        <w:rPr>
          <w:rFonts w:hint="eastAsia" w:ascii="方正小标宋简体" w:eastAsia="方正小标宋简体"/>
          <w:sz w:val="44"/>
          <w:szCs w:val="44"/>
        </w:rPr>
        <w:t>起草说明</w:t>
      </w:r>
    </w:p>
    <w:p>
      <w:pPr>
        <w:spacing w:line="560" w:lineRule="exact"/>
        <w:jc w:val="center"/>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起草</w:t>
      </w:r>
      <w:r>
        <w:rPr>
          <w:rFonts w:hint="eastAsia" w:ascii="黑体" w:hAnsi="黑体" w:eastAsia="黑体"/>
          <w:sz w:val="32"/>
          <w:szCs w:val="32"/>
        </w:rPr>
        <w:t>背景</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加强水源保护，根据</w:t>
      </w:r>
      <w:r>
        <w:rPr>
          <w:rFonts w:hint="eastAsia" w:ascii="仿宋_GB2312" w:eastAsia="仿宋_GB2312"/>
          <w:sz w:val="32"/>
          <w:szCs w:val="32"/>
        </w:rPr>
        <w:t>《</w:t>
      </w:r>
      <w:bookmarkStart w:id="0" w:name="OLE_LINK1"/>
      <w:r>
        <w:rPr>
          <w:rFonts w:hint="eastAsia" w:ascii="仿宋_GB2312" w:eastAsia="仿宋_GB2312"/>
          <w:sz w:val="32"/>
          <w:szCs w:val="32"/>
        </w:rPr>
        <w:t>推进美丽北京建设</w:t>
      </w:r>
      <w:r>
        <w:rPr>
          <w:rFonts w:ascii="仿宋_GB2312" w:eastAsia="仿宋_GB2312"/>
          <w:sz w:val="32"/>
          <w:szCs w:val="32"/>
        </w:rPr>
        <w:t xml:space="preserve"> </w:t>
      </w:r>
      <w:r>
        <w:rPr>
          <w:rFonts w:hint="eastAsia" w:ascii="仿宋_GB2312" w:eastAsia="仿宋_GB2312"/>
          <w:sz w:val="32"/>
          <w:szCs w:val="32"/>
        </w:rPr>
        <w:t>持续深入打好污染防治攻坚战</w:t>
      </w:r>
      <w:r>
        <w:rPr>
          <w:rFonts w:ascii="仿宋_GB2312" w:eastAsia="仿宋_GB2312"/>
          <w:sz w:val="32"/>
          <w:szCs w:val="32"/>
        </w:rPr>
        <w:t>2025</w:t>
      </w:r>
      <w:r>
        <w:rPr>
          <w:rFonts w:hint="eastAsia" w:ascii="仿宋_GB2312" w:eastAsia="仿宋_GB2312"/>
          <w:sz w:val="32"/>
          <w:szCs w:val="32"/>
        </w:rPr>
        <w:t>年行动计划</w:t>
      </w:r>
      <w:bookmarkEnd w:id="0"/>
      <w:r>
        <w:rPr>
          <w:rFonts w:hint="eastAsia" w:ascii="仿宋_GB2312" w:eastAsia="仿宋_GB2312"/>
          <w:sz w:val="32"/>
          <w:szCs w:val="32"/>
        </w:rPr>
        <w:t>》（京政办发〔</w:t>
      </w:r>
      <w:r>
        <w:rPr>
          <w:rFonts w:ascii="仿宋_GB2312" w:eastAsia="仿宋_GB2312"/>
          <w:sz w:val="32"/>
          <w:szCs w:val="32"/>
        </w:rPr>
        <w:t>2025</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号）</w:t>
      </w:r>
      <w:r>
        <w:rPr>
          <w:rFonts w:hint="eastAsia" w:ascii="仿宋_GB2312" w:eastAsia="仿宋_GB2312"/>
          <w:sz w:val="32"/>
          <w:szCs w:val="32"/>
          <w:lang w:eastAsia="zh-CN"/>
        </w:rPr>
        <w:t>要求</w:t>
      </w:r>
      <w:r>
        <w:rPr>
          <w:rFonts w:hint="eastAsia" w:ascii="仿宋_GB2312" w:eastAsia="仿宋_GB2312"/>
          <w:sz w:val="32"/>
          <w:szCs w:val="32"/>
        </w:rPr>
        <w:t>，</w:t>
      </w:r>
      <w:r>
        <w:rPr>
          <w:rFonts w:hint="eastAsia" w:ascii="仿宋_GB2312" w:eastAsia="仿宋_GB2312"/>
          <w:sz w:val="32"/>
          <w:szCs w:val="32"/>
          <w:lang w:eastAsia="zh-CN"/>
        </w:rPr>
        <w:t>我区需</w:t>
      </w:r>
      <w:r>
        <w:rPr>
          <w:rFonts w:hint="eastAsia" w:ascii="仿宋_GB2312" w:eastAsia="仿宋_GB2312"/>
          <w:sz w:val="32"/>
          <w:szCs w:val="32"/>
        </w:rPr>
        <w:t>结合饮用水水源地名录及区域规划,统筹实施辖区集中式水源地饮用水水源保护区划定调整和分散式水源地饮用水水源保护范围划定,2025年底前完成名录内所有集中式水源地保护区和分散式水源地保护范围划定。</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ascii="仿宋_GB2312" w:eastAsia="仿宋_GB2312"/>
          <w:sz w:val="32"/>
          <w:szCs w:val="32"/>
        </w:rPr>
      </w:pPr>
      <w:r>
        <w:rPr>
          <w:rFonts w:hint="eastAsia" w:ascii="仿宋_GB2312" w:eastAsia="仿宋_GB2312"/>
          <w:sz w:val="32"/>
          <w:szCs w:val="32"/>
        </w:rPr>
        <w:t>因供水格局调整，我区</w:t>
      </w:r>
      <w:bookmarkStart w:id="1" w:name="OLE_LINK1337"/>
      <w:bookmarkStart w:id="2" w:name="OLE_LINK1338"/>
      <w:r>
        <w:rPr>
          <w:rFonts w:hint="eastAsia" w:ascii="仿宋_GB2312" w:eastAsia="仿宋_GB2312"/>
          <w:sz w:val="32"/>
          <w:szCs w:val="32"/>
        </w:rPr>
        <w:t>原划定的镇级及以下</w:t>
      </w:r>
      <w:bookmarkStart w:id="3" w:name="OLE_LINK14"/>
      <w:bookmarkStart w:id="4" w:name="OLE_LINK15"/>
      <w:r>
        <w:rPr>
          <w:rFonts w:hint="eastAsia" w:ascii="仿宋_GB2312" w:eastAsia="仿宋_GB2312"/>
          <w:sz w:val="32"/>
          <w:szCs w:val="32"/>
        </w:rPr>
        <w:t>集中式地下水饮用水水源地</w:t>
      </w:r>
      <w:bookmarkEnd w:id="1"/>
      <w:bookmarkEnd w:id="2"/>
      <w:bookmarkEnd w:id="3"/>
      <w:bookmarkEnd w:id="4"/>
      <w:r>
        <w:rPr>
          <w:rFonts w:hint="eastAsia" w:ascii="仿宋_GB2312" w:eastAsia="仿宋_GB2312"/>
          <w:sz w:val="32"/>
          <w:szCs w:val="32"/>
          <w:lang w:eastAsia="zh-CN"/>
        </w:rPr>
        <w:t>情况</w:t>
      </w:r>
      <w:r>
        <w:rPr>
          <w:rFonts w:hint="eastAsia" w:ascii="仿宋_GB2312" w:eastAsia="仿宋_GB2312"/>
          <w:sz w:val="32"/>
          <w:szCs w:val="32"/>
        </w:rPr>
        <w:t>发生了较大变化</w:t>
      </w:r>
      <w:r>
        <w:rPr>
          <w:rFonts w:hint="eastAsia" w:ascii="仿宋_GB2312" w:eastAsia="仿宋_GB2312"/>
          <w:sz w:val="32"/>
          <w:szCs w:val="32"/>
          <w:lang w:eastAsia="zh-CN"/>
        </w:rPr>
        <w:t>，</w:t>
      </w:r>
      <w:r>
        <w:rPr>
          <w:rFonts w:hint="eastAsia" w:ascii="仿宋_GB2312" w:eastAsia="仿宋_GB2312"/>
          <w:sz w:val="32"/>
          <w:szCs w:val="32"/>
        </w:rPr>
        <w:t>同时尚有1</w:t>
      </w:r>
      <w:r>
        <w:rPr>
          <w:rFonts w:ascii="仿宋_GB2312" w:eastAsia="仿宋_GB2312"/>
          <w:sz w:val="32"/>
          <w:szCs w:val="32"/>
        </w:rPr>
        <w:t>05</w:t>
      </w:r>
      <w:r>
        <w:rPr>
          <w:rFonts w:hint="eastAsia" w:ascii="仿宋_GB2312" w:eastAsia="仿宋_GB2312"/>
          <w:sz w:val="32"/>
          <w:szCs w:val="32"/>
        </w:rPr>
        <w:t>个村级集中式水源地未划分饮用水水源保护区</w:t>
      </w:r>
      <w:r>
        <w:rPr>
          <w:rFonts w:hint="eastAsia" w:ascii="仿宋_GB2312" w:eastAsia="仿宋_GB2312"/>
          <w:sz w:val="32"/>
          <w:szCs w:val="32"/>
          <w:lang w:eastAsia="zh-CN"/>
        </w:rPr>
        <w:t>，</w:t>
      </w:r>
      <w:r>
        <w:rPr>
          <w:rFonts w:hint="eastAsia" w:ascii="仿宋_GB2312" w:eastAsia="仿宋_GB2312"/>
          <w:sz w:val="32"/>
          <w:szCs w:val="32"/>
          <w:lang w:val="en-US" w:eastAsia="zh-CN"/>
        </w:rPr>
        <w:t>56个</w:t>
      </w:r>
      <w:r>
        <w:rPr>
          <w:rFonts w:hint="eastAsia" w:ascii="仿宋_GB2312" w:eastAsia="仿宋_GB2312"/>
          <w:sz w:val="32"/>
          <w:szCs w:val="32"/>
        </w:rPr>
        <w:t>村级</w:t>
      </w:r>
      <w:r>
        <w:rPr>
          <w:rFonts w:hint="eastAsia" w:ascii="仿宋_GB2312" w:eastAsia="仿宋_GB2312"/>
          <w:sz w:val="32"/>
          <w:szCs w:val="32"/>
          <w:lang w:eastAsia="zh-CN"/>
        </w:rPr>
        <w:t>分散</w:t>
      </w:r>
      <w:r>
        <w:rPr>
          <w:rFonts w:hint="eastAsia" w:ascii="仿宋_GB2312" w:eastAsia="仿宋_GB2312"/>
          <w:sz w:val="32"/>
          <w:szCs w:val="32"/>
        </w:rPr>
        <w:t>式水源地未划分水源保护</w:t>
      </w:r>
      <w:r>
        <w:rPr>
          <w:rFonts w:hint="eastAsia" w:ascii="仿宋_GB2312" w:eastAsia="仿宋_GB2312"/>
          <w:sz w:val="32"/>
          <w:szCs w:val="32"/>
          <w:lang w:eastAsia="zh-CN"/>
        </w:rPr>
        <w:t>范围。</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bookmarkStart w:id="5" w:name="OLE_LINK2"/>
      <w:r>
        <w:rPr>
          <w:rFonts w:hint="eastAsia" w:ascii="黑体" w:hAnsi="黑体" w:eastAsia="黑体" w:cs="黑体"/>
          <w:sz w:val="32"/>
          <w:szCs w:val="32"/>
          <w:lang w:eastAsia="zh-CN"/>
        </w:rPr>
        <w:t>二、起草过程</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Times New Roman" w:eastAsia="仿宋_GB2312"/>
          <w:sz w:val="32"/>
          <w:szCs w:val="32"/>
          <w:lang w:eastAsia="zh-CN"/>
        </w:rPr>
      </w:pPr>
      <w:r>
        <w:rPr>
          <w:rFonts w:hint="eastAsia" w:ascii="仿宋_GB2312" w:eastAsia="仿宋_GB2312"/>
          <w:sz w:val="32"/>
          <w:szCs w:val="32"/>
          <w:lang w:val="en-US" w:eastAsia="zh-CN"/>
        </w:rPr>
        <w:t>根据保护区划分技术要求，</w:t>
      </w:r>
      <w:r>
        <w:rPr>
          <w:rFonts w:hint="eastAsia" w:ascii="仿宋_GB2312" w:eastAsia="仿宋_GB2312"/>
          <w:sz w:val="32"/>
          <w:szCs w:val="32"/>
          <w:lang w:eastAsia="zh-CN"/>
        </w:rPr>
        <w:t>我局密切沟通市级部门和相关专家，</w:t>
      </w:r>
      <w:r>
        <w:rPr>
          <w:rFonts w:hint="eastAsia" w:ascii="仿宋_GB2312" w:hAnsi="Times New Roman" w:eastAsia="仿宋_GB2312"/>
          <w:sz w:val="32"/>
          <w:szCs w:val="32"/>
          <w:lang w:eastAsia="zh-CN"/>
        </w:rPr>
        <w:t>确定划分工作技术路径；</w:t>
      </w:r>
      <w:r>
        <w:rPr>
          <w:rFonts w:hint="eastAsia" w:ascii="仿宋_GB2312" w:eastAsia="仿宋_GB2312"/>
          <w:sz w:val="32"/>
          <w:szCs w:val="32"/>
          <w:lang w:eastAsia="zh-CN"/>
        </w:rPr>
        <w:t>协调区级相关部门，全面收集整理各水源地的基本信息；逐点调查环境地质、水文地质情况，逐个水源地进行取样检测；</w:t>
      </w:r>
      <w:r>
        <w:rPr>
          <w:rFonts w:hint="eastAsia" w:ascii="仿宋_GB2312" w:hAnsi="Times New Roman" w:eastAsia="仿宋_GB2312"/>
          <w:sz w:val="32"/>
          <w:szCs w:val="32"/>
          <w:lang w:eastAsia="zh-CN"/>
        </w:rPr>
        <w:t>组织相关部门及镇街</w:t>
      </w:r>
      <w:r>
        <w:rPr>
          <w:rFonts w:hint="eastAsia" w:ascii="仿宋_GB2312" w:hAnsi="Times New Roman" w:eastAsia="仿宋_GB2312"/>
          <w:sz w:val="32"/>
          <w:szCs w:val="32"/>
        </w:rPr>
        <w:t>召开</w:t>
      </w:r>
      <w:r>
        <w:rPr>
          <w:rFonts w:hint="eastAsia" w:ascii="仿宋_GB2312" w:hAnsi="Times New Roman" w:eastAsia="仿宋_GB2312"/>
          <w:sz w:val="32"/>
          <w:szCs w:val="32"/>
          <w:lang w:eastAsia="zh-CN"/>
        </w:rPr>
        <w:t>协调</w:t>
      </w:r>
      <w:r>
        <w:rPr>
          <w:rFonts w:hint="eastAsia" w:ascii="仿宋_GB2312" w:hAnsi="Times New Roman" w:eastAsia="仿宋_GB2312"/>
          <w:sz w:val="32"/>
          <w:szCs w:val="32"/>
        </w:rPr>
        <w:t>会议，指导</w:t>
      </w:r>
      <w:r>
        <w:rPr>
          <w:rFonts w:hint="eastAsia" w:ascii="仿宋_GB2312" w:hAnsi="Times New Roman" w:eastAsia="仿宋_GB2312"/>
          <w:sz w:val="32"/>
          <w:szCs w:val="32"/>
          <w:lang w:eastAsia="zh-CN"/>
        </w:rPr>
        <w:t>进行</w:t>
      </w:r>
      <w:r>
        <w:rPr>
          <w:rFonts w:hint="eastAsia" w:ascii="仿宋_GB2312" w:hAnsi="Times New Roman" w:eastAsia="仿宋_GB2312"/>
          <w:sz w:val="32"/>
          <w:szCs w:val="32"/>
        </w:rPr>
        <w:t>水源地周边</w:t>
      </w:r>
      <w:r>
        <w:rPr>
          <w:rFonts w:hint="eastAsia" w:ascii="仿宋_GB2312" w:hAnsi="Times New Roman" w:eastAsia="仿宋_GB2312"/>
          <w:sz w:val="32"/>
          <w:szCs w:val="32"/>
          <w:lang w:eastAsia="zh-CN"/>
        </w:rPr>
        <w:t>环境管理情况</w:t>
      </w:r>
      <w:r>
        <w:rPr>
          <w:rFonts w:hint="eastAsia" w:ascii="仿宋_GB2312" w:hAnsi="Times New Roman" w:eastAsia="仿宋_GB2312"/>
          <w:sz w:val="32"/>
          <w:szCs w:val="32"/>
        </w:rPr>
        <w:t>排查</w:t>
      </w:r>
      <w:r>
        <w:rPr>
          <w:rFonts w:hint="eastAsia" w:ascii="仿宋_GB2312" w:hAnsi="Times New Roman" w:eastAsia="仿宋_GB2312"/>
          <w:sz w:val="32"/>
          <w:szCs w:val="32"/>
          <w:lang w:eastAsia="zh-CN"/>
        </w:rPr>
        <w:t>，于</w:t>
      </w:r>
      <w:r>
        <w:rPr>
          <w:rFonts w:hint="eastAsia" w:ascii="仿宋_GB2312" w:hAnsi="Times New Roman" w:eastAsia="仿宋_GB2312"/>
          <w:sz w:val="32"/>
          <w:szCs w:val="32"/>
          <w:lang w:val="en-US" w:eastAsia="zh-CN"/>
        </w:rPr>
        <w:t>2025年11月编制完成调整划分方案，并顺利通过专家评审。</w:t>
      </w:r>
    </w:p>
    <w:bookmarkEnd w:id="5"/>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划分结果</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641" w:leftChars="0" w:right="0" w:rightChars="0"/>
        <w:jc w:val="left"/>
        <w:textAlignment w:val="auto"/>
        <w:outlineLvl w:val="1"/>
        <w:rPr>
          <w:rFonts w:hint="eastAsia" w:ascii="楷体_GB2312" w:hAnsi="楷体_GB2312" w:eastAsia="楷体_GB2312" w:cs="楷体_GB2312"/>
          <w:sz w:val="32"/>
          <w:szCs w:val="32"/>
        </w:rPr>
      </w:pPr>
      <w:bookmarkStart w:id="6" w:name="OLE_LINK346"/>
      <w:bookmarkStart w:id="7" w:name="OLE_LINK347"/>
      <w:bookmarkStart w:id="8" w:name="OLE_LINK311"/>
      <w:bookmarkStart w:id="9" w:name="OLE_LINK312"/>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昌平区镇级及以下集中式饮用水水源保护区</w:t>
      </w:r>
      <w:bookmarkEnd w:id="6"/>
      <w:bookmarkEnd w:id="7"/>
    </w:p>
    <w:bookmarkEnd w:id="8"/>
    <w:bookmarkEnd w:id="9"/>
    <w:p>
      <w:pPr>
        <w:pStyle w:val="7"/>
        <w:keepNext w:val="0"/>
        <w:keepLines w:val="0"/>
        <w:pageBreakBefore w:val="0"/>
        <w:widowControl/>
        <w:kinsoku/>
        <w:wordWrap/>
        <w:overflowPunct/>
        <w:topLinePunct w:val="0"/>
        <w:autoSpaceDE/>
        <w:autoSpaceDN/>
        <w:bidi w:val="0"/>
        <w:adjustRightInd/>
        <w:snapToGrid/>
        <w:spacing w:line="560" w:lineRule="exact"/>
        <w:ind w:right="0" w:rightChars="0" w:firstLine="640"/>
        <w:jc w:val="left"/>
        <w:textAlignment w:val="auto"/>
        <w:rPr>
          <w:rFonts w:ascii="仿宋_GB2312" w:hAnsi="Times New Roman" w:eastAsia="仿宋_GB2312"/>
          <w:sz w:val="32"/>
          <w:szCs w:val="32"/>
        </w:rPr>
      </w:pPr>
      <w:r>
        <w:rPr>
          <w:rFonts w:hint="eastAsia" w:ascii="仿宋_GB2312" w:hAnsi="Times New Roman" w:eastAsia="仿宋_GB2312"/>
          <w:sz w:val="32"/>
          <w:szCs w:val="32"/>
          <w:lang w:eastAsia="zh-CN"/>
        </w:rPr>
        <w:t>马池口应急水源地保护区因</w:t>
      </w:r>
      <w:r>
        <w:rPr>
          <w:rFonts w:hint="eastAsia" w:ascii="仿宋_GB2312" w:hAnsi="Times New Roman" w:eastAsia="仿宋_GB2312"/>
          <w:sz w:val="32"/>
          <w:szCs w:val="32"/>
          <w:lang w:val="en-US" w:eastAsia="zh-CN"/>
        </w:rPr>
        <w:t>2023年完成划定且</w:t>
      </w:r>
      <w:r>
        <w:rPr>
          <w:rFonts w:hint="eastAsia" w:ascii="仿宋_GB2312" w:hAnsi="Times New Roman" w:eastAsia="仿宋_GB2312"/>
          <w:sz w:val="32"/>
          <w:szCs w:val="32"/>
          <w:lang w:eastAsia="zh-CN"/>
        </w:rPr>
        <w:t>取水情况未改变，不在本次调整范围。</w:t>
      </w:r>
      <w:r>
        <w:rPr>
          <w:rFonts w:hint="eastAsia" w:ascii="仿宋_GB2312" w:hAnsi="Times New Roman" w:eastAsia="仿宋_GB2312"/>
          <w:sz w:val="32"/>
          <w:szCs w:val="32"/>
        </w:rPr>
        <w:t>对已划定的</w:t>
      </w:r>
      <w:r>
        <w:rPr>
          <w:rFonts w:hint="eastAsia" w:ascii="仿宋_GB2312" w:hAnsi="Times New Roman" w:eastAsia="仿宋_GB2312"/>
          <w:sz w:val="32"/>
          <w:szCs w:val="32"/>
          <w:lang w:val="en-US" w:eastAsia="zh-CN"/>
        </w:rPr>
        <w:t>57个</w:t>
      </w:r>
      <w:bookmarkStart w:id="18" w:name="_GoBack"/>
      <w:bookmarkEnd w:id="18"/>
      <w:r>
        <w:rPr>
          <w:rFonts w:hint="eastAsia" w:ascii="仿宋_GB2312" w:hAnsi="Times New Roman" w:eastAsia="仿宋_GB2312"/>
          <w:sz w:val="32"/>
          <w:szCs w:val="32"/>
        </w:rPr>
        <w:t>镇级和村级</w:t>
      </w:r>
      <w:r>
        <w:rPr>
          <w:rFonts w:hint="eastAsia" w:ascii="仿宋_GB2312" w:hAnsi="Times New Roman" w:eastAsia="仿宋_GB2312"/>
          <w:sz w:val="32"/>
          <w:szCs w:val="32"/>
          <w:lang w:eastAsia="zh-CN"/>
        </w:rPr>
        <w:t>地下水型</w:t>
      </w:r>
      <w:r>
        <w:rPr>
          <w:rFonts w:hint="eastAsia" w:ascii="仿宋_GB2312" w:hAnsi="Times New Roman" w:eastAsia="仿宋_GB2312"/>
          <w:sz w:val="32"/>
          <w:szCs w:val="32"/>
        </w:rPr>
        <w:t>集中式水源地</w:t>
      </w:r>
      <w:r>
        <w:rPr>
          <w:rFonts w:hint="eastAsia" w:ascii="仿宋_GB2312" w:hAnsi="Times New Roman" w:eastAsia="仿宋_GB2312"/>
          <w:sz w:val="32"/>
          <w:szCs w:val="32"/>
          <w:lang w:eastAsia="zh-CN"/>
        </w:rPr>
        <w:t>保护区</w:t>
      </w:r>
      <w:r>
        <w:rPr>
          <w:rFonts w:hint="eastAsia" w:ascii="仿宋_GB2312" w:hAnsi="Times New Roman" w:eastAsia="仿宋_GB2312"/>
          <w:sz w:val="32"/>
          <w:szCs w:val="32"/>
        </w:rPr>
        <w:t>整体进行调整，对未划分的</w:t>
      </w:r>
      <w:r>
        <w:rPr>
          <w:rFonts w:hint="eastAsia" w:ascii="仿宋_GB2312" w:hAnsi="Times New Roman" w:eastAsia="仿宋_GB2312"/>
          <w:sz w:val="32"/>
          <w:szCs w:val="32"/>
          <w:lang w:val="en-US" w:eastAsia="zh-CN"/>
        </w:rPr>
        <w:t>105个</w:t>
      </w:r>
      <w:r>
        <w:rPr>
          <w:rFonts w:hint="eastAsia" w:ascii="仿宋_GB2312" w:hAnsi="Times New Roman" w:eastAsia="仿宋_GB2312"/>
          <w:sz w:val="32"/>
          <w:szCs w:val="32"/>
        </w:rPr>
        <w:t>村级集中式水源地进行</w:t>
      </w:r>
      <w:r>
        <w:rPr>
          <w:rFonts w:hint="eastAsia" w:ascii="仿宋_GB2312" w:hAnsi="Times New Roman" w:eastAsia="仿宋_GB2312"/>
          <w:sz w:val="32"/>
          <w:szCs w:val="32"/>
          <w:lang w:eastAsia="zh-CN"/>
        </w:rPr>
        <w:t>保护区</w:t>
      </w:r>
      <w:r>
        <w:rPr>
          <w:rFonts w:hint="eastAsia" w:ascii="仿宋_GB2312" w:hAnsi="Times New Roman" w:eastAsia="仿宋_GB2312"/>
          <w:sz w:val="32"/>
          <w:szCs w:val="32"/>
        </w:rPr>
        <w:t>划分，涉及1</w:t>
      </w:r>
      <w:r>
        <w:rPr>
          <w:rFonts w:ascii="仿宋_GB2312" w:hAnsi="Times New Roman" w:eastAsia="仿宋_GB2312"/>
          <w:sz w:val="32"/>
          <w:szCs w:val="32"/>
        </w:rPr>
        <w:t>5</w:t>
      </w:r>
      <w:r>
        <w:rPr>
          <w:rFonts w:hint="eastAsia" w:ascii="仿宋_GB2312" w:hAnsi="Times New Roman" w:eastAsia="仿宋_GB2312"/>
          <w:sz w:val="32"/>
          <w:szCs w:val="32"/>
        </w:rPr>
        <w:t>个镇街，共1</w:t>
      </w:r>
      <w:r>
        <w:rPr>
          <w:rFonts w:ascii="仿宋_GB2312" w:hAnsi="Times New Roman" w:eastAsia="仿宋_GB2312"/>
          <w:sz w:val="32"/>
          <w:szCs w:val="32"/>
        </w:rPr>
        <w:t>62</w:t>
      </w:r>
      <w:r>
        <w:rPr>
          <w:rFonts w:hint="eastAsia" w:ascii="仿宋_GB2312" w:hAnsi="Times New Roman" w:eastAsia="仿宋_GB2312"/>
          <w:sz w:val="32"/>
          <w:szCs w:val="32"/>
        </w:rPr>
        <w:t>个水源地。</w:t>
      </w:r>
      <w:bookmarkStart w:id="10" w:name="OLE_LINK51"/>
      <w:bookmarkStart w:id="11" w:name="OLE_LINK52"/>
    </w:p>
    <w:p>
      <w:pPr>
        <w:pStyle w:val="7"/>
        <w:keepNext w:val="0"/>
        <w:keepLines w:val="0"/>
        <w:pageBreakBefore w:val="0"/>
        <w:widowControl/>
        <w:kinsoku/>
        <w:wordWrap/>
        <w:overflowPunct/>
        <w:topLinePunct w:val="0"/>
        <w:autoSpaceDE/>
        <w:autoSpaceDN/>
        <w:bidi w:val="0"/>
        <w:adjustRightInd/>
        <w:snapToGrid/>
        <w:spacing w:line="560" w:lineRule="exact"/>
        <w:ind w:right="0" w:rightChars="0" w:firstLine="640"/>
        <w:jc w:val="left"/>
        <w:textAlignment w:val="auto"/>
        <w:rPr>
          <w:rFonts w:ascii="仿宋_GB2312" w:hAnsi="Times New Roman" w:eastAsia="仿宋_GB2312"/>
          <w:sz w:val="32"/>
          <w:szCs w:val="32"/>
        </w:rPr>
      </w:pPr>
      <w:bookmarkStart w:id="12" w:name="OLE_LINK8"/>
      <w:bookmarkStart w:id="13" w:name="OLE_LINK7"/>
      <w:r>
        <w:rPr>
          <w:rFonts w:hint="eastAsia" w:ascii="仿宋_GB2312" w:hAnsi="Times New Roman" w:eastAsia="仿宋_GB2312"/>
          <w:sz w:val="32"/>
          <w:szCs w:val="32"/>
        </w:rPr>
        <w:t>北七家水厂水源地、马池口水厂水源地、未来科技城调蓄水厂水源地</w:t>
      </w:r>
      <w:bookmarkStart w:id="14" w:name="OLE_LINK349"/>
      <w:bookmarkStart w:id="15" w:name="OLE_LINK348"/>
      <w:r>
        <w:rPr>
          <w:rFonts w:hint="eastAsia" w:ascii="仿宋_GB2312" w:hAnsi="Times New Roman" w:eastAsia="仿宋_GB2312"/>
          <w:sz w:val="32"/>
          <w:szCs w:val="32"/>
        </w:rPr>
        <w:t>一级保护区是以水源井为核心的</w:t>
      </w:r>
      <w:r>
        <w:rPr>
          <w:rFonts w:ascii="仿宋_GB2312" w:hAnsi="Times New Roman" w:eastAsia="仿宋_GB2312"/>
          <w:sz w:val="32"/>
          <w:szCs w:val="32"/>
        </w:rPr>
        <w:t>70</w:t>
      </w:r>
      <w:r>
        <w:rPr>
          <w:rFonts w:hint="eastAsia" w:ascii="仿宋_GB2312" w:hAnsi="Times New Roman" w:eastAsia="仿宋_GB2312"/>
          <w:sz w:val="32"/>
          <w:szCs w:val="32"/>
        </w:rPr>
        <w:t>米范围；不设二级保护区；不设准保护区。</w:t>
      </w:r>
      <w:bookmarkStart w:id="16" w:name="OLE_LINK6"/>
      <w:bookmarkStart w:id="17" w:name="OLE_LINK5"/>
      <w:bookmarkEnd w:id="14"/>
      <w:bookmarkEnd w:id="15"/>
      <w:r>
        <w:rPr>
          <w:rFonts w:hint="eastAsia" w:ascii="仿宋_GB2312" w:hAnsi="Times New Roman" w:eastAsia="仿宋_GB2312"/>
          <w:sz w:val="32"/>
          <w:szCs w:val="32"/>
        </w:rPr>
        <w:t>高口水厂水源地等其余镇</w:t>
      </w:r>
      <w:bookmarkEnd w:id="16"/>
      <w:bookmarkEnd w:id="17"/>
      <w:r>
        <w:rPr>
          <w:rFonts w:hint="eastAsia" w:ascii="仿宋_GB2312" w:hAnsi="Times New Roman" w:eastAsia="仿宋_GB2312"/>
          <w:sz w:val="32"/>
          <w:szCs w:val="32"/>
        </w:rPr>
        <w:t>级和村级水源地</w:t>
      </w:r>
      <w:r>
        <w:rPr>
          <w:rFonts w:hint="eastAsia" w:ascii="仿宋_GB2312" w:eastAsia="仿宋_GB2312"/>
          <w:sz w:val="32"/>
          <w:szCs w:val="32"/>
        </w:rPr>
        <w:t>一级保护区是以水源井为核心的30米范围</w:t>
      </w:r>
      <w:bookmarkEnd w:id="12"/>
      <w:bookmarkEnd w:id="13"/>
      <w:r>
        <w:rPr>
          <w:rFonts w:hint="eastAsia" w:ascii="仿宋_GB2312" w:eastAsia="仿宋_GB2312"/>
          <w:sz w:val="32"/>
          <w:szCs w:val="32"/>
        </w:rPr>
        <w:t>；不设二级保护区；不设准保护区。</w:t>
      </w:r>
      <w:bookmarkEnd w:id="10"/>
      <w:bookmarkEnd w:id="11"/>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641" w:leftChars="0" w:right="0" w:rightChars="0"/>
        <w:jc w:val="left"/>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2.分散式水源地饮用水水源保护范围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方正仿宋_GBK"/>
          <w:sz w:val="32"/>
          <w:szCs w:val="32"/>
          <w:lang w:eastAsia="zh-CN"/>
        </w:rPr>
      </w:pPr>
      <w:r>
        <w:rPr>
          <w:rFonts w:hint="eastAsia" w:ascii="仿宋_GB2312" w:hAnsi="Times New Roman" w:eastAsia="仿宋_GB2312"/>
          <w:sz w:val="32"/>
          <w:szCs w:val="32"/>
        </w:rPr>
        <w:t>本次分散式水源地饮用水水源保护范围划分工作涉及9个镇5</w:t>
      </w:r>
      <w:r>
        <w:rPr>
          <w:rFonts w:ascii="仿宋_GB2312" w:hAnsi="Times New Roman" w:eastAsia="仿宋_GB2312"/>
          <w:sz w:val="32"/>
          <w:szCs w:val="32"/>
        </w:rPr>
        <w:t>6</w:t>
      </w:r>
      <w:r>
        <w:rPr>
          <w:rFonts w:hint="eastAsia" w:ascii="仿宋_GB2312" w:hAnsi="Times New Roman" w:eastAsia="仿宋_GB2312"/>
          <w:sz w:val="32"/>
          <w:szCs w:val="32"/>
        </w:rPr>
        <w:t>个水源地。5</w:t>
      </w:r>
      <w:r>
        <w:rPr>
          <w:rFonts w:ascii="仿宋_GB2312" w:hAnsi="Times New Roman" w:eastAsia="仿宋_GB2312"/>
          <w:sz w:val="32"/>
          <w:szCs w:val="32"/>
        </w:rPr>
        <w:t>6</w:t>
      </w:r>
      <w:r>
        <w:rPr>
          <w:rFonts w:hint="eastAsia" w:ascii="仿宋_GB2312" w:hAnsi="Times New Roman" w:eastAsia="仿宋_GB2312"/>
          <w:sz w:val="32"/>
          <w:szCs w:val="32"/>
        </w:rPr>
        <w:t>个分散式水源地饮用水水源保护范围是以水源井为核心的3</w:t>
      </w:r>
      <w:r>
        <w:rPr>
          <w:rFonts w:ascii="仿宋_GB2312" w:hAnsi="Times New Roman" w:eastAsia="仿宋_GB2312"/>
          <w:sz w:val="32"/>
          <w:szCs w:val="32"/>
        </w:rPr>
        <w:t>0</w:t>
      </w:r>
      <w:r>
        <w:rPr>
          <w:rFonts w:hint="eastAsia" w:ascii="仿宋_GB2312" w:hAnsi="Times New Roman" w:eastAsia="仿宋_GB2312"/>
          <w:sz w:val="32"/>
          <w:szCs w:val="32"/>
        </w:rPr>
        <w:t>米范围。</w:t>
      </w:r>
    </w:p>
    <w:sectPr>
      <w:headerReference r:id="rId3" w:type="default"/>
      <w:footerReference r:id="rId4" w:type="default"/>
      <w:pgSz w:w="11906" w:h="16838"/>
      <w:pgMar w:top="1985" w:right="1616" w:bottom="1814" w:left="1616" w:header="851" w:footer="992" w:gutter="0"/>
      <w:pgNumType w:fmt="numberInDash"/>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国标楷体">
    <w:altName w:val="楷体_GB2312"/>
    <w:panose1 w:val="02000500000000000000"/>
    <w:charset w:val="86"/>
    <w:family w:val="auto"/>
    <w:pitch w:val="default"/>
    <w:sig w:usb0="00000000" w:usb1="00000000" w:usb2="00000000" w:usb3="00000000" w:csb0="00060007" w:csb1="00000000"/>
  </w:font>
  <w:font w:name="国标仿宋">
    <w:altName w:val="仿宋"/>
    <w:panose1 w:val="02000500000000000000"/>
    <w:charset w:val="86"/>
    <w:family w:val="auto"/>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Light">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0E7BE2"/>
    <w:rsid w:val="11100DF3"/>
    <w:rsid w:val="12371253"/>
    <w:rsid w:val="334D5553"/>
    <w:rsid w:val="4E226FA7"/>
    <w:rsid w:val="508358B1"/>
    <w:rsid w:val="523B7F5F"/>
    <w:rsid w:val="545B6BD3"/>
    <w:rsid w:val="561C58D4"/>
    <w:rsid w:val="5BDB3E84"/>
    <w:rsid w:val="5CB80096"/>
    <w:rsid w:val="5FDC6EC5"/>
    <w:rsid w:val="63962581"/>
    <w:rsid w:val="67235E5A"/>
    <w:rsid w:val="6FF23999"/>
    <w:rsid w:val="75BF3C78"/>
    <w:rsid w:val="788C4C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8" w:lineRule="exact"/>
    </w:pPr>
    <w:rPr>
      <w:rFonts w:ascii="Times New Roman" w:hAnsi="Times New Roman" w:eastAsia="方正仿宋_GBK" w:cstheme="minorBidi"/>
      <w:kern w:val="2"/>
      <w:sz w:val="30"/>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line="240" w:lineRule="auto"/>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2025-11-24T07:13:41Z</cp:lastPrinted>
  <dcterms:modified xsi:type="dcterms:W3CDTF">2025-11-24T07:14:32Z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