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宋体" w:eastAsia="方正小标宋简体" w:cs="宋体"/>
          <w:bCs/>
          <w:sz w:val="44"/>
          <w:szCs w:val="24"/>
        </w:rPr>
      </w:pPr>
      <w:bookmarkStart w:id="0" w:name="_GoBack"/>
      <w:r>
        <w:rPr>
          <w:rFonts w:hint="eastAsia" w:ascii="方正小标宋简体" w:hAnsi="宋体" w:eastAsia="方正小标宋简体" w:cs="宋体"/>
          <w:bCs/>
          <w:sz w:val="44"/>
          <w:szCs w:val="24"/>
        </w:rPr>
        <w:t>关于对《北京市通州区森林防火规划（2025-2035年）》的起草说明</w:t>
      </w:r>
    </w:p>
    <w:bookmarkEnd w:id="0"/>
    <w:p>
      <w:pPr>
        <w:spacing w:line="600" w:lineRule="exact"/>
        <w:rPr>
          <w:rFonts w:ascii="Calibri" w:hAnsi="Calibri" w:eastAsia="仿宋_GB2312"/>
          <w:sz w:val="30"/>
          <w:szCs w:val="24"/>
        </w:rPr>
      </w:pPr>
      <w:r>
        <w:rPr>
          <w:rFonts w:ascii="Calibri" w:hAnsi="Calibri" w:eastAsia="仿宋_GB2312"/>
          <w:sz w:val="20"/>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198120</wp:posOffset>
                </wp:positionV>
                <wp:extent cx="5257800" cy="0"/>
                <wp:effectExtent l="0" t="4445" r="0" b="5080"/>
                <wp:wrapNone/>
                <wp:docPr id="4" name="直线 5"/>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dash"/>
                          <a:headEnd type="none" w="med" len="med"/>
                          <a:tailEnd type="none" w="med" len="med"/>
                        </a:ln>
                      </wps:spPr>
                      <wps:bodyPr/>
                    </wps:wsp>
                  </a:graphicData>
                </a:graphic>
              </wp:anchor>
            </w:drawing>
          </mc:Choice>
          <mc:Fallback>
            <w:pict>
              <v:line id="直线 5" o:spid="_x0000_s1026" o:spt="20" style="position:absolute;left:0pt;margin-left:0pt;margin-top:15.6pt;height:0pt;width:414pt;z-index:251659264;mso-width-relative:page;mso-height-relative:page;" filled="f" stroked="t" coordsize="21600,21600" o:gfxdata="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ASNdh31AAAAAYBAAAPAAAAAAAAAAEA&#10;IAAAADgAAABkcnMvZG93bnJldi54bWxQSwECFAAUAAAACACHTuJAiwvnDsQBAACAAwAADgAAAAAA&#10;AAABACAAAAA5AQAAZHJzL2Uyb0RvYy54bWxQSwUGAAAAAAYABgBZAQAAbwUAAAAA&#10;">
                <v:fill on="f" focussize="0,0"/>
                <v:stroke color="#000000" joinstyle="round" dashstyle="dash"/>
                <v:imagedata o:title=""/>
                <o:lock v:ext="edit" aspectratio="f"/>
              </v:line>
            </w:pict>
          </mc:Fallback>
        </mc:AlternateContent>
      </w:r>
    </w:p>
    <w:p>
      <w:pPr>
        <w:ind w:firstLine="640" w:firstLineChars="200"/>
        <w:rPr>
          <w:rFonts w:hint="eastAsia" w:ascii="黑体" w:hAnsi="黑体" w:eastAsia="黑体" w:cs="黑体"/>
          <w:color w:val="3A3A36"/>
          <w:sz w:val="32"/>
          <w:szCs w:val="32"/>
        </w:rPr>
      </w:pPr>
      <w:r>
        <w:rPr>
          <w:rFonts w:hint="eastAsia" w:ascii="黑体" w:hAnsi="黑体" w:eastAsia="黑体" w:cs="黑体"/>
          <w:color w:val="3A3A36"/>
          <w:sz w:val="32"/>
          <w:szCs w:val="32"/>
        </w:rPr>
        <w:t>一、编制背景、依据及过程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践行习近平生态文明思想，全面落实国家《森林防火条例》《关于全面加强新形势下森林草原防灭火工作的意见》及北京市相关法规要求，通州区立足北京城市副中心战略定位，针对森林资源快速增长、林区与城市界面复杂的现实情况，区园林绿化局编制了《通州区森林防火规划（2025-2035年）》。以下简称《规划》。</w:t>
      </w:r>
    </w:p>
    <w:p>
      <w:pPr>
        <w:numPr>
          <w:ilvl w:val="0"/>
          <w:numId w:val="1"/>
        </w:numPr>
        <w:ind w:firstLine="640" w:firstLineChars="200"/>
        <w:rPr>
          <w:rFonts w:hint="eastAsia" w:ascii="黑体" w:hAnsi="黑体" w:eastAsia="黑体" w:cs="黑体"/>
          <w:color w:val="3A3A36"/>
          <w:sz w:val="32"/>
          <w:szCs w:val="32"/>
        </w:rPr>
      </w:pPr>
      <w:r>
        <w:rPr>
          <w:rFonts w:hint="eastAsia" w:ascii="黑体" w:hAnsi="黑体" w:eastAsia="黑体" w:cs="黑体"/>
          <w:color w:val="3A3A36"/>
          <w:sz w:val="32"/>
          <w:szCs w:val="32"/>
        </w:rPr>
        <w:t>主要内容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《规划》包括规划背景及意义、基础条件分析、森林防火现状及评价、规划总体思路、重点任务与实施计划、投资估算、保障措施与实施机制七章内容。</w:t>
      </w:r>
    </w:p>
    <w:p>
      <w:pPr>
        <w:numPr>
          <w:ilvl w:val="0"/>
          <w:numId w:val="2"/>
        </w:numPr>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规划背景及意义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践行习近平生态文明思想，全面落实国家《森林防火条例》《关于全面加强新形势下森林草原防灭火工作的意见》及北京市相关法规要求，通州区立足北京城市副中心战略定位，针对森林资源快速增长、林区与城市界面复杂、火灾风险高位运行的现实状况，编制本规划。《规划》通过构建现代化防火体系，旨在系统保护森林资源、维护生态安全屏障，支撑花园城市与绿色发展示范区建设，提升城市生态品质，促进生态保护与经济发展良性互动，为实现区域可持续发展提供坚实保障。</w:t>
      </w:r>
    </w:p>
    <w:p>
      <w:pPr>
        <w:numPr>
          <w:ilvl w:val="0"/>
          <w:numId w:val="2"/>
        </w:numPr>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基础条件分析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本部分通过梳理通州区自然地理条件、森林资源概况、社会经济概况等基础要素，旨在全面把握区域生态本底与防火风险特征，为科学制定森林防火规划的空间布局、重点任务和防控策略提供客观依据和现实支撑</w:t>
      </w:r>
    </w:p>
    <w:p>
      <w:pPr>
        <w:numPr>
          <w:ilvl w:val="0"/>
          <w:numId w:val="2"/>
        </w:numPr>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森林防火现状及评价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围绕历史火情特征、组织架构、基础设施配置、消防能力及宣传教育成效等方面，展开系统性分析，识别当前森林防火工作中存在的薄弱环节和突出问题，为后续规划布局和内容提供思路和线索。</w:t>
      </w:r>
    </w:p>
    <w:p>
      <w:pPr>
        <w:numPr>
          <w:ilvl w:val="0"/>
          <w:numId w:val="2"/>
        </w:numPr>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规划总体思路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指导思想，以习近平新时代中国特色社会主义思想为指引，认真贯彻党中央、国务院和北京市委市政府决策部署，立足副中心建设高要求，牢固树立绿水青山就是金山银山理念，坚持“预防为主、积极消灭、生命至上、安全第一”工作方针，聚焦森林火灾预防、早期处置、保障三大体系建设，完善责任体系，加强预警监测，补齐基础设施和队伍短板，强化火源管控、隐患整治及宣传教育，推动火险预警响应规范化、基层管理信息化、队伍建设专业化、装备现代化、火源管理法制化，全面提升森林火灾防控治理能力；二是基本原则，立足首都“四个中心”功能定位服务国家生态安全大局，突出城市副中心特色实施分区精准防控，坚持预防为主筑牢安全屏障，强化科技赋能提升防火现代化水平；三是规划依据，严格遵循《中华人民共和国森林法》《森林防火条例》《北京市森林防火办法》等法律法规，落实《关于全面加强新形势下森林草原防灭火工作的意见》《北京市园林绿化局关于加快编制本地区森林防火有关规划计划的通知》等政策文件要求，执行《森林防火工程技术标准》《森林消防专业队伍建设和管理规范》等行业标准，衔接《全国森林防火规划（2016—2025年）》《北京城市副中心控制性详细规划（2016年—2035年）》等相关规划。</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本规划期限为2025—2035年，分近期（2025—2030年）和远期（2031—2035年）两个阶段推进，为建设美丽通州筑牢生态安全根基。</w:t>
      </w:r>
    </w:p>
    <w:p>
      <w:pPr>
        <w:numPr>
          <w:ilvl w:val="0"/>
          <w:numId w:val="2"/>
        </w:numPr>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重点任务与实施计划</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一是森林防火预警监测系统建设工程。建设内容包括建设森林火险综合预警平台，改造提升与新建林火视频监控系统，布设地表火红外监测预警终端，建设林木智能保护基站。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二是森林防火宣传教育系统建设工程。建设内容包括布设宣传标识系统，建设智能宣教节点和区级科普教育基地，开展分众化、常态化的宣教活动，创新“AI+融媒体”宣传模式，构建智慧感知与服务平台。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森林防火应急道路提升改造工程。建设内容包括改造提升现有防火道路，打通断头路，硬化薄弱路段，建设新造林区路网延伸工程，构建“外联国省道、内通林班户”的立体化防火道路体系，开发智慧防火道路管理平台，制定维护管理办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是森林防火通信指挥系统建设工程。建设内容包括完善400兆通信基站网络，建设统一高效的信息调度指挥平台，部署卫星遥感监控预警指挥系统，整合视频监控、地理信息、气象火险等数据资源，构建“天-空-地”一体化通信指挥体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五是森林防火队伍能力建设工程。建设内容包括在重点林场组建半专业森林消防队，优化现有乡镇林场巡护队伍。建立分级分类培训体系，开展实战化演练，提升队伍专业化、规范化水平。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六是森林防火物资储备建设工程。建设内容包括建设标准化物资储备库，配备专业扑火装备。</w:t>
      </w:r>
    </w:p>
    <w:p>
      <w:pPr>
        <w:numPr>
          <w:ilvl w:val="0"/>
          <w:numId w:val="2"/>
        </w:numPr>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投资估算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针对上述建设工程规划内容，经过投资估算，通州区森林防火建设总投资共</w:t>
      </w:r>
      <w:r>
        <w:rPr>
          <w:rFonts w:ascii="仿宋_GB2312" w:hAnsi="仿宋_GB2312" w:eastAsia="仿宋_GB2312" w:cs="仿宋_GB2312"/>
          <w:sz w:val="32"/>
          <w:szCs w:val="32"/>
        </w:rPr>
        <w:t>14775.6</w:t>
      </w:r>
      <w:r>
        <w:rPr>
          <w:rFonts w:hint="eastAsia" w:ascii="仿宋_GB2312" w:hAnsi="仿宋_GB2312" w:eastAsia="仿宋_GB2312" w:cs="仿宋_GB2312"/>
          <w:sz w:val="32"/>
          <w:szCs w:val="32"/>
        </w:rPr>
        <w:t>万元，其中，工程建设投资</w:t>
      </w:r>
      <w:r>
        <w:rPr>
          <w:rFonts w:ascii="仿宋_GB2312" w:hAnsi="仿宋_GB2312" w:eastAsia="仿宋_GB2312" w:cs="仿宋_GB2312"/>
          <w:sz w:val="32"/>
          <w:szCs w:val="32"/>
        </w:rPr>
        <w:t>13016.4</w:t>
      </w:r>
      <w:r>
        <w:rPr>
          <w:rFonts w:hint="eastAsia" w:ascii="仿宋_GB2312" w:hAnsi="仿宋_GB2312" w:eastAsia="仿宋_GB2312" w:cs="仿宋_GB2312"/>
          <w:sz w:val="32"/>
          <w:szCs w:val="32"/>
        </w:rPr>
        <w:t>万元，占总投资88.1%；其他费用及预备费投资</w:t>
      </w:r>
      <w:r>
        <w:rPr>
          <w:rFonts w:ascii="仿宋_GB2312" w:hAnsi="仿宋_GB2312" w:eastAsia="仿宋_GB2312" w:cs="仿宋_GB2312"/>
          <w:sz w:val="32"/>
          <w:szCs w:val="32"/>
        </w:rPr>
        <w:t>1759.2</w:t>
      </w:r>
      <w:r>
        <w:rPr>
          <w:rFonts w:hint="eastAsia" w:ascii="仿宋_GB2312" w:hAnsi="仿宋_GB2312" w:eastAsia="仿宋_GB2312" w:cs="仿宋_GB2312"/>
          <w:sz w:val="32"/>
          <w:szCs w:val="32"/>
        </w:rPr>
        <w:t>万元，占总投资的11.9%。建设资金可采用国家投资和地方配套投资相结合的方式。</w:t>
      </w:r>
    </w:p>
    <w:p>
      <w:pPr>
        <w:numPr>
          <w:ilvl w:val="0"/>
          <w:numId w:val="2"/>
        </w:numPr>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保障措施与实施机制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包括强化组织、健全机制、夯实资金、提升技术、加强评估督查和加强社会共治六方面的机制保障。</w:t>
      </w:r>
    </w:p>
    <w:p>
      <w:pPr>
        <w:numPr>
          <w:ilvl w:val="0"/>
          <w:numId w:val="1"/>
        </w:numPr>
        <w:ind w:firstLine="640" w:firstLineChars="200"/>
        <w:rPr>
          <w:rFonts w:hint="eastAsia" w:ascii="黑体" w:hAnsi="黑体" w:eastAsia="黑体" w:cs="黑体"/>
          <w:color w:val="3A3A36"/>
          <w:sz w:val="32"/>
          <w:szCs w:val="32"/>
        </w:rPr>
      </w:pPr>
      <w:r>
        <w:rPr>
          <w:rFonts w:hint="eastAsia" w:ascii="黑体" w:hAnsi="黑体" w:eastAsia="黑体" w:cs="黑体"/>
          <w:color w:val="3A3A36"/>
          <w:sz w:val="32"/>
          <w:szCs w:val="32"/>
        </w:rPr>
        <w:t>其他需要说明的问题</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暂无</w:t>
      </w:r>
      <w:r>
        <w:rPr>
          <w:rFonts w:hint="eastAsia" w:ascii="仿宋_GB2312" w:hAnsi="仿宋_GB2312" w:eastAsia="仿宋_GB2312" w:cs="仿宋_GB2312"/>
          <w:sz w:val="32"/>
          <w:szCs w:val="32"/>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8534A3"/>
    <w:multiLevelType w:val="singleLevel"/>
    <w:tmpl w:val="CA8534A3"/>
    <w:lvl w:ilvl="0" w:tentative="0">
      <w:start w:val="1"/>
      <w:numFmt w:val="chineseCounting"/>
      <w:suff w:val="nothing"/>
      <w:lvlText w:val="（%1）"/>
      <w:lvlJc w:val="left"/>
      <w:rPr>
        <w:rFonts w:hint="eastAsia"/>
      </w:rPr>
    </w:lvl>
  </w:abstractNum>
  <w:abstractNum w:abstractNumId="1">
    <w:nsid w:val="6CDFCDB4"/>
    <w:multiLevelType w:val="singleLevel"/>
    <w:tmpl w:val="6CDFCDB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1YWZlMTM2YzMzNDVkMzUyY2Q5N2ExZjIzYjU3YWYifQ=="/>
  </w:docVars>
  <w:rsids>
    <w:rsidRoot w:val="00513EBA"/>
    <w:rsid w:val="00186FE4"/>
    <w:rsid w:val="001C180C"/>
    <w:rsid w:val="00235623"/>
    <w:rsid w:val="00484B1A"/>
    <w:rsid w:val="00513EBA"/>
    <w:rsid w:val="00576537"/>
    <w:rsid w:val="006F1D24"/>
    <w:rsid w:val="007270CB"/>
    <w:rsid w:val="007C4555"/>
    <w:rsid w:val="0088683E"/>
    <w:rsid w:val="009A356A"/>
    <w:rsid w:val="009E2D9C"/>
    <w:rsid w:val="00AF31B8"/>
    <w:rsid w:val="00BD0E50"/>
    <w:rsid w:val="00CA16DD"/>
    <w:rsid w:val="00DB1B22"/>
    <w:rsid w:val="00E92F8C"/>
    <w:rsid w:val="00EE3246"/>
    <w:rsid w:val="00FF5374"/>
    <w:rsid w:val="02206044"/>
    <w:rsid w:val="07B66B9A"/>
    <w:rsid w:val="088968DD"/>
    <w:rsid w:val="122A4C8C"/>
    <w:rsid w:val="1B71247F"/>
    <w:rsid w:val="1BCA303C"/>
    <w:rsid w:val="26F10F72"/>
    <w:rsid w:val="2B7110FE"/>
    <w:rsid w:val="337F5FA6"/>
    <w:rsid w:val="37667C65"/>
    <w:rsid w:val="4EFB1622"/>
    <w:rsid w:val="4F8B3752"/>
    <w:rsid w:val="62C65F73"/>
    <w:rsid w:val="6B970CD6"/>
    <w:rsid w:val="7AB81D95"/>
    <w:rsid w:val="7B4B7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宋体" w:cs="Times New Roman"/>
      <w:kern w:val="2"/>
      <w:sz w:val="18"/>
      <w:szCs w:val="18"/>
    </w:rPr>
  </w:style>
  <w:style w:type="character" w:customStyle="1" w:styleId="7">
    <w:name w:val="页脚 字符"/>
    <w:basedOn w:val="5"/>
    <w:link w:val="2"/>
    <w:qFormat/>
    <w:uiPriority w:val="0"/>
    <w:rPr>
      <w:rFonts w:ascii="Times New Roman" w:hAnsi="Times New Roman" w:eastAsia="宋体" w:cs="Times New Roman"/>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1918</Words>
  <Characters>1993</Characters>
  <Lines>100</Lines>
  <Paragraphs>107</Paragraphs>
  <TotalTime>117</TotalTime>
  <ScaleCrop>false</ScaleCrop>
  <LinksUpToDate>false</LinksUpToDate>
  <CharactersWithSpaces>1993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2024-10-31T16:11:00Z</dcterms:created>
  <dc:creator>Administrator</dc:creator>
  <cp:lastModifiedBy>user</cp:lastModifiedBy>
  <dcterms:modified xsi:type="dcterms:W3CDTF">2025-11-11T13:47:29Z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D378824069244861A9ECBE896C36F1A5_13</vt:lpwstr>
  </property>
  <property fmtid="{D5CDD505-2E9C-101B-9397-08002B2CF9AE}" pid="4" name="KSOTemplateDocerSaveRecord">
    <vt:lpwstr>eyJoZGlkIjoiYjA1MTBmYWM1YzFjNmU2ZGQ3M2RlYWYzZGI3Zjk0OGQiLCJ1c2VySWQiOiIxMTUyNTc5OTI4In0=</vt:lpwstr>
  </property>
</Properties>
</file>