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黑体" w:cs="黑体"/>
          <w:b/>
          <w:bCs/>
          <w:sz w:val="44"/>
          <w:szCs w:val="44"/>
          <w:lang w:eastAsia="zh-CN"/>
        </w:rPr>
      </w:pPr>
    </w:p>
    <w:p>
      <w:pPr>
        <w:ind w:firstLine="0" w:firstLineChars="0"/>
        <w:jc w:val="center"/>
        <w:rPr>
          <w:rFonts w:eastAsia="黑体" w:cs="黑体"/>
          <w:b/>
          <w:bCs/>
          <w:sz w:val="44"/>
          <w:szCs w:val="44"/>
          <w:lang w:eastAsia="zh-CN"/>
        </w:rPr>
      </w:pPr>
    </w:p>
    <w:p>
      <w:pPr>
        <w:ind w:firstLine="0" w:firstLineChars="0"/>
        <w:jc w:val="center"/>
        <w:rPr>
          <w:rFonts w:eastAsia="黑体" w:cs="黑体"/>
          <w:b/>
          <w:bCs/>
          <w:sz w:val="52"/>
          <w:szCs w:val="52"/>
          <w:lang w:eastAsia="zh-CN"/>
        </w:rPr>
      </w:pPr>
      <w:bookmarkStart w:id="163" w:name="_GoBack"/>
      <w:r>
        <w:rPr>
          <w:rFonts w:hint="eastAsia" w:eastAsia="黑体" w:cs="黑体"/>
          <w:b/>
          <w:bCs/>
          <w:sz w:val="52"/>
          <w:szCs w:val="52"/>
          <w:lang w:eastAsia="zh-CN"/>
        </w:rPr>
        <w:t>通州区森林防火规划（</w:t>
      </w:r>
      <w:r>
        <w:rPr>
          <w:rFonts w:eastAsia="黑体" w:cs="黑体"/>
          <w:b/>
          <w:bCs/>
          <w:sz w:val="52"/>
          <w:szCs w:val="52"/>
          <w:lang w:eastAsia="zh-CN"/>
        </w:rPr>
        <w:t>202</w:t>
      </w:r>
      <w:r>
        <w:rPr>
          <w:rFonts w:hint="eastAsia" w:eastAsia="黑体" w:cs="黑体"/>
          <w:b/>
          <w:bCs/>
          <w:sz w:val="52"/>
          <w:szCs w:val="52"/>
          <w:lang w:eastAsia="zh-CN"/>
        </w:rPr>
        <w:t>5</w:t>
      </w:r>
      <w:r>
        <w:rPr>
          <w:rFonts w:eastAsia="黑体" w:cs="黑体"/>
          <w:b/>
          <w:bCs/>
          <w:sz w:val="52"/>
          <w:szCs w:val="52"/>
          <w:lang w:eastAsia="zh-CN"/>
        </w:rPr>
        <w:t>-2035</w:t>
      </w:r>
      <w:r>
        <w:rPr>
          <w:rFonts w:hint="eastAsia" w:eastAsia="黑体" w:cs="黑体"/>
          <w:b/>
          <w:bCs/>
          <w:sz w:val="52"/>
          <w:szCs w:val="52"/>
          <w:lang w:eastAsia="zh-CN"/>
        </w:rPr>
        <w:t>年）</w:t>
      </w:r>
    </w:p>
    <w:bookmarkEnd w:id="163"/>
    <w:p>
      <w:pPr>
        <w:ind w:firstLine="640"/>
        <w:rPr>
          <w:lang w:eastAsia="zh-CN"/>
        </w:rPr>
      </w:pPr>
    </w:p>
    <w:p>
      <w:pPr>
        <w:ind w:firstLine="640"/>
        <w:rPr>
          <w:lang w:eastAsia="zh-CN"/>
        </w:rPr>
      </w:pPr>
    </w:p>
    <w:p>
      <w:pPr>
        <w:ind w:firstLine="640"/>
        <w:rPr>
          <w:lang w:eastAsia="zh-CN"/>
        </w:rPr>
      </w:pPr>
    </w:p>
    <w:p>
      <w:pPr>
        <w:ind w:firstLine="640"/>
        <w:rPr>
          <w:lang w:eastAsia="zh-CN"/>
        </w:rPr>
      </w:pPr>
    </w:p>
    <w:p>
      <w:pPr>
        <w:ind w:firstLine="640"/>
        <w:rPr>
          <w:lang w:eastAsia="zh-CN"/>
        </w:rPr>
      </w:pPr>
    </w:p>
    <w:p>
      <w:pPr>
        <w:ind w:firstLine="640"/>
        <w:rPr>
          <w:lang w:eastAsia="zh-CN"/>
        </w:rPr>
      </w:pPr>
    </w:p>
    <w:p>
      <w:pPr>
        <w:ind w:firstLine="640"/>
        <w:rPr>
          <w:lang w:eastAsia="zh-CN"/>
        </w:rPr>
      </w:pPr>
    </w:p>
    <w:p>
      <w:pPr>
        <w:ind w:firstLine="0" w:firstLineChars="0"/>
        <w:jc w:val="center"/>
        <w:rPr>
          <w:sz w:val="40"/>
          <w:szCs w:val="24"/>
          <w:lang w:eastAsia="zh-CN"/>
        </w:rPr>
      </w:pPr>
      <w:r>
        <w:rPr>
          <w:rFonts w:hint="eastAsia"/>
          <w:sz w:val="40"/>
          <w:szCs w:val="24"/>
          <w:lang w:eastAsia="zh-CN"/>
        </w:rPr>
        <w:t>编制日期：</w:t>
      </w:r>
      <w:r>
        <w:rPr>
          <w:sz w:val="40"/>
          <w:szCs w:val="24"/>
          <w:lang w:eastAsia="zh-CN"/>
        </w:rPr>
        <w:t>2025</w:t>
      </w:r>
      <w:r>
        <w:rPr>
          <w:rFonts w:hint="eastAsia"/>
          <w:sz w:val="40"/>
          <w:szCs w:val="24"/>
          <w:lang w:eastAsia="zh-CN"/>
        </w:rPr>
        <w:t>年10月</w:t>
      </w:r>
    </w:p>
    <w:p>
      <w:pPr>
        <w:ind w:firstLine="640"/>
      </w:pPr>
    </w:p>
    <w:p>
      <w:pPr>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049" w:gutter="0"/>
          <w:cols w:space="425" w:num="1"/>
          <w:docGrid w:type="lines" w:linePitch="579" w:charSpace="1229"/>
        </w:sectPr>
      </w:pPr>
      <w:r>
        <w:br w:type="page"/>
      </w:r>
    </w:p>
    <w:sdt>
      <w:sdtPr>
        <w:rPr>
          <w:rFonts w:ascii="Times New Roman" w:hAnsi="Times New Roman" w:eastAsia="仿宋" w:cs="Arial"/>
          <w:b/>
          <w:bCs/>
          <w:snapToGrid w:val="0"/>
          <w:color w:val="auto"/>
          <w:szCs w:val="22"/>
          <w:lang w:val="zh-CN" w:eastAsia="en-US"/>
        </w:rPr>
        <w:id w:val="-1"/>
        <w:docPartObj>
          <w:docPartGallery w:val="Table of Contents"/>
          <w:docPartUnique/>
        </w:docPartObj>
      </w:sdtPr>
      <w:sdtEndPr>
        <w:rPr>
          <w:rFonts w:ascii="Times New Roman" w:hAnsi="Times New Roman" w:eastAsia="仿宋" w:cs="Arial"/>
          <w:b/>
          <w:bCs/>
          <w:snapToGrid w:val="0"/>
          <w:color w:val="000000"/>
          <w:sz w:val="36"/>
          <w:szCs w:val="21"/>
          <w:lang w:val="zh-CN" w:eastAsia="en-US"/>
        </w:rPr>
      </w:sdtEndPr>
      <w:sdtContent>
        <w:p>
          <w:pPr>
            <w:pStyle w:val="41"/>
            <w:rPr>
              <w:b/>
              <w:bCs/>
              <w:color w:val="auto"/>
            </w:rPr>
          </w:pPr>
          <w:r>
            <w:rPr>
              <w:rFonts w:hint="eastAsia"/>
              <w:b/>
              <w:bCs/>
              <w:color w:val="auto"/>
              <w:lang w:val="zh-CN"/>
            </w:rPr>
            <w:t>目</w:t>
          </w:r>
          <w:r>
            <w:rPr>
              <w:b/>
              <w:bCs/>
              <w:color w:val="auto"/>
            </w:rPr>
            <w:t xml:space="preserve">  </w:t>
          </w:r>
          <w:r>
            <w:rPr>
              <w:rFonts w:hint="eastAsia"/>
              <w:b/>
              <w:bCs/>
              <w:color w:val="auto"/>
              <w:lang w:val="zh-CN"/>
            </w:rPr>
            <w:t>录</w:t>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TOC \o "1-3" \h \z \u </w:instrText>
          </w:r>
          <w:r>
            <w:fldChar w:fldCharType="separate"/>
          </w:r>
          <w:r>
            <w:fldChar w:fldCharType="begin"/>
          </w:r>
          <w:r>
            <w:instrText xml:space="preserve"> HYPERLINK \l "_Toc213072462" </w:instrText>
          </w:r>
          <w:r>
            <w:fldChar w:fldCharType="separate"/>
          </w:r>
          <w:r>
            <w:rPr>
              <w:rStyle w:val="32"/>
              <w:rFonts w:hint="eastAsia"/>
            </w:rPr>
            <w:t>前言</w:t>
          </w:r>
          <w:r>
            <w:rPr>
              <w:rFonts w:hint="eastAsia"/>
            </w:rPr>
            <w:tab/>
          </w:r>
          <w:r>
            <w:rPr>
              <w:rFonts w:hint="eastAsia"/>
            </w:rPr>
            <w:fldChar w:fldCharType="begin"/>
          </w:r>
          <w:r>
            <w:rPr>
              <w:rFonts w:hint="eastAsia"/>
            </w:rPr>
            <w:instrText xml:space="preserve"> </w:instrText>
          </w:r>
          <w:r>
            <w:instrText xml:space="preserve">PAGEREF _Toc213072462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HYPERLINK \l "_Toc213072463" </w:instrText>
          </w:r>
          <w:r>
            <w:fldChar w:fldCharType="separate"/>
          </w:r>
          <w:r>
            <w:rPr>
              <w:rStyle w:val="32"/>
              <w:rFonts w:hint="eastAsia"/>
            </w:rPr>
            <w:t>第一章 规划背景与意义</w:t>
          </w:r>
          <w:r>
            <w:rPr>
              <w:rFonts w:hint="eastAsia"/>
            </w:rPr>
            <w:tab/>
          </w:r>
          <w:r>
            <w:rPr>
              <w:rFonts w:hint="eastAsia"/>
            </w:rPr>
            <w:fldChar w:fldCharType="begin"/>
          </w:r>
          <w:r>
            <w:rPr>
              <w:rFonts w:hint="eastAsia"/>
            </w:rPr>
            <w:instrText xml:space="preserve"> </w:instrText>
          </w:r>
          <w:r>
            <w:instrText xml:space="preserve">PAGEREF _Toc213072463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"_Toc213072464" </w:instrText>
          </w:r>
          <w:r>
            <w:fldChar w:fldCharType="separate"/>
          </w:r>
          <w:r>
            <w:rPr>
              <w:rStyle w:val="32"/>
              <w:rFonts w:hint="eastAsia"/>
            </w:rPr>
            <w:t>一、规划背景</w:t>
          </w:r>
          <w:r>
            <w:rPr>
              <w:rFonts w:hint="eastAsia"/>
            </w:rPr>
            <w:tab/>
          </w:r>
          <w:r>
            <w:rPr>
              <w:rFonts w:hint="eastAsia"/>
            </w:rPr>
            <w:fldChar w:fldCharType="begin"/>
          </w:r>
          <w:r>
            <w:rPr>
              <w:rFonts w:hint="eastAsia"/>
            </w:rPr>
            <w:instrText xml:space="preserve"> </w:instrText>
          </w:r>
          <w:r>
            <w:instrText xml:space="preserve">PAGEREF _Toc213072464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"_Toc213072465" </w:instrText>
          </w:r>
          <w:r>
            <w:fldChar w:fldCharType="separate"/>
          </w:r>
          <w:r>
            <w:rPr>
              <w:rStyle w:val="32"/>
              <w:rFonts w:hint="eastAsia"/>
            </w:rPr>
            <w:t>（一）国家高度重视森林防火工作</w:t>
          </w:r>
          <w:r>
            <w:rPr>
              <w:rFonts w:hint="eastAsia"/>
            </w:rPr>
            <w:tab/>
          </w:r>
          <w:r>
            <w:rPr>
              <w:rFonts w:hint="eastAsia"/>
            </w:rPr>
            <w:fldChar w:fldCharType="begin"/>
          </w:r>
          <w:r>
            <w:rPr>
              <w:rFonts w:hint="eastAsia"/>
            </w:rPr>
            <w:instrText xml:space="preserve"> </w:instrText>
          </w:r>
          <w:r>
            <w:instrText xml:space="preserve">PAGEREF _Toc213072465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"_Toc213072466" </w:instrText>
          </w:r>
          <w:r>
            <w:fldChar w:fldCharType="separate"/>
          </w:r>
          <w:r>
            <w:rPr>
              <w:rStyle w:val="32"/>
              <w:rFonts w:hint="eastAsia"/>
            </w:rPr>
            <w:t>（二）北京市落实森林防火工作要求</w:t>
          </w:r>
          <w:r>
            <w:rPr>
              <w:rFonts w:hint="eastAsia"/>
            </w:rPr>
            <w:tab/>
          </w:r>
          <w:r>
            <w:rPr>
              <w:rFonts w:hint="eastAsia"/>
            </w:rPr>
            <w:fldChar w:fldCharType="begin"/>
          </w:r>
          <w:r>
            <w:rPr>
              <w:rFonts w:hint="eastAsia"/>
            </w:rPr>
            <w:instrText xml:space="preserve"> </w:instrText>
          </w:r>
          <w:r>
            <w:instrText xml:space="preserve">PAGEREF _Toc213072466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"_Toc213072467" </w:instrText>
          </w:r>
          <w:r>
            <w:fldChar w:fldCharType="separate"/>
          </w:r>
          <w:r>
            <w:rPr>
              <w:rStyle w:val="32"/>
              <w:rFonts w:hint="eastAsia"/>
            </w:rPr>
            <w:t>（三）通州区城市副中心生态安全与韧性城市建设</w:t>
          </w:r>
          <w:r>
            <w:rPr>
              <w:rFonts w:hint="eastAsia"/>
            </w:rPr>
            <w:tab/>
          </w:r>
          <w:r>
            <w:rPr>
              <w:rFonts w:hint="eastAsia"/>
            </w:rPr>
            <w:fldChar w:fldCharType="begin"/>
          </w:r>
          <w:r>
            <w:rPr>
              <w:rFonts w:hint="eastAsia"/>
            </w:rPr>
            <w:instrText xml:space="preserve"> </w:instrText>
          </w:r>
          <w:r>
            <w:instrText xml:space="preserve">PAGEREF _Toc213072467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"_Toc213072468" </w:instrText>
          </w:r>
          <w:r>
            <w:fldChar w:fldCharType="separate"/>
          </w:r>
          <w:r>
            <w:rPr>
              <w:rStyle w:val="32"/>
              <w:rFonts w:hint="eastAsia"/>
            </w:rPr>
            <w:t>二、规划意义</w:t>
          </w:r>
          <w:r>
            <w:rPr>
              <w:rFonts w:hint="eastAsia"/>
            </w:rPr>
            <w:tab/>
          </w:r>
          <w:r>
            <w:rPr>
              <w:rFonts w:hint="eastAsia"/>
            </w:rPr>
            <w:fldChar w:fldCharType="begin"/>
          </w:r>
          <w:r>
            <w:rPr>
              <w:rFonts w:hint="eastAsia"/>
            </w:rPr>
            <w:instrText xml:space="preserve"> </w:instrText>
          </w:r>
          <w:r>
            <w:instrText xml:space="preserve">PAGEREF _Toc213072468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"_Toc213072469" </w:instrText>
          </w:r>
          <w:r>
            <w:fldChar w:fldCharType="separate"/>
          </w:r>
          <w:r>
            <w:rPr>
              <w:rStyle w:val="32"/>
              <w:rFonts w:hint="eastAsia"/>
            </w:rPr>
            <w:t>（一）是落实法律法规，夯实依法治火根基的重要实践</w:t>
          </w:r>
          <w:r>
            <w:rPr>
              <w:rFonts w:hint="eastAsia"/>
            </w:rPr>
            <w:tab/>
          </w:r>
          <w:r>
            <w:rPr>
              <w:rFonts w:hint="eastAsia"/>
            </w:rPr>
            <w:fldChar w:fldCharType="begin"/>
          </w:r>
          <w:r>
            <w:rPr>
              <w:rFonts w:hint="eastAsia"/>
            </w:rPr>
            <w:instrText xml:space="preserve"> </w:instrText>
          </w:r>
          <w:r>
            <w:instrText xml:space="preserve">PAGEREF _Toc213072469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"_Toc213072470" </w:instrText>
          </w:r>
          <w:r>
            <w:fldChar w:fldCharType="separate"/>
          </w:r>
          <w:r>
            <w:rPr>
              <w:rStyle w:val="32"/>
              <w:rFonts w:hint="eastAsia"/>
            </w:rPr>
            <w:t>（二）是保护森林资源，筑牢生态安全屏障的重要依据</w:t>
          </w:r>
          <w:r>
            <w:rPr>
              <w:rFonts w:hint="eastAsia"/>
            </w:rPr>
            <w:tab/>
          </w:r>
          <w:r>
            <w:rPr>
              <w:rFonts w:hint="eastAsia"/>
            </w:rPr>
            <w:fldChar w:fldCharType="begin"/>
          </w:r>
          <w:r>
            <w:rPr>
              <w:rFonts w:hint="eastAsia"/>
            </w:rPr>
            <w:instrText xml:space="preserve"> </w:instrText>
          </w:r>
          <w:r>
            <w:instrText xml:space="preserve">PAGEREF _Toc213072470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"_Toc213072471" </w:instrText>
          </w:r>
          <w:r>
            <w:fldChar w:fldCharType="separate"/>
          </w:r>
          <w:r>
            <w:rPr>
              <w:rStyle w:val="32"/>
              <w:rFonts w:hint="eastAsia"/>
            </w:rPr>
            <w:t>（三）是推进花园城市建设，提升城市生态品质重要举措</w:t>
          </w:r>
          <w:r>
            <w:rPr>
              <w:rFonts w:hint="eastAsia"/>
            </w:rPr>
            <w:tab/>
          </w:r>
          <w:r>
            <w:rPr>
              <w:rFonts w:hint="eastAsia"/>
            </w:rPr>
            <w:fldChar w:fldCharType="begin"/>
          </w:r>
          <w:r>
            <w:rPr>
              <w:rFonts w:hint="eastAsia"/>
            </w:rPr>
            <w:instrText xml:space="preserve"> </w:instrText>
          </w:r>
          <w:r>
            <w:instrText xml:space="preserve">PAGEREF _Toc213072471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"_Toc213072472" </w:instrText>
          </w:r>
          <w:r>
            <w:fldChar w:fldCharType="separate"/>
          </w:r>
          <w:r>
            <w:rPr>
              <w:rStyle w:val="32"/>
              <w:rFonts w:hint="eastAsia"/>
            </w:rPr>
            <w:t>（四）是促进生态与经济协调，实现可持续发展的重要保障</w:t>
          </w:r>
          <w:r>
            <w:rPr>
              <w:rFonts w:hint="eastAsia"/>
            </w:rPr>
            <w:tab/>
          </w:r>
          <w:r>
            <w:rPr>
              <w:rFonts w:hint="eastAsia"/>
            </w:rPr>
            <w:fldChar w:fldCharType="begin"/>
          </w:r>
          <w:r>
            <w:rPr>
              <w:rFonts w:hint="eastAsia"/>
            </w:rPr>
            <w:instrText xml:space="preserve"> </w:instrText>
          </w:r>
          <w:r>
            <w:instrText xml:space="preserve">PAGEREF _Toc213072472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HYPERLINK \l "_Toc213072473" </w:instrText>
          </w:r>
          <w:r>
            <w:fldChar w:fldCharType="separate"/>
          </w:r>
          <w:r>
            <w:rPr>
              <w:rStyle w:val="32"/>
              <w:rFonts w:hint="eastAsia"/>
            </w:rPr>
            <w:t>第二章  基础条件分析</w:t>
          </w:r>
          <w:r>
            <w:rPr>
              <w:rFonts w:hint="eastAsia"/>
            </w:rPr>
            <w:tab/>
          </w:r>
          <w:r>
            <w:rPr>
              <w:rFonts w:hint="eastAsia"/>
            </w:rPr>
            <w:fldChar w:fldCharType="begin"/>
          </w:r>
          <w:r>
            <w:rPr>
              <w:rFonts w:hint="eastAsia"/>
            </w:rPr>
            <w:instrText xml:space="preserve"> </w:instrText>
          </w:r>
          <w:r>
            <w:instrText xml:space="preserve">PAGEREF _Toc213072473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"_Toc213072474" </w:instrText>
          </w:r>
          <w:r>
            <w:fldChar w:fldCharType="separate"/>
          </w:r>
          <w:r>
            <w:rPr>
              <w:rStyle w:val="32"/>
              <w:rFonts w:hint="eastAsia"/>
            </w:rPr>
            <w:t>一、自然地理条件</w:t>
          </w:r>
          <w:r>
            <w:rPr>
              <w:rFonts w:hint="eastAsia"/>
            </w:rPr>
            <w:tab/>
          </w:r>
          <w:r>
            <w:rPr>
              <w:rFonts w:hint="eastAsia"/>
            </w:rPr>
            <w:fldChar w:fldCharType="begin"/>
          </w:r>
          <w:r>
            <w:rPr>
              <w:rFonts w:hint="eastAsia"/>
            </w:rPr>
            <w:instrText xml:space="preserve"> </w:instrText>
          </w:r>
          <w:r>
            <w:instrText xml:space="preserve">PAGEREF _Toc213072474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"_Toc213072475" </w:instrText>
          </w:r>
          <w:r>
            <w:fldChar w:fldCharType="separate"/>
          </w:r>
          <w:r>
            <w:rPr>
              <w:rStyle w:val="32"/>
              <w:rFonts w:hint="eastAsia"/>
            </w:rPr>
            <w:t>（一）地理位置</w:t>
          </w:r>
          <w:r>
            <w:rPr>
              <w:rFonts w:hint="eastAsia"/>
            </w:rPr>
            <w:tab/>
          </w:r>
          <w:r>
            <w:rPr>
              <w:rFonts w:hint="eastAsia"/>
            </w:rPr>
            <w:fldChar w:fldCharType="begin"/>
          </w:r>
          <w:r>
            <w:rPr>
              <w:rFonts w:hint="eastAsia"/>
            </w:rPr>
            <w:instrText xml:space="preserve"> </w:instrText>
          </w:r>
          <w:r>
            <w:instrText xml:space="preserve">PAGEREF _Toc213072475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"_Toc213072476" </w:instrText>
          </w:r>
          <w:r>
            <w:fldChar w:fldCharType="separate"/>
          </w:r>
          <w:r>
            <w:rPr>
              <w:rStyle w:val="32"/>
              <w:rFonts w:hint="eastAsia"/>
            </w:rPr>
            <w:t>（二）地形地貌</w:t>
          </w:r>
          <w:r>
            <w:rPr>
              <w:rFonts w:hint="eastAsia"/>
            </w:rPr>
            <w:tab/>
          </w:r>
          <w:r>
            <w:rPr>
              <w:rFonts w:hint="eastAsia"/>
            </w:rPr>
            <w:fldChar w:fldCharType="begin"/>
          </w:r>
          <w:r>
            <w:rPr>
              <w:rFonts w:hint="eastAsia"/>
            </w:rPr>
            <w:instrText xml:space="preserve"> </w:instrText>
          </w:r>
          <w:r>
            <w:instrText xml:space="preserve">PAGEREF _Toc213072476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"_Toc213072477" </w:instrText>
          </w:r>
          <w:r>
            <w:fldChar w:fldCharType="separate"/>
          </w:r>
          <w:r>
            <w:rPr>
              <w:rStyle w:val="32"/>
              <w:rFonts w:hint="eastAsia"/>
            </w:rPr>
            <w:t>（三）气候条件</w:t>
          </w:r>
          <w:r>
            <w:rPr>
              <w:rFonts w:hint="eastAsia"/>
            </w:rPr>
            <w:tab/>
          </w:r>
          <w:r>
            <w:rPr>
              <w:rFonts w:hint="eastAsia"/>
            </w:rPr>
            <w:fldChar w:fldCharType="begin"/>
          </w:r>
          <w:r>
            <w:rPr>
              <w:rFonts w:hint="eastAsia"/>
            </w:rPr>
            <w:instrText xml:space="preserve"> </w:instrText>
          </w:r>
          <w:r>
            <w:instrText xml:space="preserve">PAGEREF _Toc213072477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"_Toc213072478" </w:instrText>
          </w:r>
          <w:r>
            <w:fldChar w:fldCharType="separate"/>
          </w:r>
          <w:r>
            <w:rPr>
              <w:rStyle w:val="32"/>
              <w:rFonts w:hint="eastAsia"/>
            </w:rPr>
            <w:t>（四）河流水文</w:t>
          </w:r>
          <w:r>
            <w:rPr>
              <w:rFonts w:hint="eastAsia"/>
            </w:rPr>
            <w:tab/>
          </w:r>
          <w:r>
            <w:rPr>
              <w:rFonts w:hint="eastAsia"/>
            </w:rPr>
            <w:fldChar w:fldCharType="begin"/>
          </w:r>
          <w:r>
            <w:rPr>
              <w:rFonts w:hint="eastAsia"/>
            </w:rPr>
            <w:instrText xml:space="preserve"> </w:instrText>
          </w:r>
          <w:r>
            <w:instrText xml:space="preserve">PAGEREF _Toc213072478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"_Toc213072479" </w:instrText>
          </w:r>
          <w:r>
            <w:fldChar w:fldCharType="separate"/>
          </w:r>
          <w:r>
            <w:rPr>
              <w:rStyle w:val="32"/>
              <w:rFonts w:hint="eastAsia"/>
            </w:rPr>
            <w:t>（五）植物资源</w:t>
          </w:r>
          <w:r>
            <w:rPr>
              <w:rFonts w:hint="eastAsia"/>
            </w:rPr>
            <w:tab/>
          </w:r>
          <w:r>
            <w:rPr>
              <w:rFonts w:hint="eastAsia"/>
            </w:rPr>
            <w:fldChar w:fldCharType="begin"/>
          </w:r>
          <w:r>
            <w:rPr>
              <w:rFonts w:hint="eastAsia"/>
            </w:rPr>
            <w:instrText xml:space="preserve"> </w:instrText>
          </w:r>
          <w:r>
            <w:instrText xml:space="preserve">PAGEREF _Toc213072479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"_Toc213072480" </w:instrText>
          </w:r>
          <w:r>
            <w:fldChar w:fldCharType="separate"/>
          </w:r>
          <w:r>
            <w:rPr>
              <w:rStyle w:val="32"/>
              <w:rFonts w:hint="eastAsia"/>
            </w:rPr>
            <w:t>二、森林资源概况</w:t>
          </w:r>
          <w:r>
            <w:rPr>
              <w:rFonts w:hint="eastAsia"/>
            </w:rPr>
            <w:tab/>
          </w:r>
          <w:r>
            <w:rPr>
              <w:rFonts w:hint="eastAsia"/>
            </w:rPr>
            <w:fldChar w:fldCharType="begin"/>
          </w:r>
          <w:r>
            <w:rPr>
              <w:rFonts w:hint="eastAsia"/>
            </w:rPr>
            <w:instrText xml:space="preserve"> </w:instrText>
          </w:r>
          <w:r>
            <w:instrText xml:space="preserve">PAGEREF _Toc213072480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"_Toc213072481" </w:instrText>
          </w:r>
          <w:r>
            <w:fldChar w:fldCharType="separate"/>
          </w:r>
          <w:r>
            <w:rPr>
              <w:rStyle w:val="32"/>
              <w:rFonts w:hint="eastAsia"/>
            </w:rPr>
            <w:t>（一）森林资源底数</w:t>
          </w:r>
          <w:r>
            <w:rPr>
              <w:rFonts w:hint="eastAsia"/>
            </w:rPr>
            <w:tab/>
          </w:r>
          <w:r>
            <w:rPr>
              <w:rFonts w:hint="eastAsia"/>
            </w:rPr>
            <w:fldChar w:fldCharType="begin"/>
          </w:r>
          <w:r>
            <w:rPr>
              <w:rFonts w:hint="eastAsia"/>
            </w:rPr>
            <w:instrText xml:space="preserve"> </w:instrText>
          </w:r>
          <w:r>
            <w:instrText xml:space="preserve">PAGEREF _Toc213072481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"_Toc213072482" </w:instrText>
          </w:r>
          <w:r>
            <w:fldChar w:fldCharType="separate"/>
          </w:r>
          <w:r>
            <w:rPr>
              <w:rStyle w:val="32"/>
              <w:rFonts w:hint="eastAsia"/>
            </w:rPr>
            <w:t>（二）森林资源质量</w:t>
          </w:r>
          <w:r>
            <w:rPr>
              <w:rFonts w:hint="eastAsia"/>
            </w:rPr>
            <w:tab/>
          </w:r>
          <w:r>
            <w:rPr>
              <w:rFonts w:hint="eastAsia"/>
            </w:rPr>
            <w:fldChar w:fldCharType="begin"/>
          </w:r>
          <w:r>
            <w:rPr>
              <w:rFonts w:hint="eastAsia"/>
            </w:rPr>
            <w:instrText xml:space="preserve"> </w:instrText>
          </w:r>
          <w:r>
            <w:instrText xml:space="preserve">PAGEREF _Toc213072482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"_Toc213072483" </w:instrText>
          </w:r>
          <w:r>
            <w:fldChar w:fldCharType="separate"/>
          </w:r>
          <w:r>
            <w:rPr>
              <w:rStyle w:val="32"/>
              <w:rFonts w:hint="eastAsia"/>
            </w:rPr>
            <w:t>（三）森林资源权属</w:t>
          </w:r>
          <w:r>
            <w:rPr>
              <w:rFonts w:hint="eastAsia"/>
            </w:rPr>
            <w:tab/>
          </w:r>
          <w:r>
            <w:rPr>
              <w:rFonts w:hint="eastAsia"/>
            </w:rPr>
            <w:fldChar w:fldCharType="begin"/>
          </w:r>
          <w:r>
            <w:rPr>
              <w:rFonts w:hint="eastAsia"/>
            </w:rPr>
            <w:instrText xml:space="preserve"> </w:instrText>
          </w:r>
          <w:r>
            <w:instrText xml:space="preserve">PAGEREF _Toc213072483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"_Toc213072484" </w:instrText>
          </w:r>
          <w:r>
            <w:fldChar w:fldCharType="separate"/>
          </w:r>
          <w:r>
            <w:rPr>
              <w:rStyle w:val="32"/>
              <w:rFonts w:hint="eastAsia"/>
            </w:rPr>
            <w:t>三、社会经济概况</w:t>
          </w:r>
          <w:r>
            <w:rPr>
              <w:rFonts w:hint="eastAsia"/>
            </w:rPr>
            <w:tab/>
          </w:r>
          <w:r>
            <w:rPr>
              <w:rFonts w:hint="eastAsia"/>
            </w:rPr>
            <w:fldChar w:fldCharType="begin"/>
          </w:r>
          <w:r>
            <w:rPr>
              <w:rFonts w:hint="eastAsia"/>
            </w:rPr>
            <w:instrText xml:space="preserve"> </w:instrText>
          </w:r>
          <w:r>
            <w:instrText xml:space="preserve">PAGEREF _Toc213072484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"_Toc213072485" </w:instrText>
          </w:r>
          <w:r>
            <w:fldChar w:fldCharType="separate"/>
          </w:r>
          <w:r>
            <w:rPr>
              <w:rStyle w:val="32"/>
              <w:rFonts w:hint="eastAsia"/>
            </w:rPr>
            <w:t>（一）人口概况</w:t>
          </w:r>
          <w:r>
            <w:rPr>
              <w:rFonts w:hint="eastAsia"/>
            </w:rPr>
            <w:tab/>
          </w:r>
          <w:r>
            <w:rPr>
              <w:rFonts w:hint="eastAsia"/>
            </w:rPr>
            <w:fldChar w:fldCharType="begin"/>
          </w:r>
          <w:r>
            <w:rPr>
              <w:rFonts w:hint="eastAsia"/>
            </w:rPr>
            <w:instrText xml:space="preserve"> </w:instrText>
          </w:r>
          <w:r>
            <w:instrText xml:space="preserve">PAGEREF _Toc213072485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"_Toc213072486" </w:instrText>
          </w:r>
          <w:r>
            <w:fldChar w:fldCharType="separate"/>
          </w:r>
          <w:r>
            <w:rPr>
              <w:rStyle w:val="32"/>
              <w:rFonts w:hint="eastAsia"/>
            </w:rPr>
            <w:t>（二）经济概况</w:t>
          </w:r>
          <w:r>
            <w:rPr>
              <w:rFonts w:hint="eastAsia"/>
            </w:rPr>
            <w:tab/>
          </w:r>
          <w:r>
            <w:rPr>
              <w:rFonts w:hint="eastAsia"/>
            </w:rPr>
            <w:fldChar w:fldCharType="begin"/>
          </w:r>
          <w:r>
            <w:rPr>
              <w:rFonts w:hint="eastAsia"/>
            </w:rPr>
            <w:instrText xml:space="preserve"> </w:instrText>
          </w:r>
          <w:r>
            <w:instrText xml:space="preserve">PAGEREF _Toc213072486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"_Toc213072487" </w:instrText>
          </w:r>
          <w:r>
            <w:fldChar w:fldCharType="separate"/>
          </w:r>
          <w:r>
            <w:rPr>
              <w:rStyle w:val="32"/>
              <w:rFonts w:hint="eastAsia"/>
            </w:rPr>
            <w:t>（三）交通概况</w:t>
          </w:r>
          <w:r>
            <w:rPr>
              <w:rFonts w:hint="eastAsia"/>
            </w:rPr>
            <w:tab/>
          </w:r>
          <w:r>
            <w:rPr>
              <w:rFonts w:hint="eastAsia"/>
            </w:rPr>
            <w:fldChar w:fldCharType="begin"/>
          </w:r>
          <w:r>
            <w:rPr>
              <w:rFonts w:hint="eastAsia"/>
            </w:rPr>
            <w:instrText xml:space="preserve"> </w:instrText>
          </w:r>
          <w:r>
            <w:instrText xml:space="preserve">PAGEREF _Toc213072487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HYPERLINK \l "_Toc213072488" </w:instrText>
          </w:r>
          <w:r>
            <w:fldChar w:fldCharType="separate"/>
          </w:r>
          <w:r>
            <w:rPr>
              <w:rStyle w:val="32"/>
              <w:rFonts w:hint="eastAsia"/>
            </w:rPr>
            <w:t>第三章 森林防火现状及评价</w:t>
          </w:r>
          <w:r>
            <w:rPr>
              <w:rFonts w:hint="eastAsia"/>
            </w:rPr>
            <w:tab/>
          </w:r>
          <w:r>
            <w:rPr>
              <w:rFonts w:hint="eastAsia"/>
            </w:rPr>
            <w:fldChar w:fldCharType="begin"/>
          </w:r>
          <w:r>
            <w:rPr>
              <w:rFonts w:hint="eastAsia"/>
            </w:rPr>
            <w:instrText xml:space="preserve"> </w:instrText>
          </w:r>
          <w:r>
            <w:instrText xml:space="preserve">PAGEREF _Toc213072488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"_Toc213072489" </w:instrText>
          </w:r>
          <w:r>
            <w:fldChar w:fldCharType="separate"/>
          </w:r>
          <w:r>
            <w:rPr>
              <w:rStyle w:val="32"/>
              <w:rFonts w:hint="eastAsia"/>
            </w:rPr>
            <w:t>、历史火情分析</w:t>
          </w:r>
          <w:r>
            <w:rPr>
              <w:rFonts w:hint="eastAsia"/>
            </w:rPr>
            <w:tab/>
          </w:r>
          <w:r>
            <w:rPr>
              <w:rFonts w:hint="eastAsia"/>
            </w:rPr>
            <w:fldChar w:fldCharType="begin"/>
          </w:r>
          <w:r>
            <w:rPr>
              <w:rFonts w:hint="eastAsia"/>
            </w:rPr>
            <w:instrText xml:space="preserve"> </w:instrText>
          </w:r>
          <w:r>
            <w:instrText xml:space="preserve">PAGEREF _Toc213072489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"_Toc213072490" </w:instrText>
          </w:r>
          <w:r>
            <w:fldChar w:fldCharType="separate"/>
          </w:r>
          <w:r>
            <w:rPr>
              <w:rStyle w:val="32"/>
              <w:rFonts w:hint="eastAsia"/>
            </w:rPr>
            <w:t>二、森林防火现状</w:t>
          </w:r>
          <w:r>
            <w:rPr>
              <w:rFonts w:hint="eastAsia"/>
            </w:rPr>
            <w:tab/>
          </w:r>
          <w:r>
            <w:rPr>
              <w:rFonts w:hint="eastAsia"/>
            </w:rPr>
            <w:fldChar w:fldCharType="begin"/>
          </w:r>
          <w:r>
            <w:rPr>
              <w:rFonts w:hint="eastAsia"/>
            </w:rPr>
            <w:instrText xml:space="preserve"> </w:instrText>
          </w:r>
          <w:r>
            <w:instrText xml:space="preserve">PAGEREF _Toc213072490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"_Toc213072491" </w:instrText>
          </w:r>
          <w:r>
            <w:fldChar w:fldCharType="separate"/>
          </w:r>
          <w:r>
            <w:rPr>
              <w:rStyle w:val="32"/>
              <w:rFonts w:hint="eastAsia"/>
            </w:rPr>
            <w:t>（一）森林防火组织机构</w:t>
          </w:r>
          <w:r>
            <w:rPr>
              <w:rFonts w:hint="eastAsia"/>
            </w:rPr>
            <w:tab/>
          </w:r>
          <w:r>
            <w:rPr>
              <w:rFonts w:hint="eastAsia"/>
            </w:rPr>
            <w:fldChar w:fldCharType="begin"/>
          </w:r>
          <w:r>
            <w:rPr>
              <w:rFonts w:hint="eastAsia"/>
            </w:rPr>
            <w:instrText xml:space="preserve"> </w:instrText>
          </w:r>
          <w:r>
            <w:instrText xml:space="preserve">PAGEREF _Toc213072491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"_Toc213072492" </w:instrText>
          </w:r>
          <w:r>
            <w:fldChar w:fldCharType="separate"/>
          </w:r>
          <w:r>
            <w:rPr>
              <w:rStyle w:val="32"/>
              <w:rFonts w:hint="eastAsia"/>
            </w:rPr>
            <w:t>（二）森林防火基础设施</w:t>
          </w:r>
          <w:r>
            <w:rPr>
              <w:rFonts w:hint="eastAsia"/>
            </w:rPr>
            <w:tab/>
          </w:r>
          <w:r>
            <w:rPr>
              <w:rFonts w:hint="eastAsia"/>
            </w:rPr>
            <w:fldChar w:fldCharType="begin"/>
          </w:r>
          <w:r>
            <w:rPr>
              <w:rFonts w:hint="eastAsia"/>
            </w:rPr>
            <w:instrText xml:space="preserve"> </w:instrText>
          </w:r>
          <w:r>
            <w:instrText xml:space="preserve">PAGEREF _Toc213072492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"_Toc213072493" </w:instrText>
          </w:r>
          <w:r>
            <w:fldChar w:fldCharType="separate"/>
          </w:r>
          <w:r>
            <w:rPr>
              <w:rStyle w:val="32"/>
              <w:rFonts w:hint="eastAsia"/>
            </w:rPr>
            <w:t>（三）林火监测预警及通信系统</w:t>
          </w:r>
          <w:r>
            <w:rPr>
              <w:rFonts w:hint="eastAsia"/>
            </w:rPr>
            <w:tab/>
          </w:r>
          <w:r>
            <w:rPr>
              <w:rFonts w:hint="eastAsia"/>
            </w:rPr>
            <w:fldChar w:fldCharType="begin"/>
          </w:r>
          <w:r>
            <w:rPr>
              <w:rFonts w:hint="eastAsia"/>
            </w:rPr>
            <w:instrText xml:space="preserve"> </w:instrText>
          </w:r>
          <w:r>
            <w:instrText xml:space="preserve">PAGEREF _Toc213072493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"_Toc213072494" </w:instrText>
          </w:r>
          <w:r>
            <w:fldChar w:fldCharType="separate"/>
          </w:r>
          <w:r>
            <w:rPr>
              <w:rStyle w:val="32"/>
              <w:rFonts w:hint="eastAsia"/>
            </w:rPr>
            <w:t>（四）森林防火消防能力</w:t>
          </w:r>
          <w:r>
            <w:rPr>
              <w:rFonts w:hint="eastAsia"/>
            </w:rPr>
            <w:tab/>
          </w:r>
          <w:r>
            <w:rPr>
              <w:rFonts w:hint="eastAsia"/>
            </w:rPr>
            <w:fldChar w:fldCharType="begin"/>
          </w:r>
          <w:r>
            <w:rPr>
              <w:rFonts w:hint="eastAsia"/>
            </w:rPr>
            <w:instrText xml:space="preserve"> </w:instrText>
          </w:r>
          <w:r>
            <w:instrText xml:space="preserve">PAGEREF _Toc213072494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"_Toc213072495" </w:instrText>
          </w:r>
          <w:r>
            <w:fldChar w:fldCharType="separate"/>
          </w:r>
          <w:r>
            <w:rPr>
              <w:rStyle w:val="32"/>
              <w:rFonts w:hint="eastAsia"/>
            </w:rPr>
            <w:t>（五）森林防火宣传教育</w:t>
          </w:r>
          <w:r>
            <w:rPr>
              <w:rFonts w:hint="eastAsia"/>
            </w:rPr>
            <w:tab/>
          </w:r>
          <w:r>
            <w:rPr>
              <w:rFonts w:hint="eastAsia"/>
            </w:rPr>
            <w:fldChar w:fldCharType="begin"/>
          </w:r>
          <w:r>
            <w:rPr>
              <w:rFonts w:hint="eastAsia"/>
            </w:rPr>
            <w:instrText xml:space="preserve"> </w:instrText>
          </w:r>
          <w:r>
            <w:instrText xml:space="preserve">PAGEREF _Toc213072495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"_Toc213072496" </w:instrText>
          </w:r>
          <w:r>
            <w:fldChar w:fldCharType="separate"/>
          </w:r>
          <w:r>
            <w:rPr>
              <w:rStyle w:val="32"/>
              <w:rFonts w:hint="eastAsia"/>
            </w:rPr>
            <w:t>三、存在的主要问题</w:t>
          </w:r>
          <w:r>
            <w:rPr>
              <w:rFonts w:hint="eastAsia"/>
            </w:rPr>
            <w:tab/>
          </w:r>
          <w:r>
            <w:rPr>
              <w:rFonts w:hint="eastAsia"/>
            </w:rPr>
            <w:fldChar w:fldCharType="begin"/>
          </w:r>
          <w:r>
            <w:rPr>
              <w:rFonts w:hint="eastAsia"/>
            </w:rPr>
            <w:instrText xml:space="preserve"> </w:instrText>
          </w:r>
          <w:r>
            <w:instrText xml:space="preserve">PAGEREF _Toc213072496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"_Toc213072497" </w:instrText>
          </w:r>
          <w:r>
            <w:fldChar w:fldCharType="separate"/>
          </w:r>
          <w:r>
            <w:rPr>
              <w:rStyle w:val="32"/>
              <w:rFonts w:hint="eastAsia"/>
            </w:rPr>
            <w:t>（一）基础设施存在短板，影响防控效能提升</w:t>
          </w:r>
          <w:r>
            <w:rPr>
              <w:rFonts w:hint="eastAsia"/>
            </w:rPr>
            <w:tab/>
          </w:r>
          <w:r>
            <w:rPr>
              <w:rFonts w:hint="eastAsia"/>
            </w:rPr>
            <w:fldChar w:fldCharType="begin"/>
          </w:r>
          <w:r>
            <w:rPr>
              <w:rFonts w:hint="eastAsia"/>
            </w:rPr>
            <w:instrText xml:space="preserve"> </w:instrText>
          </w:r>
          <w:r>
            <w:instrText xml:space="preserve">PAGEREF _Toc213072497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"_Toc213072498" </w:instrText>
          </w:r>
          <w:r>
            <w:fldChar w:fldCharType="separate"/>
          </w:r>
          <w:r>
            <w:rPr>
              <w:rStyle w:val="32"/>
              <w:rFonts w:hint="eastAsia"/>
            </w:rPr>
            <w:t>（二）监测预警体系尚不完善，火情发现能力需进一步增强</w:t>
          </w:r>
          <w:r>
            <w:rPr>
              <w:rFonts w:hint="eastAsia"/>
            </w:rPr>
            <w:tab/>
          </w:r>
          <w:r>
            <w:rPr>
              <w:rFonts w:hint="eastAsia"/>
            </w:rPr>
            <w:fldChar w:fldCharType="begin"/>
          </w:r>
          <w:r>
            <w:rPr>
              <w:rFonts w:hint="eastAsia"/>
            </w:rPr>
            <w:instrText xml:space="preserve"> </w:instrText>
          </w:r>
          <w:r>
            <w:instrText xml:space="preserve">PAGEREF _Toc213072498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"_Toc213072499" </w:instrText>
          </w:r>
          <w:r>
            <w:fldChar w:fldCharType="separate"/>
          </w:r>
          <w:r>
            <w:rPr>
              <w:rStyle w:val="32"/>
              <w:rFonts w:hint="eastAsia"/>
            </w:rPr>
            <w:t>（三）基层队伍力量结构不均，协同响应能力有待强化</w:t>
          </w:r>
          <w:r>
            <w:rPr>
              <w:rFonts w:hint="eastAsia"/>
            </w:rPr>
            <w:tab/>
          </w:r>
          <w:r>
            <w:rPr>
              <w:rFonts w:hint="eastAsia"/>
            </w:rPr>
            <w:fldChar w:fldCharType="begin"/>
          </w:r>
          <w:r>
            <w:rPr>
              <w:rFonts w:hint="eastAsia"/>
            </w:rPr>
            <w:instrText xml:space="preserve"> </w:instrText>
          </w:r>
          <w:r>
            <w:instrText xml:space="preserve">PAGEREF _Toc213072499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HYPERLINK \l "_Toc213072500" </w:instrText>
          </w:r>
          <w:r>
            <w:fldChar w:fldCharType="separate"/>
          </w:r>
          <w:r>
            <w:rPr>
              <w:rStyle w:val="32"/>
              <w:rFonts w:hint="eastAsia"/>
            </w:rPr>
            <w:t>第四章  规划总体思路</w:t>
          </w:r>
          <w:r>
            <w:rPr>
              <w:rFonts w:hint="eastAsia"/>
            </w:rPr>
            <w:tab/>
          </w:r>
          <w:r>
            <w:rPr>
              <w:rFonts w:hint="eastAsia"/>
            </w:rPr>
            <w:fldChar w:fldCharType="begin"/>
          </w:r>
          <w:r>
            <w:rPr>
              <w:rFonts w:hint="eastAsia"/>
            </w:rPr>
            <w:instrText xml:space="preserve"> </w:instrText>
          </w:r>
          <w:r>
            <w:instrText xml:space="preserve">PAGEREF _Toc213072500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"_Toc213072501" </w:instrText>
          </w:r>
          <w:r>
            <w:fldChar w:fldCharType="separate"/>
          </w:r>
          <w:r>
            <w:rPr>
              <w:rStyle w:val="32"/>
              <w:rFonts w:hint="eastAsia"/>
            </w:rPr>
            <w:t>一、指导思想</w:t>
          </w:r>
          <w:r>
            <w:rPr>
              <w:rFonts w:hint="eastAsia"/>
            </w:rPr>
            <w:tab/>
          </w:r>
          <w:r>
            <w:rPr>
              <w:rFonts w:hint="eastAsia"/>
            </w:rPr>
            <w:fldChar w:fldCharType="begin"/>
          </w:r>
          <w:r>
            <w:rPr>
              <w:rFonts w:hint="eastAsia"/>
            </w:rPr>
            <w:instrText xml:space="preserve"> </w:instrText>
          </w:r>
          <w:r>
            <w:instrText xml:space="preserve">PAGEREF _Toc213072501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"_Toc213072502" </w:instrText>
          </w:r>
          <w:r>
            <w:fldChar w:fldCharType="separate"/>
          </w:r>
          <w:r>
            <w:rPr>
              <w:rStyle w:val="32"/>
              <w:rFonts w:hint="eastAsia"/>
            </w:rPr>
            <w:t>二、基本原则</w:t>
          </w:r>
          <w:r>
            <w:rPr>
              <w:rFonts w:hint="eastAsia"/>
            </w:rPr>
            <w:tab/>
          </w:r>
          <w:r>
            <w:rPr>
              <w:rFonts w:hint="eastAsia"/>
            </w:rPr>
            <w:fldChar w:fldCharType="begin"/>
          </w:r>
          <w:r>
            <w:rPr>
              <w:rFonts w:hint="eastAsia"/>
            </w:rPr>
            <w:instrText xml:space="preserve"> </w:instrText>
          </w:r>
          <w:r>
            <w:instrText xml:space="preserve">PAGEREF _Toc213072502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"_Toc213072503" </w:instrText>
          </w:r>
          <w:r>
            <w:fldChar w:fldCharType="separate"/>
          </w:r>
          <w:r>
            <w:rPr>
              <w:rStyle w:val="32"/>
              <w:rFonts w:hint="eastAsia"/>
            </w:rPr>
            <w:t>三、规划依据</w:t>
          </w:r>
          <w:r>
            <w:rPr>
              <w:rFonts w:hint="eastAsia"/>
            </w:rPr>
            <w:tab/>
          </w:r>
          <w:r>
            <w:rPr>
              <w:rFonts w:hint="eastAsia"/>
            </w:rPr>
            <w:fldChar w:fldCharType="begin"/>
          </w:r>
          <w:r>
            <w:rPr>
              <w:rFonts w:hint="eastAsia"/>
            </w:rPr>
            <w:instrText xml:space="preserve"> </w:instrText>
          </w:r>
          <w:r>
            <w:instrText xml:space="preserve">PAGEREF _Toc213072503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"_Toc213072504" </w:instrText>
          </w:r>
          <w:r>
            <w:fldChar w:fldCharType="separate"/>
          </w:r>
          <w:r>
            <w:rPr>
              <w:rStyle w:val="32"/>
              <w:rFonts w:hint="eastAsia"/>
            </w:rPr>
            <w:t>（一）法律法规</w:t>
          </w:r>
          <w:r>
            <w:rPr>
              <w:rFonts w:hint="eastAsia"/>
            </w:rPr>
            <w:tab/>
          </w:r>
          <w:r>
            <w:rPr>
              <w:rFonts w:hint="eastAsia"/>
            </w:rPr>
            <w:fldChar w:fldCharType="begin"/>
          </w:r>
          <w:r>
            <w:rPr>
              <w:rFonts w:hint="eastAsia"/>
            </w:rPr>
            <w:instrText xml:space="preserve"> </w:instrText>
          </w:r>
          <w:r>
            <w:instrText xml:space="preserve">PAGEREF _Toc213072504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"_Toc213072505" </w:instrText>
          </w:r>
          <w:r>
            <w:fldChar w:fldCharType="separate"/>
          </w:r>
          <w:r>
            <w:rPr>
              <w:rStyle w:val="32"/>
              <w:rFonts w:hint="eastAsia"/>
            </w:rPr>
            <w:t>（二）政策文件</w:t>
          </w:r>
          <w:r>
            <w:rPr>
              <w:rFonts w:hint="eastAsia"/>
            </w:rPr>
            <w:tab/>
          </w:r>
          <w:r>
            <w:rPr>
              <w:rFonts w:hint="eastAsia"/>
            </w:rPr>
            <w:fldChar w:fldCharType="begin"/>
          </w:r>
          <w:r>
            <w:rPr>
              <w:rFonts w:hint="eastAsia"/>
            </w:rPr>
            <w:instrText xml:space="preserve"> </w:instrText>
          </w:r>
          <w:r>
            <w:instrText xml:space="preserve">PAGEREF _Toc213072505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"_Toc213072506" </w:instrText>
          </w:r>
          <w:r>
            <w:fldChar w:fldCharType="separate"/>
          </w:r>
          <w:r>
            <w:rPr>
              <w:rStyle w:val="32"/>
              <w:rFonts w:hint="eastAsia"/>
            </w:rPr>
            <w:t>（三）行业标准与技术规程</w:t>
          </w:r>
          <w:r>
            <w:rPr>
              <w:rFonts w:hint="eastAsia"/>
            </w:rPr>
            <w:tab/>
          </w:r>
          <w:r>
            <w:rPr>
              <w:rFonts w:hint="eastAsia"/>
            </w:rPr>
            <w:fldChar w:fldCharType="begin"/>
          </w:r>
          <w:r>
            <w:rPr>
              <w:rFonts w:hint="eastAsia"/>
            </w:rPr>
            <w:instrText xml:space="preserve"> </w:instrText>
          </w:r>
          <w:r>
            <w:instrText xml:space="preserve">PAGEREF _Toc213072506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"_Toc213072507" </w:instrText>
          </w:r>
          <w:r>
            <w:fldChar w:fldCharType="separate"/>
          </w:r>
          <w:r>
            <w:rPr>
              <w:rStyle w:val="32"/>
              <w:rFonts w:hint="eastAsia"/>
            </w:rPr>
            <w:t>（四）相关规划</w:t>
          </w:r>
          <w:r>
            <w:rPr>
              <w:rFonts w:hint="eastAsia"/>
            </w:rPr>
            <w:tab/>
          </w:r>
          <w:r>
            <w:rPr>
              <w:rFonts w:hint="eastAsia"/>
            </w:rPr>
            <w:fldChar w:fldCharType="begin"/>
          </w:r>
          <w:r>
            <w:rPr>
              <w:rFonts w:hint="eastAsia"/>
            </w:rPr>
            <w:instrText xml:space="preserve"> </w:instrText>
          </w:r>
          <w:r>
            <w:instrText xml:space="preserve">PAGEREF _Toc213072507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"_Toc213072508" </w:instrText>
          </w:r>
          <w:r>
            <w:fldChar w:fldCharType="separate"/>
          </w:r>
          <w:r>
            <w:rPr>
              <w:rStyle w:val="32"/>
              <w:rFonts w:hint="eastAsia"/>
            </w:rPr>
            <w:t>四、规划范围</w:t>
          </w:r>
          <w:r>
            <w:rPr>
              <w:rFonts w:hint="eastAsia"/>
            </w:rPr>
            <w:tab/>
          </w:r>
          <w:r>
            <w:rPr>
              <w:rFonts w:hint="eastAsia"/>
            </w:rPr>
            <w:fldChar w:fldCharType="begin"/>
          </w:r>
          <w:r>
            <w:rPr>
              <w:rFonts w:hint="eastAsia"/>
            </w:rPr>
            <w:instrText xml:space="preserve"> </w:instrText>
          </w:r>
          <w:r>
            <w:instrText xml:space="preserve">PAGEREF _Toc213072508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"_Toc213072509" </w:instrText>
          </w:r>
          <w:r>
            <w:fldChar w:fldCharType="separate"/>
          </w:r>
          <w:r>
            <w:rPr>
              <w:rStyle w:val="32"/>
              <w:rFonts w:hint="eastAsia"/>
            </w:rPr>
            <w:t>五、规划期限</w:t>
          </w:r>
          <w:r>
            <w:rPr>
              <w:rFonts w:hint="eastAsia"/>
            </w:rPr>
            <w:tab/>
          </w:r>
          <w:r>
            <w:rPr>
              <w:rFonts w:hint="eastAsia"/>
            </w:rPr>
            <w:fldChar w:fldCharType="begin"/>
          </w:r>
          <w:r>
            <w:rPr>
              <w:rFonts w:hint="eastAsia"/>
            </w:rPr>
            <w:instrText xml:space="preserve"> </w:instrText>
          </w:r>
          <w:r>
            <w:instrText xml:space="preserve">PAGEREF _Toc213072509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"_Toc213072510" </w:instrText>
          </w:r>
          <w:r>
            <w:fldChar w:fldCharType="separate"/>
          </w:r>
          <w:r>
            <w:rPr>
              <w:rStyle w:val="32"/>
              <w:rFonts w:hint="eastAsia"/>
            </w:rPr>
            <w:t>六、规划目标</w:t>
          </w:r>
          <w:r>
            <w:rPr>
              <w:rFonts w:hint="eastAsia"/>
            </w:rPr>
            <w:tab/>
          </w:r>
          <w:r>
            <w:rPr>
              <w:rFonts w:hint="eastAsia"/>
            </w:rPr>
            <w:fldChar w:fldCharType="begin"/>
          </w:r>
          <w:r>
            <w:rPr>
              <w:rFonts w:hint="eastAsia"/>
            </w:rPr>
            <w:instrText xml:space="preserve"> </w:instrText>
          </w:r>
          <w:r>
            <w:instrText xml:space="preserve">PAGEREF _Toc213072510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"_Toc213072511" </w:instrText>
          </w:r>
          <w:r>
            <w:fldChar w:fldCharType="separate"/>
          </w:r>
          <w:r>
            <w:rPr>
              <w:rStyle w:val="32"/>
              <w:rFonts w:hint="eastAsia"/>
            </w:rPr>
            <w:t>（一）总体目标（2025–2035年）</w:t>
          </w:r>
          <w:r>
            <w:rPr>
              <w:rFonts w:hint="eastAsia"/>
            </w:rPr>
            <w:tab/>
          </w:r>
          <w:r>
            <w:rPr>
              <w:rFonts w:hint="eastAsia"/>
            </w:rPr>
            <w:fldChar w:fldCharType="begin"/>
          </w:r>
          <w:r>
            <w:rPr>
              <w:rFonts w:hint="eastAsia"/>
            </w:rPr>
            <w:instrText xml:space="preserve"> </w:instrText>
          </w:r>
          <w:r>
            <w:instrText xml:space="preserve">PAGEREF _Toc213072511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"_Toc213072512" </w:instrText>
          </w:r>
          <w:r>
            <w:fldChar w:fldCharType="separate"/>
          </w:r>
          <w:r>
            <w:rPr>
              <w:rStyle w:val="32"/>
              <w:rFonts w:hint="eastAsia"/>
            </w:rPr>
            <w:t>（二）近期目标（2025–2030年）</w:t>
          </w:r>
          <w:r>
            <w:rPr>
              <w:rFonts w:hint="eastAsia"/>
            </w:rPr>
            <w:tab/>
          </w:r>
          <w:r>
            <w:rPr>
              <w:rFonts w:hint="eastAsia"/>
            </w:rPr>
            <w:fldChar w:fldCharType="begin"/>
          </w:r>
          <w:r>
            <w:rPr>
              <w:rFonts w:hint="eastAsia"/>
            </w:rPr>
            <w:instrText xml:space="preserve"> </w:instrText>
          </w:r>
          <w:r>
            <w:instrText xml:space="preserve">PAGEREF _Toc213072512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"_Toc213072513" </w:instrText>
          </w:r>
          <w:r>
            <w:fldChar w:fldCharType="separate"/>
          </w:r>
          <w:r>
            <w:rPr>
              <w:rStyle w:val="32"/>
              <w:rFonts w:hint="eastAsia"/>
            </w:rPr>
            <w:t>（三）远期目标（2030–2035年）</w:t>
          </w:r>
          <w:r>
            <w:rPr>
              <w:rFonts w:hint="eastAsia"/>
            </w:rPr>
            <w:tab/>
          </w:r>
          <w:r>
            <w:rPr>
              <w:rFonts w:hint="eastAsia"/>
            </w:rPr>
            <w:fldChar w:fldCharType="begin"/>
          </w:r>
          <w:r>
            <w:rPr>
              <w:rFonts w:hint="eastAsia"/>
            </w:rPr>
            <w:instrText xml:space="preserve"> </w:instrText>
          </w:r>
          <w:r>
            <w:instrText xml:space="preserve">PAGEREF _Toc213072513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"_Toc213072514" </w:instrText>
          </w:r>
          <w:r>
            <w:fldChar w:fldCharType="separate"/>
          </w:r>
          <w:r>
            <w:rPr>
              <w:rStyle w:val="32"/>
              <w:rFonts w:hint="eastAsia"/>
            </w:rPr>
            <w:t>七、防火分区与治理措施</w:t>
          </w:r>
          <w:r>
            <w:rPr>
              <w:rFonts w:hint="eastAsia"/>
            </w:rPr>
            <w:tab/>
          </w:r>
          <w:r>
            <w:rPr>
              <w:rFonts w:hint="eastAsia"/>
            </w:rPr>
            <w:fldChar w:fldCharType="begin"/>
          </w:r>
          <w:r>
            <w:rPr>
              <w:rFonts w:hint="eastAsia"/>
            </w:rPr>
            <w:instrText xml:space="preserve"> </w:instrText>
          </w:r>
          <w:r>
            <w:instrText xml:space="preserve">PAGEREF _Toc213072514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"_Toc213072515" </w:instrText>
          </w:r>
          <w:r>
            <w:fldChar w:fldCharType="separate"/>
          </w:r>
          <w:r>
            <w:rPr>
              <w:rStyle w:val="32"/>
              <w:rFonts w:hint="eastAsia"/>
            </w:rPr>
            <w:t>（一）防火分区</w:t>
          </w:r>
          <w:r>
            <w:rPr>
              <w:rFonts w:hint="eastAsia"/>
            </w:rPr>
            <w:tab/>
          </w:r>
          <w:r>
            <w:rPr>
              <w:rFonts w:hint="eastAsia"/>
            </w:rPr>
            <w:fldChar w:fldCharType="begin"/>
          </w:r>
          <w:r>
            <w:rPr>
              <w:rFonts w:hint="eastAsia"/>
            </w:rPr>
            <w:instrText xml:space="preserve"> </w:instrText>
          </w:r>
          <w:r>
            <w:instrText xml:space="preserve">PAGEREF _Toc213072515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"_Toc213072516" </w:instrText>
          </w:r>
          <w:r>
            <w:fldChar w:fldCharType="separate"/>
          </w:r>
          <w:r>
            <w:rPr>
              <w:rStyle w:val="32"/>
              <w:rFonts w:hint="eastAsia"/>
            </w:rPr>
            <w:t>（二）治理措施</w:t>
          </w:r>
          <w:r>
            <w:rPr>
              <w:rFonts w:hint="eastAsia"/>
            </w:rPr>
            <w:tab/>
          </w:r>
          <w:r>
            <w:rPr>
              <w:rFonts w:hint="eastAsia"/>
            </w:rPr>
            <w:fldChar w:fldCharType="begin"/>
          </w:r>
          <w:r>
            <w:rPr>
              <w:rFonts w:hint="eastAsia"/>
            </w:rPr>
            <w:instrText xml:space="preserve"> </w:instrText>
          </w:r>
          <w:r>
            <w:instrText xml:space="preserve">PAGEREF _Toc213072516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HYPERLINK \l "_Toc213072517" </w:instrText>
          </w:r>
          <w:r>
            <w:fldChar w:fldCharType="separate"/>
          </w:r>
          <w:r>
            <w:rPr>
              <w:rStyle w:val="32"/>
              <w:rFonts w:hint="eastAsia"/>
            </w:rPr>
            <w:t>第五章 重点任务与实施计划</w:t>
          </w:r>
          <w:r>
            <w:rPr>
              <w:rFonts w:hint="eastAsia"/>
            </w:rPr>
            <w:tab/>
          </w:r>
          <w:r>
            <w:rPr>
              <w:rFonts w:hint="eastAsia"/>
            </w:rPr>
            <w:fldChar w:fldCharType="begin"/>
          </w:r>
          <w:r>
            <w:rPr>
              <w:rFonts w:hint="eastAsia"/>
            </w:rPr>
            <w:instrText xml:space="preserve"> </w:instrText>
          </w:r>
          <w:r>
            <w:instrText xml:space="preserve">PAGEREF _Toc213072517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22"/>
            <w:tabs>
              <w:tab w:val="left" w:pos="1680"/>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"_Toc213072518" </w:instrText>
          </w:r>
          <w:r>
            <w:fldChar w:fldCharType="separate"/>
          </w:r>
          <w:r>
            <w:rPr>
              <w:rStyle w:val="32"/>
              <w:rFonts w:hint="eastAsia"/>
            </w:rPr>
            <w:t>一、</w:t>
          </w:r>
          <w:r>
            <w:rPr>
              <w:rFonts w:hint="eastAsia" w:asciiTheme="minorHAnsi" w:hAnsiTheme="minorHAnsi" w:eastAsiaTheme="minorEastAsia" w:cstheme="minorBidi"/>
              <w:b w:val="0"/>
              <w:snapToGrid/>
              <w:color w:val="auto"/>
              <w:kern w:val="2"/>
              <w:sz w:val="22"/>
              <w:szCs w:val="24"/>
              <w:lang w:eastAsia="zh-CN"/>
              <w14:ligatures w14:val="standardContextual"/>
            </w:rPr>
            <w:tab/>
          </w:r>
          <w:r>
            <w:rPr>
              <w:rStyle w:val="32"/>
              <w:rFonts w:hint="eastAsia"/>
            </w:rPr>
            <w:t>预防体系建设</w:t>
          </w:r>
          <w:r>
            <w:rPr>
              <w:rFonts w:hint="eastAsia"/>
            </w:rPr>
            <w:tab/>
          </w:r>
          <w:r>
            <w:rPr>
              <w:rFonts w:hint="eastAsia"/>
            </w:rPr>
            <w:fldChar w:fldCharType="begin"/>
          </w:r>
          <w:r>
            <w:rPr>
              <w:rFonts w:hint="eastAsia"/>
            </w:rPr>
            <w:instrText xml:space="preserve"> </w:instrText>
          </w:r>
          <w:r>
            <w:instrText xml:space="preserve">PAGEREF _Toc213072518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"_Toc213072519" </w:instrText>
          </w:r>
          <w:r>
            <w:fldChar w:fldCharType="separate"/>
          </w:r>
          <w:r>
            <w:rPr>
              <w:rStyle w:val="32"/>
              <w:rFonts w:hint="eastAsia"/>
            </w:rPr>
            <w:t>（一）森林防火预警监测系统建设</w:t>
          </w:r>
          <w:r>
            <w:rPr>
              <w:rFonts w:hint="eastAsia"/>
            </w:rPr>
            <w:tab/>
          </w:r>
          <w:r>
            <w:rPr>
              <w:rFonts w:hint="eastAsia"/>
            </w:rPr>
            <w:fldChar w:fldCharType="begin"/>
          </w:r>
          <w:r>
            <w:rPr>
              <w:rFonts w:hint="eastAsia"/>
            </w:rPr>
            <w:instrText xml:space="preserve"> </w:instrText>
          </w:r>
          <w:r>
            <w:instrText xml:space="preserve">PAGEREF _Toc213072519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"_Toc213072520" </w:instrText>
          </w:r>
          <w:r>
            <w:fldChar w:fldCharType="separate"/>
          </w:r>
          <w:r>
            <w:rPr>
              <w:rStyle w:val="32"/>
              <w:rFonts w:hint="eastAsia"/>
            </w:rPr>
            <w:t>（二）防火宣传教育系统建设</w:t>
          </w:r>
          <w:r>
            <w:rPr>
              <w:rFonts w:hint="eastAsia"/>
            </w:rPr>
            <w:tab/>
          </w:r>
          <w:r>
            <w:rPr>
              <w:rFonts w:hint="eastAsia"/>
            </w:rPr>
            <w:fldChar w:fldCharType="begin"/>
          </w:r>
          <w:r>
            <w:rPr>
              <w:rFonts w:hint="eastAsia"/>
            </w:rPr>
            <w:instrText xml:space="preserve"> </w:instrText>
          </w:r>
          <w:r>
            <w:instrText xml:space="preserve">PAGEREF _Toc213072520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"_Toc213072521" </w:instrText>
          </w:r>
          <w:r>
            <w:fldChar w:fldCharType="separate"/>
          </w:r>
          <w:r>
            <w:rPr>
              <w:rStyle w:val="32"/>
              <w:rFonts w:hint="eastAsia"/>
            </w:rPr>
            <w:t>（三）森林防火应急道路提升改造</w:t>
          </w:r>
          <w:r>
            <w:rPr>
              <w:rFonts w:hint="eastAsia"/>
            </w:rPr>
            <w:tab/>
          </w:r>
          <w:r>
            <w:rPr>
              <w:rFonts w:hint="eastAsia"/>
            </w:rPr>
            <w:fldChar w:fldCharType="begin"/>
          </w:r>
          <w:r>
            <w:rPr>
              <w:rFonts w:hint="eastAsia"/>
            </w:rPr>
            <w:instrText xml:space="preserve"> </w:instrText>
          </w:r>
          <w:r>
            <w:instrText xml:space="preserve">PAGEREF _Toc213072521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"_Toc213072522" </w:instrText>
          </w:r>
          <w:r>
            <w:fldChar w:fldCharType="separate"/>
          </w:r>
          <w:r>
            <w:rPr>
              <w:rStyle w:val="32"/>
              <w:rFonts w:hint="eastAsia"/>
            </w:rPr>
            <w:t>二、火灾早期处置体系建设</w:t>
          </w:r>
          <w:r>
            <w:rPr>
              <w:rFonts w:hint="eastAsia"/>
            </w:rPr>
            <w:tab/>
          </w:r>
          <w:r>
            <w:rPr>
              <w:rFonts w:hint="eastAsia"/>
            </w:rPr>
            <w:fldChar w:fldCharType="begin"/>
          </w:r>
          <w:r>
            <w:rPr>
              <w:rFonts w:hint="eastAsia"/>
            </w:rPr>
            <w:instrText xml:space="preserve"> </w:instrText>
          </w:r>
          <w:r>
            <w:instrText xml:space="preserve">PAGEREF _Toc213072522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"_Toc213072523" </w:instrText>
          </w:r>
          <w:r>
            <w:fldChar w:fldCharType="separate"/>
          </w:r>
          <w:r>
            <w:rPr>
              <w:rStyle w:val="32"/>
              <w:rFonts w:hint="eastAsia"/>
            </w:rPr>
            <w:t>（一）森林防火通信指挥系统建设工程</w:t>
          </w:r>
          <w:r>
            <w:rPr>
              <w:rFonts w:hint="eastAsia"/>
            </w:rPr>
            <w:tab/>
          </w:r>
          <w:r>
            <w:rPr>
              <w:rFonts w:hint="eastAsia"/>
            </w:rPr>
            <w:fldChar w:fldCharType="begin"/>
          </w:r>
          <w:r>
            <w:rPr>
              <w:rFonts w:hint="eastAsia"/>
            </w:rPr>
            <w:instrText xml:space="preserve"> </w:instrText>
          </w:r>
          <w:r>
            <w:instrText xml:space="preserve">PAGEREF _Toc213072523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"_Toc213072524" </w:instrText>
          </w:r>
          <w:r>
            <w:fldChar w:fldCharType="separate"/>
          </w:r>
          <w:r>
            <w:rPr>
              <w:rStyle w:val="32"/>
              <w:rFonts w:hint="eastAsia"/>
            </w:rPr>
            <w:t>（二）森林消防队伍能力建设</w:t>
          </w:r>
          <w:r>
            <w:rPr>
              <w:rFonts w:hint="eastAsia"/>
            </w:rPr>
            <w:tab/>
          </w:r>
          <w:r>
            <w:rPr>
              <w:rFonts w:hint="eastAsia"/>
            </w:rPr>
            <w:fldChar w:fldCharType="begin"/>
          </w:r>
          <w:r>
            <w:rPr>
              <w:rFonts w:hint="eastAsia"/>
            </w:rPr>
            <w:instrText xml:space="preserve"> </w:instrText>
          </w:r>
          <w:r>
            <w:instrText xml:space="preserve">PAGEREF _Toc213072524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"_Toc213072525" </w:instrText>
          </w:r>
          <w:r>
            <w:fldChar w:fldCharType="separate"/>
          </w:r>
          <w:r>
            <w:rPr>
              <w:rStyle w:val="32"/>
              <w:rFonts w:hint="eastAsia"/>
            </w:rPr>
            <w:t>（三）以水灭火系统建设</w:t>
          </w:r>
          <w:r>
            <w:rPr>
              <w:rFonts w:hint="eastAsia"/>
            </w:rPr>
            <w:tab/>
          </w:r>
          <w:r>
            <w:rPr>
              <w:rFonts w:hint="eastAsia"/>
            </w:rPr>
            <w:fldChar w:fldCharType="begin"/>
          </w:r>
          <w:r>
            <w:rPr>
              <w:rFonts w:hint="eastAsia"/>
            </w:rPr>
            <w:instrText xml:space="preserve"> </w:instrText>
          </w:r>
          <w:r>
            <w:instrText xml:space="preserve">PAGEREF _Toc213072525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"_Toc213072526" </w:instrText>
          </w:r>
          <w:r>
            <w:fldChar w:fldCharType="separate"/>
          </w:r>
          <w:r>
            <w:rPr>
              <w:rStyle w:val="32"/>
              <w:rFonts w:hint="eastAsia"/>
            </w:rPr>
            <w:t>三、保障体系建设</w:t>
          </w:r>
          <w:r>
            <w:rPr>
              <w:rFonts w:hint="eastAsia"/>
            </w:rPr>
            <w:tab/>
          </w:r>
          <w:r>
            <w:rPr>
              <w:rFonts w:hint="eastAsia"/>
            </w:rPr>
            <w:fldChar w:fldCharType="begin"/>
          </w:r>
          <w:r>
            <w:rPr>
              <w:rFonts w:hint="eastAsia"/>
            </w:rPr>
            <w:instrText xml:space="preserve"> </w:instrText>
          </w:r>
          <w:r>
            <w:instrText xml:space="preserve">PAGEREF _Toc213072526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"_Toc213072527" </w:instrText>
          </w:r>
          <w:r>
            <w:fldChar w:fldCharType="separate"/>
          </w:r>
          <w:r>
            <w:rPr>
              <w:rStyle w:val="32"/>
              <w:rFonts w:hint="eastAsia"/>
            </w:rPr>
            <w:t>（一）森林防火物资储备库建设</w:t>
          </w:r>
          <w:r>
            <w:rPr>
              <w:rFonts w:hint="eastAsia"/>
            </w:rPr>
            <w:tab/>
          </w:r>
          <w:r>
            <w:rPr>
              <w:rFonts w:hint="eastAsia"/>
            </w:rPr>
            <w:fldChar w:fldCharType="begin"/>
          </w:r>
          <w:r>
            <w:rPr>
              <w:rFonts w:hint="eastAsia"/>
            </w:rPr>
            <w:instrText xml:space="preserve"> </w:instrText>
          </w:r>
          <w:r>
            <w:instrText xml:space="preserve">PAGEREF _Toc213072527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pPr>
            <w:pStyle w:val="15"/>
            <w:tabs>
              <w:tab w:val="right" w:leader="dot" w:pos="8834"/>
            </w:tabs>
            <w:ind w:left="1280" w:firstLine="480"/>
            <w:rPr>
              <w:rFonts w:hint="eastAsia" w:asciiTheme="minorHAnsi" w:hAnsiTheme="minorHAnsi" w:eastAsiaTheme="minorEastAsia" w:cstheme="minorBidi"/>
              <w:snapToGrid/>
              <w:color w:val="auto"/>
              <w:kern w:val="2"/>
              <w:sz w:val="22"/>
              <w:szCs w:val="24"/>
              <w:lang w:eastAsia="zh-CN"/>
              <w14:ligatures w14:val="standardContextual"/>
            </w:rPr>
          </w:pPr>
          <w:r>
            <w:fldChar w:fldCharType="begin"/>
          </w:r>
          <w:r>
            <w:instrText xml:space="preserve"> HYPERLINK \l "_Toc213072528" </w:instrText>
          </w:r>
          <w:r>
            <w:fldChar w:fldCharType="separate"/>
          </w:r>
          <w:r>
            <w:rPr>
              <w:rStyle w:val="32"/>
              <w:rFonts w:hint="eastAsia"/>
            </w:rPr>
            <w:t>（二）森林防火物资储备</w:t>
          </w:r>
          <w:r>
            <w:rPr>
              <w:rFonts w:hint="eastAsia"/>
            </w:rPr>
            <w:tab/>
          </w:r>
          <w:r>
            <w:rPr>
              <w:rFonts w:hint="eastAsia"/>
            </w:rPr>
            <w:fldChar w:fldCharType="begin"/>
          </w:r>
          <w:r>
            <w:rPr>
              <w:rFonts w:hint="eastAsia"/>
            </w:rPr>
            <w:instrText xml:space="preserve"> </w:instrText>
          </w:r>
          <w:r>
            <w:instrText xml:space="preserve">PAGEREF _Toc213072528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HYPERLINK \l "_Toc213072529" </w:instrText>
          </w:r>
          <w:r>
            <w:fldChar w:fldCharType="separate"/>
          </w:r>
          <w:r>
            <w:rPr>
              <w:rStyle w:val="32"/>
              <w:rFonts w:hint="eastAsia"/>
            </w:rPr>
            <w:t>第六章  投资估算</w:t>
          </w:r>
          <w:r>
            <w:rPr>
              <w:rFonts w:hint="eastAsia"/>
            </w:rPr>
            <w:tab/>
          </w:r>
          <w:r>
            <w:rPr>
              <w:rFonts w:hint="eastAsia"/>
            </w:rPr>
            <w:fldChar w:fldCharType="begin"/>
          </w:r>
          <w:r>
            <w:rPr>
              <w:rFonts w:hint="eastAsia"/>
            </w:rPr>
            <w:instrText xml:space="preserve"> </w:instrText>
          </w:r>
          <w:r>
            <w:instrText xml:space="preserve">PAGEREF _Toc213072529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"_Toc213072530" </w:instrText>
          </w:r>
          <w:r>
            <w:fldChar w:fldCharType="separate"/>
          </w:r>
          <w:r>
            <w:rPr>
              <w:rStyle w:val="32"/>
              <w:rFonts w:hint="eastAsia"/>
            </w:rPr>
            <w:t>一、投资估算编制依据</w:t>
          </w:r>
          <w:r>
            <w:rPr>
              <w:rFonts w:hint="eastAsia"/>
            </w:rPr>
            <w:tab/>
          </w:r>
          <w:r>
            <w:rPr>
              <w:rFonts w:hint="eastAsia"/>
            </w:rPr>
            <w:fldChar w:fldCharType="begin"/>
          </w:r>
          <w:r>
            <w:rPr>
              <w:rFonts w:hint="eastAsia"/>
            </w:rPr>
            <w:instrText xml:space="preserve"> </w:instrText>
          </w:r>
          <w:r>
            <w:instrText xml:space="preserve">PAGEREF _Toc213072530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"_Toc213072531" </w:instrText>
          </w:r>
          <w:r>
            <w:fldChar w:fldCharType="separate"/>
          </w:r>
          <w:r>
            <w:rPr>
              <w:rStyle w:val="32"/>
              <w:rFonts w:hint="eastAsia"/>
            </w:rPr>
            <w:t>二、估算结果</w:t>
          </w:r>
          <w:r>
            <w:rPr>
              <w:rFonts w:hint="eastAsia"/>
            </w:rPr>
            <w:tab/>
          </w:r>
          <w:r>
            <w:rPr>
              <w:rFonts w:hint="eastAsia"/>
            </w:rPr>
            <w:fldChar w:fldCharType="begin"/>
          </w:r>
          <w:r>
            <w:rPr>
              <w:rFonts w:hint="eastAsia"/>
            </w:rPr>
            <w:instrText xml:space="preserve"> </w:instrText>
          </w:r>
          <w:r>
            <w:instrText xml:space="preserve">PAGEREF _Toc213072531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HYPERLINK \l "_Toc213072532" </w:instrText>
          </w:r>
          <w:r>
            <w:fldChar w:fldCharType="separate"/>
          </w:r>
          <w:r>
            <w:rPr>
              <w:rStyle w:val="32"/>
              <w:rFonts w:hint="eastAsia"/>
            </w:rPr>
            <w:t>第七章  保障措施与实施机制</w:t>
          </w:r>
          <w:r>
            <w:rPr>
              <w:rFonts w:hint="eastAsia"/>
            </w:rPr>
            <w:tab/>
          </w:r>
          <w:r>
            <w:rPr>
              <w:rFonts w:hint="eastAsia"/>
            </w:rPr>
            <w:fldChar w:fldCharType="begin"/>
          </w:r>
          <w:r>
            <w:rPr>
              <w:rFonts w:hint="eastAsia"/>
            </w:rPr>
            <w:instrText xml:space="preserve"> </w:instrText>
          </w:r>
          <w:r>
            <w:instrText xml:space="preserve">PAGEREF _Toc213072532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"_Toc213072533" </w:instrText>
          </w:r>
          <w:r>
            <w:fldChar w:fldCharType="separate"/>
          </w:r>
          <w:r>
            <w:rPr>
              <w:rStyle w:val="32"/>
              <w:rFonts w:hint="eastAsia"/>
            </w:rPr>
            <w:t>一、强化组织保障</w:t>
          </w:r>
          <w:r>
            <w:rPr>
              <w:rFonts w:hint="eastAsia"/>
            </w:rPr>
            <w:tab/>
          </w:r>
          <w:r>
            <w:rPr>
              <w:rFonts w:hint="eastAsia"/>
            </w:rPr>
            <w:fldChar w:fldCharType="begin"/>
          </w:r>
          <w:r>
            <w:rPr>
              <w:rFonts w:hint="eastAsia"/>
            </w:rPr>
            <w:instrText xml:space="preserve"> </w:instrText>
          </w:r>
          <w:r>
            <w:instrText xml:space="preserve">PAGEREF _Toc213072533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"_Toc213072534" </w:instrText>
          </w:r>
          <w:r>
            <w:fldChar w:fldCharType="separate"/>
          </w:r>
          <w:r>
            <w:rPr>
              <w:rStyle w:val="32"/>
              <w:rFonts w:hint="eastAsia"/>
            </w:rPr>
            <w:t>二、健全机制保障</w:t>
          </w:r>
          <w:r>
            <w:rPr>
              <w:rFonts w:hint="eastAsia"/>
            </w:rPr>
            <w:tab/>
          </w:r>
          <w:r>
            <w:rPr>
              <w:rFonts w:hint="eastAsia"/>
            </w:rPr>
            <w:fldChar w:fldCharType="begin"/>
          </w:r>
          <w:r>
            <w:rPr>
              <w:rFonts w:hint="eastAsia"/>
            </w:rPr>
            <w:instrText xml:space="preserve"> </w:instrText>
          </w:r>
          <w:r>
            <w:instrText xml:space="preserve">PAGEREF _Toc213072534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"_Toc213072535" </w:instrText>
          </w:r>
          <w:r>
            <w:fldChar w:fldCharType="separate"/>
          </w:r>
          <w:r>
            <w:rPr>
              <w:rStyle w:val="32"/>
              <w:rFonts w:hint="eastAsia"/>
            </w:rPr>
            <w:t>三、夯实资金保障</w:t>
          </w:r>
          <w:r>
            <w:rPr>
              <w:rFonts w:hint="eastAsia"/>
            </w:rPr>
            <w:tab/>
          </w:r>
          <w:r>
            <w:rPr>
              <w:rFonts w:hint="eastAsia"/>
            </w:rPr>
            <w:fldChar w:fldCharType="begin"/>
          </w:r>
          <w:r>
            <w:rPr>
              <w:rFonts w:hint="eastAsia"/>
            </w:rPr>
            <w:instrText xml:space="preserve"> </w:instrText>
          </w:r>
          <w:r>
            <w:instrText xml:space="preserve">PAGEREF _Toc213072535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"_Toc213072536" </w:instrText>
          </w:r>
          <w:r>
            <w:fldChar w:fldCharType="separate"/>
          </w:r>
          <w:r>
            <w:rPr>
              <w:rStyle w:val="32"/>
              <w:rFonts w:hint="eastAsia"/>
            </w:rPr>
            <w:t>四、提升技术保障</w:t>
          </w:r>
          <w:r>
            <w:rPr>
              <w:rFonts w:hint="eastAsia"/>
            </w:rPr>
            <w:tab/>
          </w:r>
          <w:r>
            <w:rPr>
              <w:rFonts w:hint="eastAsia"/>
            </w:rPr>
            <w:fldChar w:fldCharType="begin"/>
          </w:r>
          <w:r>
            <w:rPr>
              <w:rFonts w:hint="eastAsia"/>
            </w:rPr>
            <w:instrText xml:space="preserve"> </w:instrText>
          </w:r>
          <w:r>
            <w:instrText xml:space="preserve">PAGEREF _Toc213072536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"_Toc213072537" </w:instrText>
          </w:r>
          <w:r>
            <w:fldChar w:fldCharType="separate"/>
          </w:r>
          <w:r>
            <w:rPr>
              <w:rStyle w:val="32"/>
              <w:rFonts w:hint="eastAsia"/>
            </w:rPr>
            <w:t>五、加强评估督查</w:t>
          </w:r>
          <w:r>
            <w:rPr>
              <w:rFonts w:hint="eastAsia"/>
            </w:rPr>
            <w:tab/>
          </w:r>
          <w:r>
            <w:rPr>
              <w:rFonts w:hint="eastAsia"/>
            </w:rPr>
            <w:fldChar w:fldCharType="begin"/>
          </w:r>
          <w:r>
            <w:rPr>
              <w:rFonts w:hint="eastAsia"/>
            </w:rPr>
            <w:instrText xml:space="preserve"> </w:instrText>
          </w:r>
          <w:r>
            <w:instrText xml:space="preserve">PAGEREF _Toc213072537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"_Toc213072538" </w:instrText>
          </w:r>
          <w:r>
            <w:fldChar w:fldCharType="separate"/>
          </w:r>
          <w:r>
            <w:rPr>
              <w:rStyle w:val="32"/>
              <w:rFonts w:hint="eastAsia"/>
            </w:rPr>
            <w:t>六、加强社会共治</w:t>
          </w:r>
          <w:r>
            <w:rPr>
              <w:rFonts w:hint="eastAsia"/>
            </w:rPr>
            <w:tab/>
          </w:r>
          <w:r>
            <w:rPr>
              <w:rFonts w:hint="eastAsia"/>
            </w:rPr>
            <w:fldChar w:fldCharType="begin"/>
          </w:r>
          <w:r>
            <w:rPr>
              <w:rFonts w:hint="eastAsia"/>
            </w:rPr>
            <w:instrText xml:space="preserve"> </w:instrText>
          </w:r>
          <w:r>
            <w:instrText xml:space="preserve">PAGEREF _Toc213072538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pPr>
            <w:pStyle w:val="19"/>
            <w:tabs>
              <w:tab w:val="right" w:leader="dot" w:pos="8834"/>
            </w:tabs>
            <w:ind w:firstLine="562"/>
            <w:rPr>
              <w:rFonts w:hint="eastAsia" w:asciiTheme="minorHAnsi" w:hAnsiTheme="minorHAnsi" w:eastAsiaTheme="minorEastAsia" w:cstheme="minorBidi"/>
              <w:b w:val="0"/>
              <w:bCs w:val="0"/>
              <w:caps w:val="0"/>
              <w:snapToGrid/>
              <w:color w:val="auto"/>
              <w:kern w:val="2"/>
              <w:sz w:val="22"/>
              <w:szCs w:val="24"/>
              <w:lang w:eastAsia="zh-CN"/>
              <w14:ligatures w14:val="standardContextual"/>
            </w:rPr>
          </w:pPr>
          <w:r>
            <w:fldChar w:fldCharType="begin"/>
          </w:r>
          <w:r>
            <w:instrText xml:space="preserve"> HYPERLINK \l "_Toc213072539" </w:instrText>
          </w:r>
          <w:r>
            <w:fldChar w:fldCharType="separate"/>
          </w:r>
          <w:r>
            <w:rPr>
              <w:rStyle w:val="32"/>
              <w:rFonts w:hint="eastAsia"/>
            </w:rPr>
            <w:t>附图</w:t>
          </w:r>
          <w:r>
            <w:rPr>
              <w:rFonts w:hint="eastAsia"/>
            </w:rPr>
            <w:tab/>
          </w:r>
          <w:r>
            <w:rPr>
              <w:rFonts w:hint="eastAsia"/>
            </w:rPr>
            <w:fldChar w:fldCharType="begin"/>
          </w:r>
          <w:r>
            <w:rPr>
              <w:rFonts w:hint="eastAsia"/>
            </w:rPr>
            <w:instrText xml:space="preserve"> </w:instrText>
          </w:r>
          <w:r>
            <w:instrText xml:space="preserve">PAGEREF _Toc213072539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"_Toc213072540" </w:instrText>
          </w:r>
          <w:r>
            <w:fldChar w:fldCharType="separate"/>
          </w:r>
          <w:r>
            <w:rPr>
              <w:rStyle w:val="32"/>
              <w:rFonts w:hint="eastAsia"/>
            </w:rPr>
            <w:t>附图一、通州区森林防火规划图</w:t>
          </w:r>
          <w:r>
            <w:rPr>
              <w:rFonts w:hint="eastAsia"/>
            </w:rPr>
            <w:tab/>
          </w:r>
          <w:r>
            <w:rPr>
              <w:rFonts w:hint="eastAsia"/>
            </w:rPr>
            <w:fldChar w:fldCharType="begin"/>
          </w:r>
          <w:r>
            <w:rPr>
              <w:rFonts w:hint="eastAsia"/>
            </w:rPr>
            <w:instrText xml:space="preserve"> </w:instrText>
          </w:r>
          <w:r>
            <w:instrText xml:space="preserve">PAGEREF _Toc213072540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pPr>
            <w:pStyle w:val="22"/>
            <w:tabs>
              <w:tab w:val="right" w:leader="dot" w:pos="8834"/>
            </w:tabs>
            <w:ind w:left="640" w:firstLine="482"/>
            <w:rPr>
              <w:rFonts w:hint="eastAsia" w:asciiTheme="minorHAnsi" w:hAnsiTheme="minorHAnsi" w:eastAsiaTheme="minorEastAsia" w:cstheme="minorBidi"/>
              <w:b w:val="0"/>
              <w:snapToGrid/>
              <w:color w:val="auto"/>
              <w:kern w:val="2"/>
              <w:sz w:val="22"/>
              <w:szCs w:val="24"/>
              <w:lang w:eastAsia="zh-CN"/>
              <w14:ligatures w14:val="standardContextual"/>
            </w:rPr>
          </w:pPr>
          <w:r>
            <w:fldChar w:fldCharType="begin"/>
          </w:r>
          <w:r>
            <w:instrText xml:space="preserve"> HYPERLINK \l "_Toc213072541" </w:instrText>
          </w:r>
          <w:r>
            <w:fldChar w:fldCharType="separate"/>
          </w:r>
          <w:r>
            <w:rPr>
              <w:rStyle w:val="32"/>
              <w:rFonts w:hint="eastAsia"/>
            </w:rPr>
            <w:t>附图二、通州区森林防火道路分布图</w:t>
          </w:r>
          <w:r>
            <w:rPr>
              <w:rFonts w:hint="eastAsia"/>
            </w:rPr>
            <w:tab/>
          </w:r>
          <w:r>
            <w:rPr>
              <w:rFonts w:hint="eastAsia"/>
            </w:rPr>
            <w:fldChar w:fldCharType="begin"/>
          </w:r>
          <w:r>
            <w:rPr>
              <w:rFonts w:hint="eastAsia"/>
            </w:rPr>
            <w:instrText xml:space="preserve"> </w:instrText>
          </w:r>
          <w:r>
            <w:instrText xml:space="preserve">PAGEREF _Toc213072541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pPr>
            <w:spacing w:line="360" w:lineRule="auto"/>
            <w:ind w:firstLine="0" w:firstLineChars="0"/>
          </w:pPr>
          <w:r>
            <w:rPr>
              <w:bCs/>
              <w:lang w:val="zh-CN"/>
            </w:rPr>
            <w:fldChar w:fldCharType="end"/>
          </w:r>
        </w:p>
      </w:sdtContent>
    </w:sdt>
    <w:p>
      <w:pPr>
        <w:ind w:firstLine="195" w:firstLineChars="61"/>
        <w:sectPr>
          <w:footerReference r:id="rId11" w:type="default"/>
          <w:pgSz w:w="11906" w:h="16838"/>
          <w:pgMar w:top="2098" w:right="1474" w:bottom="1985" w:left="1588" w:header="851" w:footer="765" w:gutter="0"/>
          <w:pgNumType w:fmt="upperRoman" w:start="1"/>
          <w:cols w:space="425" w:num="1"/>
          <w:docGrid w:type="lines" w:linePitch="579" w:charSpace="1229"/>
        </w:sectPr>
      </w:pPr>
    </w:p>
    <w:p>
      <w:pPr>
        <w:pStyle w:val="2"/>
        <w:rPr>
          <w:rFonts w:hint="eastAsia"/>
        </w:rPr>
      </w:pPr>
      <w:bookmarkStart w:id="0" w:name="_Toc213072462"/>
      <w:bookmarkStart w:id="1" w:name="_Toc209952481"/>
      <w:r>
        <w:rPr>
          <w:rFonts w:hint="eastAsia"/>
        </w:rPr>
        <w:t>前言</w:t>
      </w:r>
      <w:bookmarkEnd w:id="0"/>
    </w:p>
    <w:p>
      <w:pPr>
        <w:ind w:firstLine="640"/>
        <w:rPr>
          <w:lang w:eastAsia="zh-CN"/>
        </w:rPr>
      </w:pPr>
      <w:bookmarkStart w:id="2" w:name="OLE_LINK3"/>
      <w:r>
        <w:rPr>
          <w:rFonts w:hint="eastAsia"/>
          <w:lang w:eastAsia="zh-CN"/>
        </w:rPr>
        <w:t>2012年，党中央、国务院决定将通州区建设成为首都的副中心，这是国家战略层面的重大决策。北京市委、市政府明确提出“聚焦通州战略，打造功能完备的城市副中心”，更加明确了通州作为城市副中心定位。通州区肩负着高标准建设“未来之城、活力之城、绿色之城、人文之城、共治之城、共享之城、共富之城”的重大历史使命。习近平总书记指出，北京城市副中心要“坚持世界眼光、国际标准、中国特色、高点定位，构建蓝绿交织、清新明亮、水城共融、多组团集约紧凑发展的生态城市布局，着力打造国际一流和谐宜居之都示范区、新型城镇化示范区、京津冀协同发展示范区，建成绿色城市、森林城市”。</w:t>
      </w:r>
      <w:bookmarkEnd w:id="2"/>
    </w:p>
    <w:p>
      <w:pPr>
        <w:ind w:firstLine="640"/>
        <w:rPr>
          <w:highlight w:val="yellow"/>
          <w:lang w:eastAsia="zh-CN"/>
        </w:rPr>
      </w:pPr>
      <w:r>
        <w:rPr>
          <w:rFonts w:hint="eastAsia"/>
          <w:lang w:eastAsia="zh-CN"/>
        </w:rPr>
        <w:t>森林资源是副中心高质量发展的生态底色，随着城市建设不断加快，区域内森林资源快速扩张使得区域内可燃物负荷同步增加。通州区大规模平原林地与高密度人口聚集区、交通基础设施形成复杂的交界面，森林火灾的风险特征呈现高度人为化和城市界面化。森林防火工作已不再是单一的资源保护问题，而是涉及城市安全、生态稳定和人民生命财产安全的综合性问题，也是韧性城市建设的关键一环。</w:t>
      </w:r>
    </w:p>
    <w:p>
      <w:pPr>
        <w:ind w:firstLine="640"/>
        <w:rPr>
          <w:lang w:eastAsia="zh-CN"/>
        </w:rPr>
      </w:pPr>
      <w:r>
        <w:rPr>
          <w:rFonts w:hint="eastAsia"/>
          <w:lang w:eastAsia="zh-CN"/>
        </w:rPr>
        <w:t>《通州区森林防火规划（</w:t>
      </w:r>
      <w:r>
        <w:rPr>
          <w:lang w:eastAsia="zh-CN"/>
        </w:rPr>
        <w:t>202</w:t>
      </w:r>
      <w:r>
        <w:rPr>
          <w:rFonts w:hint="eastAsia"/>
          <w:lang w:eastAsia="zh-CN"/>
        </w:rPr>
        <w:t>5</w:t>
      </w:r>
      <w:r>
        <w:rPr>
          <w:lang w:eastAsia="zh-CN"/>
        </w:rPr>
        <w:t>-2035</w:t>
      </w:r>
      <w:r>
        <w:rPr>
          <w:rFonts w:hint="eastAsia"/>
          <w:lang w:eastAsia="zh-CN"/>
        </w:rPr>
        <w:t>年）》的制定，立足通州区作为北京城市副中心的战略定位和生态发展实际，以系统性、前瞻性和可操作性为原则，对区域森林防火工作进行科学布局和全面部署。深入贯彻“预防为主、积极消灭、生命至上、安全第一”的工作方针，依据《全国森林防火规划（</w:t>
      </w:r>
      <w:r>
        <w:rPr>
          <w:lang w:eastAsia="zh-CN"/>
        </w:rPr>
        <w:t>2016</w:t>
      </w:r>
      <w:r>
        <w:rPr>
          <w:rFonts w:hint="eastAsia"/>
          <w:lang w:eastAsia="zh-CN"/>
        </w:rPr>
        <w:t>—</w:t>
      </w:r>
      <w:r>
        <w:rPr>
          <w:lang w:eastAsia="zh-CN"/>
        </w:rPr>
        <w:t>2025</w:t>
      </w:r>
      <w:r>
        <w:rPr>
          <w:rFonts w:hint="eastAsia"/>
          <w:lang w:eastAsia="zh-CN"/>
        </w:rPr>
        <w:t>年）》《关于全面加强新形势下森林草原防灭火工作的意见》《北京市森林防火五年行动计划</w:t>
      </w:r>
      <w:r>
        <w:rPr>
          <w:lang w:eastAsia="zh-CN"/>
        </w:rPr>
        <w:t>(2023-2027</w:t>
      </w:r>
      <w:r>
        <w:rPr>
          <w:rFonts w:hint="eastAsia"/>
          <w:lang w:eastAsia="zh-CN"/>
        </w:rPr>
        <w:t>年</w:t>
      </w:r>
      <w:r>
        <w:rPr>
          <w:lang w:eastAsia="zh-CN"/>
        </w:rPr>
        <w:t>)</w:t>
      </w:r>
      <w:r>
        <w:rPr>
          <w:rFonts w:hint="eastAsia"/>
          <w:lang w:eastAsia="zh-CN"/>
        </w:rPr>
        <w:t>》以及《中华人民共和国森林法》《森林防火条例》《北京市森林防火办法》《北京市实施</w:t>
      </w:r>
      <w:r>
        <w:rPr>
          <w:lang w:eastAsia="zh-CN"/>
        </w:rPr>
        <w:t>&lt;</w:t>
      </w:r>
      <w:r>
        <w:rPr>
          <w:rFonts w:hint="eastAsia"/>
          <w:lang w:eastAsia="zh-CN"/>
        </w:rPr>
        <w:t>中华人民共和国森林法</w:t>
      </w:r>
      <w:r>
        <w:rPr>
          <w:lang w:eastAsia="zh-CN"/>
        </w:rPr>
        <w:t>&gt;</w:t>
      </w:r>
      <w:r>
        <w:rPr>
          <w:rFonts w:hint="eastAsia"/>
          <w:lang w:eastAsia="zh-CN"/>
        </w:rPr>
        <w:t>办法》等国家和北京市的各项法律法规，结合通州区无山区、林地破碎化、交通便利的平原地形特点，构建科学、精准、高效的森林火灾防控体系。为通州区落实森林防火行政领导负责制和网格化管理提供坚实的科学依据，为保障城市副中心高质量发展筑牢生态安全屏障。</w:t>
      </w:r>
    </w:p>
    <w:p>
      <w:pPr>
        <w:ind w:firstLine="640"/>
        <w:rPr>
          <w:rFonts w:eastAsia="黑体"/>
          <w:kern w:val="44"/>
          <w:szCs w:val="36"/>
          <w:lang w:eastAsia="zh-CN"/>
        </w:rPr>
      </w:pPr>
      <w:r>
        <w:rPr>
          <w:lang w:eastAsia="zh-CN"/>
        </w:rPr>
        <w:br w:type="page"/>
      </w:r>
    </w:p>
    <w:p>
      <w:pPr>
        <w:pStyle w:val="2"/>
        <w:rPr>
          <w:rFonts w:hint="eastAsia"/>
        </w:rPr>
      </w:pPr>
      <w:bookmarkStart w:id="3" w:name="_Toc213072463"/>
      <w:r>
        <w:rPr>
          <w:rFonts w:hint="eastAsia"/>
        </w:rPr>
        <w:t>第一章</w:t>
      </w:r>
      <w:r>
        <w:t xml:space="preserve"> </w:t>
      </w:r>
      <w:r>
        <w:rPr>
          <w:rFonts w:hint="eastAsia"/>
        </w:rPr>
        <w:t>规划背景与意义</w:t>
      </w:r>
      <w:bookmarkEnd w:id="1"/>
      <w:bookmarkEnd w:id="3"/>
    </w:p>
    <w:p>
      <w:pPr>
        <w:pStyle w:val="3"/>
      </w:pPr>
      <w:bookmarkStart w:id="4" w:name="_Toc213072464"/>
      <w:bookmarkStart w:id="5" w:name="_Toc209952482"/>
      <w:r>
        <w:rPr>
          <w:rFonts w:hint="eastAsia"/>
        </w:rPr>
        <w:t>一、规划背景</w:t>
      </w:r>
      <w:bookmarkEnd w:id="4"/>
      <w:bookmarkEnd w:id="5"/>
    </w:p>
    <w:p>
      <w:pPr>
        <w:pStyle w:val="5"/>
        <w:ind w:firstLine="643"/>
      </w:pPr>
      <w:bookmarkStart w:id="6" w:name="_Toc209952483"/>
      <w:bookmarkStart w:id="7" w:name="_Toc213072465"/>
      <w:r>
        <w:rPr>
          <w:rFonts w:hint="eastAsia"/>
        </w:rPr>
        <w:t>（一）国家高度重视森林防火工作</w:t>
      </w:r>
      <w:bookmarkEnd w:id="6"/>
      <w:bookmarkEnd w:id="7"/>
    </w:p>
    <w:p>
      <w:pPr>
        <w:ind w:firstLine="640"/>
        <w:rPr>
          <w:lang w:eastAsia="zh-CN"/>
        </w:rPr>
      </w:pPr>
      <w:r>
        <w:rPr>
          <w:rFonts w:hint="eastAsia"/>
          <w:lang w:eastAsia="zh-CN"/>
        </w:rPr>
        <w:t>党的十八大以来，以习近平同志为核心的党中央始终将生态文明建设置于治国理政的关键战略位置。中共中央、国务院接连出台《关于加快推进生态文明建设的意见》和《生态文明体制改革总体方案》，对生态文明建设展开了全面且系统的部署安排。党的十九大、二十大进一步强调，建设生态文明是中华民族永续发展的千年大计。尊重自然、顺应自然、保护自然，是全面建设社会主义现代化国家的内在要求。必须坚定不移地树立和践行绿水青山就是金山银山的理念，站在人与自然和谐共生的高度来规划发展。森林防火工作，作为森林资源保护与生态建设的关键环节，是生态文明建设的基础保障，是维护生态文明建设成果的重要支撑，也是国家防灾减灾体系和应急管理的重要组成部分，直接关系到人民群众的生命财产安全以及国土生态安全。</w:t>
      </w:r>
    </w:p>
    <w:p>
      <w:pPr>
        <w:ind w:firstLine="640"/>
        <w:rPr>
          <w:lang w:eastAsia="zh-CN"/>
        </w:rPr>
      </w:pPr>
      <w:r>
        <w:rPr>
          <w:rFonts w:hint="eastAsia"/>
          <w:lang w:eastAsia="zh-CN"/>
        </w:rPr>
        <w:t>国家在</w:t>
      </w:r>
      <w:bookmarkStart w:id="8" w:name="_Hlk212045151"/>
      <w:r>
        <w:rPr>
          <w:rFonts w:hint="eastAsia"/>
          <w:lang w:eastAsia="zh-CN"/>
        </w:rPr>
        <w:t>《中华人民共和国森林法》</w:t>
      </w:r>
      <w:bookmarkEnd w:id="8"/>
      <w:r>
        <w:rPr>
          <w:rFonts w:hint="eastAsia"/>
          <w:lang w:eastAsia="zh-CN"/>
        </w:rPr>
        <w:t>《森林防火条例》等法律法规的基础上，不断完善森林防火政策和制度体系，围绕森林防火出台了《关于全面加强新形势下森林草原防灭火工作的意见》，该文件是首个由党中央、国务院审定印发的关于森林草原防灭火工作的纲领性文件，对防火工作提出了基本遵循。国家林业局组织编制了《全国森林防火规划（2016―2025年）》，指导全国的森林防火工作，提出了今后一个时期森林防火发展总体思路、发展目标、建设重点和长效机制建设，为森林防火工作指明工作方向。</w:t>
      </w:r>
    </w:p>
    <w:p>
      <w:pPr>
        <w:pStyle w:val="5"/>
        <w:ind w:firstLine="643"/>
      </w:pPr>
      <w:bookmarkStart w:id="9" w:name="_Toc209952484"/>
      <w:bookmarkStart w:id="10" w:name="_Toc213072466"/>
      <w:r>
        <w:rPr>
          <w:rFonts w:hint="eastAsia"/>
        </w:rPr>
        <w:t>（二）北京市落实森林防火工作</w:t>
      </w:r>
      <w:bookmarkEnd w:id="9"/>
      <w:r>
        <w:rPr>
          <w:rFonts w:hint="eastAsia"/>
        </w:rPr>
        <w:t>要求</w:t>
      </w:r>
      <w:bookmarkEnd w:id="10"/>
    </w:p>
    <w:p>
      <w:pPr>
        <w:ind w:firstLine="640"/>
        <w:rPr>
          <w:lang w:eastAsia="zh-CN"/>
        </w:rPr>
      </w:pPr>
      <w:r>
        <w:rPr>
          <w:rFonts w:hint="eastAsia"/>
          <w:lang w:eastAsia="zh-CN"/>
        </w:rPr>
        <w:t>北京市市委、市政府深入贯彻落实党中央“推进生态文明建设”战略部署，聚焦首都城市战略定位，将森林防火工作深度融入国际一流和谐宜居之都建设和新时代园林绿化高质量发展全局，持续夯实首都绿色生态基底。压实法律责任，按照《中华人民共和国森林法》《森林防火条例》等法律法规推进森林防火工作，以《全国森林防火规划（</w:t>
      </w:r>
      <w:r>
        <w:rPr>
          <w:lang w:eastAsia="zh-CN"/>
        </w:rPr>
        <w:t>2016</w:t>
      </w:r>
      <w:r>
        <w:rPr>
          <w:rFonts w:hint="eastAsia"/>
          <w:lang w:eastAsia="zh-CN"/>
        </w:rPr>
        <w:t>—</w:t>
      </w:r>
      <w:r>
        <w:rPr>
          <w:lang w:eastAsia="zh-CN"/>
        </w:rPr>
        <w:t>2025</w:t>
      </w:r>
      <w:r>
        <w:rPr>
          <w:rFonts w:hint="eastAsia"/>
          <w:lang w:eastAsia="zh-CN"/>
        </w:rPr>
        <w:t>年）》及《关于全面加强新形势下森林草原防灭火工作的意见》为指导，系统构建制度保障体系，相继出台了《北京市森林防火办法》《北京市实施〈中华人民共和国森林法〉办法》等法规，制定了《关于全面加强首都新形势下森林防灭火工作的实施方案》《关于加强森林防火网格化管理的实施方案（试行）》《森林防火网格化管理实施细则》《森林消防综合应急救援基础能力建设规范》《北京市森林防火工作标准化建设方案》等，全面强化森林资源保护与森林火灾预防和早期处置能力。构建“市级统筹、区级落实、标准引领、预防为先”的全链条工作机制，坚决守牢火灾隐患萌芽防控底线。北京市园林绿化局印发《关于加快编制本地区森林防火有关规划计划的通知》，推动各区将森林防火规划编制纳入重点工作，为森林防火规划提供制度支撑。</w:t>
      </w:r>
    </w:p>
    <w:p>
      <w:pPr>
        <w:pStyle w:val="5"/>
        <w:ind w:firstLine="643"/>
      </w:pPr>
      <w:bookmarkStart w:id="11" w:name="_Toc209952485"/>
      <w:bookmarkStart w:id="12" w:name="_Toc213072467"/>
      <w:r>
        <w:rPr>
          <w:rFonts w:hint="eastAsia"/>
        </w:rPr>
        <w:t>（三）通州区</w:t>
      </w:r>
      <w:bookmarkEnd w:id="11"/>
      <w:r>
        <w:rPr>
          <w:rFonts w:hint="eastAsia"/>
        </w:rPr>
        <w:t>城市副中心生态安全与韧性城市建设</w:t>
      </w:r>
      <w:bookmarkEnd w:id="12"/>
    </w:p>
    <w:p>
      <w:pPr>
        <w:kinsoku/>
        <w:ind w:firstLine="640"/>
        <w:rPr>
          <w:lang w:eastAsia="zh-CN"/>
        </w:rPr>
      </w:pPr>
      <w:r>
        <w:rPr>
          <w:rFonts w:hint="eastAsia"/>
          <w:lang w:eastAsia="zh-CN"/>
        </w:rPr>
        <w:t>通州区作为北京城市副中心，其区域生态环境的健康与安全是保障首都功能核心区稳定的重要组成部分。森林防火工作在通州区具有独特的战略定位，它不仅是维护自然资源安全的基础性工作，更是推动副中心高质量发展、巩固生态文明建设成果的关键环节。近年来，通州区森林生态系统建设成果显著，森林资源快速增长，森林总面积不断增加，导致区域可燃物负荷同步增加。同时，城市副中心的人口和基础设施密度高，林地与居民区、交通设施的交界面复杂。因此，森林火灾风险并非单纯的资源损失，而是高暴露度下对人民生命财产安全和城市运行韧性的巨大威胁。森林防火规划应立足高度人为化和界面化的风险特征，保障区域生态安全。</w:t>
      </w:r>
    </w:p>
    <w:p>
      <w:pPr>
        <w:pStyle w:val="3"/>
      </w:pPr>
      <w:bookmarkStart w:id="13" w:name="_Toc213072468"/>
      <w:bookmarkStart w:id="14" w:name="_Toc209952486"/>
      <w:r>
        <w:rPr>
          <w:rFonts w:hint="eastAsia"/>
        </w:rPr>
        <w:t>二、规划意义</w:t>
      </w:r>
      <w:bookmarkEnd w:id="13"/>
      <w:bookmarkEnd w:id="14"/>
    </w:p>
    <w:p>
      <w:pPr>
        <w:ind w:firstLine="640"/>
        <w:rPr>
          <w:lang w:eastAsia="zh-CN"/>
        </w:rPr>
      </w:pPr>
      <w:r>
        <w:rPr>
          <w:rFonts w:hint="eastAsia"/>
          <w:lang w:eastAsia="zh-CN"/>
        </w:rPr>
        <w:t>通州区地处首都东南部，是京津冀协同发展的重要节点，承担着首都生态屏障和城市副中心核心功能区的双重使命。本规划的实施，不仅是对国家生态文明建设战略的积极响应，更是立足通州区“一城一带一轴、四区三镇多点”空间格局，通过构建现代化森林防火体系，切实保障区域生态安全与可持续发展。其核心意义主要体现在以下四个层面。</w:t>
      </w:r>
    </w:p>
    <w:p>
      <w:pPr>
        <w:pStyle w:val="5"/>
        <w:ind w:firstLine="643"/>
      </w:pPr>
      <w:bookmarkStart w:id="15" w:name="_Toc209952487"/>
      <w:bookmarkStart w:id="16" w:name="_Toc213072469"/>
      <w:r>
        <w:rPr>
          <w:rFonts w:hint="eastAsia"/>
        </w:rPr>
        <w:t>（一）是落实法律法规，夯实依法治火根基的重要</w:t>
      </w:r>
      <w:bookmarkEnd w:id="15"/>
      <w:r>
        <w:rPr>
          <w:rFonts w:hint="eastAsia"/>
        </w:rPr>
        <w:t>实践</w:t>
      </w:r>
      <w:bookmarkEnd w:id="16"/>
    </w:p>
    <w:p>
      <w:pPr>
        <w:ind w:firstLine="640"/>
        <w:rPr>
          <w:lang w:eastAsia="zh-CN"/>
        </w:rPr>
      </w:pPr>
      <w:r>
        <w:rPr>
          <w:rFonts w:hint="eastAsia"/>
          <w:lang w:eastAsia="zh-CN"/>
        </w:rPr>
        <w:t>本规划严格遵循《中华人民共和国森林法》《森林防火条例》及《北京市森林防火条例》等法律法规要求，针对通州区作为首都功能重要承载区的特殊性，系统强化防火责任体系与执法监督机制。规划通过强化法律宣传，细化火源管控、预警响应和早期处置等环节的具体措施，推动防火工作从被动应对向主动防控转变。在北京城市副中心建设快速推进的背景下，有效解决人口密集区与林地交错区域的管控难点，为首都生态安全提供坚实的法治保障，彰显首都法治建设的示范引领作用。</w:t>
      </w:r>
    </w:p>
    <w:p>
      <w:pPr>
        <w:pStyle w:val="5"/>
        <w:ind w:firstLine="643"/>
      </w:pPr>
      <w:bookmarkStart w:id="17" w:name="_Toc209952488"/>
      <w:bookmarkStart w:id="18" w:name="_Toc213072470"/>
      <w:r>
        <w:rPr>
          <w:rFonts w:hint="eastAsia"/>
        </w:rPr>
        <w:t>（二）是保护森林资源，筑牢生态安全屏障的重要</w:t>
      </w:r>
      <w:bookmarkEnd w:id="17"/>
      <w:r>
        <w:rPr>
          <w:rFonts w:hint="eastAsia"/>
        </w:rPr>
        <w:t>依据</w:t>
      </w:r>
      <w:bookmarkEnd w:id="18"/>
    </w:p>
    <w:p>
      <w:pPr>
        <w:ind w:firstLine="640"/>
        <w:rPr>
          <w:lang w:eastAsia="zh-CN"/>
        </w:rPr>
      </w:pPr>
      <w:r>
        <w:rPr>
          <w:rFonts w:hint="eastAsia"/>
          <w:lang w:eastAsia="zh-CN"/>
        </w:rPr>
        <w:t>通州区拥有丰富的森林资源，涵盖城市森林公园、潮白河生态带及大运河文化带等关键生态节点，承担着水源涵养、生物多样性保护和碳汇固碳等核心功能。本规划立足区域林情特点，通过实施重点林区网格化管理、高风险区域智能监测和火灾隐患动态清零等措施，最大限度降低火灾对森林资源的破坏风险。尤其针对重点区域和生态敏感区，强化早期预警与早期处置能力，避免因火灾导致林木损毁、水土流失及物种栖息地退化等问题，切实维护区域生态系统的稳定性与完整性，为首都东部生态屏障提供长效保护。</w:t>
      </w:r>
      <w:bookmarkStart w:id="19" w:name="_Toc209952489"/>
    </w:p>
    <w:p>
      <w:pPr>
        <w:pStyle w:val="5"/>
        <w:ind w:firstLine="643"/>
      </w:pPr>
      <w:bookmarkStart w:id="20" w:name="_Toc213072471"/>
      <w:r>
        <w:rPr>
          <w:rFonts w:hint="eastAsia"/>
        </w:rPr>
        <w:t>（三）是推进花园城市建设，提升城市生态品质重要举措</w:t>
      </w:r>
      <w:bookmarkEnd w:id="19"/>
      <w:bookmarkEnd w:id="20"/>
    </w:p>
    <w:p>
      <w:pPr>
        <w:ind w:firstLine="640"/>
        <w:rPr>
          <w:lang w:eastAsia="zh-CN"/>
        </w:rPr>
      </w:pPr>
      <w:r>
        <w:rPr>
          <w:rFonts w:hint="eastAsia"/>
          <w:lang w:eastAsia="zh-CN"/>
        </w:rPr>
        <w:t>本规划深度融入通州区“国家绿色发展示范区”建设目标，将森林防火作为园林绿化高质量发展的基础性保障。通州区正处于“公园城市”建设关键期，城市绿化覆盖率显著提高，但绿化空间扩展与防火安全存在潜在冲突。规划通过优化防火设施与绿化工程的协同布局，推动防火能力与绿化品质双提升。为副中心宜居环境营造提供保障，助力打造出门见绿、推窗见景的生态典范，推动园林绿化从“量的扩张”向“质的跃升”迈进。</w:t>
      </w:r>
    </w:p>
    <w:p>
      <w:pPr>
        <w:pStyle w:val="5"/>
        <w:ind w:firstLine="643"/>
      </w:pPr>
      <w:bookmarkStart w:id="21" w:name="_Toc209952490"/>
      <w:bookmarkStart w:id="22" w:name="_Toc213072472"/>
      <w:r>
        <w:rPr>
          <w:rFonts w:hint="eastAsia"/>
        </w:rPr>
        <w:t>（四）是促进生态与经济协调，实现可持续发展的重要保障</w:t>
      </w:r>
      <w:bookmarkEnd w:id="21"/>
      <w:bookmarkEnd w:id="22"/>
    </w:p>
    <w:p>
      <w:pPr>
        <w:ind w:firstLine="640"/>
        <w:rPr>
          <w:lang w:eastAsia="zh-CN"/>
        </w:rPr>
      </w:pPr>
      <w:r>
        <w:rPr>
          <w:rFonts w:hint="eastAsia"/>
          <w:lang w:eastAsia="zh-CN"/>
        </w:rPr>
        <w:t>本规划立足通州区“生态优先、绿色发展”路径，通过系统性防火管理，有效平衡生态保护与经济发展需求。一方面，减少火灾损失可直接保障生态服务功能，维护大运河文化带、宋庄艺术小镇等区域的生态旅游基础；另一方面，规划推动防火科技与绿色产业融合，将防火投入转化为生态红利。在城市副中心产业转型背景下，此举不仅规避了因火灾引发的生态退化对高端产业布局的制约，更促进形成防火保生态、生态促经济的良性循环，实现生态保护、经济增长与民生改善的有机统一，为京津冀区域可持续发展提供可复制的“通州样板”。</w:t>
      </w:r>
    </w:p>
    <w:p>
      <w:pPr>
        <w:kinsoku/>
        <w:autoSpaceDE/>
        <w:autoSpaceDN/>
        <w:adjustRightInd/>
        <w:snapToGrid/>
        <w:spacing w:before="0" w:after="0" w:line="240" w:lineRule="auto"/>
        <w:ind w:firstLine="0" w:firstLineChars="0"/>
        <w:jc w:val="left"/>
        <w:textAlignment w:val="auto"/>
        <w:rPr>
          <w:lang w:eastAsia="zh-CN"/>
        </w:rPr>
      </w:pPr>
      <w:r>
        <w:rPr>
          <w:lang w:eastAsia="zh-CN"/>
        </w:rPr>
        <w:br w:type="page"/>
      </w:r>
    </w:p>
    <w:p>
      <w:pPr>
        <w:pStyle w:val="2"/>
        <w:rPr>
          <w:rFonts w:hint="eastAsia"/>
        </w:rPr>
      </w:pPr>
      <w:bookmarkStart w:id="23" w:name="_Toc209952491"/>
      <w:bookmarkStart w:id="24" w:name="_Toc213072473"/>
      <w:r>
        <w:rPr>
          <w:rFonts w:hint="eastAsia"/>
        </w:rPr>
        <w:t>第二章</w:t>
      </w:r>
      <w:r>
        <w:t xml:space="preserve">  </w:t>
      </w:r>
      <w:r>
        <w:rPr>
          <w:rFonts w:hint="eastAsia"/>
        </w:rPr>
        <w:t>基础条件分析</w:t>
      </w:r>
      <w:bookmarkEnd w:id="23"/>
      <w:bookmarkEnd w:id="24"/>
    </w:p>
    <w:p>
      <w:pPr>
        <w:pStyle w:val="3"/>
      </w:pPr>
      <w:bookmarkStart w:id="25" w:name="_Toc209952492"/>
      <w:bookmarkStart w:id="26" w:name="_Toc213072474"/>
      <w:r>
        <w:rPr>
          <w:rFonts w:hint="eastAsia"/>
        </w:rPr>
        <w:t>一、</w:t>
      </w:r>
      <w:bookmarkEnd w:id="25"/>
      <w:r>
        <w:rPr>
          <w:rFonts w:hint="eastAsia"/>
        </w:rPr>
        <w:t>自然地理条件</w:t>
      </w:r>
      <w:bookmarkEnd w:id="26"/>
    </w:p>
    <w:p>
      <w:pPr>
        <w:pStyle w:val="5"/>
        <w:ind w:firstLine="643"/>
      </w:pPr>
      <w:bookmarkStart w:id="27" w:name="_Toc213072475"/>
      <w:bookmarkStart w:id="28" w:name="_Toc209952493"/>
      <w:r>
        <w:rPr>
          <w:rFonts w:hint="eastAsia"/>
        </w:rPr>
        <w:t>（一）地理位置</w:t>
      </w:r>
      <w:bookmarkEnd w:id="27"/>
      <w:bookmarkEnd w:id="28"/>
    </w:p>
    <w:p>
      <w:pPr>
        <w:ind w:firstLine="640"/>
        <w:rPr>
          <w:lang w:eastAsia="zh-CN"/>
        </w:rPr>
      </w:pPr>
      <w:r>
        <w:rPr>
          <w:rFonts w:hint="eastAsia"/>
          <w:lang w:eastAsia="zh-CN"/>
        </w:rPr>
        <w:t>通州区位于北京市东南部，京杭大运河北端。区域地理坐标北纬</w:t>
      </w:r>
      <w:r>
        <w:rPr>
          <w:lang w:eastAsia="zh-CN"/>
        </w:rPr>
        <w:t>39</w:t>
      </w:r>
      <w:r>
        <w:rPr>
          <w:rFonts w:hint="eastAsia"/>
          <w:lang w:eastAsia="zh-CN"/>
        </w:rPr>
        <w:t>°</w:t>
      </w:r>
      <w:r>
        <w:rPr>
          <w:lang w:eastAsia="zh-CN"/>
        </w:rPr>
        <w:t>36</w:t>
      </w:r>
      <w:r>
        <w:rPr>
          <w:rFonts w:hint="eastAsia"/>
          <w:lang w:eastAsia="zh-CN"/>
        </w:rPr>
        <w:t>′</w:t>
      </w:r>
      <w:r>
        <w:rPr>
          <w:lang w:eastAsia="zh-CN"/>
        </w:rPr>
        <w:t>~40</w:t>
      </w:r>
      <w:r>
        <w:rPr>
          <w:rFonts w:hint="eastAsia"/>
          <w:lang w:eastAsia="zh-CN"/>
        </w:rPr>
        <w:t>°</w:t>
      </w:r>
      <w:r>
        <w:rPr>
          <w:lang w:eastAsia="zh-CN"/>
        </w:rPr>
        <w:t>02</w:t>
      </w:r>
      <w:r>
        <w:rPr>
          <w:rFonts w:hint="eastAsia"/>
          <w:lang w:eastAsia="zh-CN"/>
        </w:rPr>
        <w:t>′，东经</w:t>
      </w:r>
      <w:r>
        <w:rPr>
          <w:lang w:eastAsia="zh-CN"/>
        </w:rPr>
        <w:t>116</w:t>
      </w:r>
      <w:r>
        <w:rPr>
          <w:rFonts w:hint="eastAsia"/>
          <w:lang w:eastAsia="zh-CN"/>
        </w:rPr>
        <w:t>°</w:t>
      </w:r>
      <w:r>
        <w:rPr>
          <w:lang w:eastAsia="zh-CN"/>
        </w:rPr>
        <w:t>32</w:t>
      </w:r>
      <w:r>
        <w:rPr>
          <w:rFonts w:hint="eastAsia"/>
          <w:lang w:eastAsia="zh-CN"/>
        </w:rPr>
        <w:t>′</w:t>
      </w:r>
      <w:r>
        <w:rPr>
          <w:lang w:eastAsia="zh-CN"/>
        </w:rPr>
        <w:t>~116</w:t>
      </w:r>
      <w:r>
        <w:rPr>
          <w:rFonts w:hint="eastAsia"/>
          <w:lang w:eastAsia="zh-CN"/>
        </w:rPr>
        <w:t>°</w:t>
      </w:r>
      <w:r>
        <w:rPr>
          <w:lang w:eastAsia="zh-CN"/>
        </w:rPr>
        <w:t>56</w:t>
      </w:r>
      <w:r>
        <w:rPr>
          <w:rFonts w:hint="eastAsia"/>
          <w:lang w:eastAsia="zh-CN"/>
        </w:rPr>
        <w:t>′，东西宽</w:t>
      </w:r>
      <w:r>
        <w:rPr>
          <w:lang w:eastAsia="zh-CN"/>
        </w:rPr>
        <w:t>36.5</w:t>
      </w:r>
      <w:r>
        <w:rPr>
          <w:rFonts w:hint="eastAsia"/>
          <w:lang w:eastAsia="zh-CN"/>
        </w:rPr>
        <w:t>公里，南北长</w:t>
      </w:r>
      <w:r>
        <w:rPr>
          <w:lang w:eastAsia="zh-CN"/>
        </w:rPr>
        <w:t>48</w:t>
      </w:r>
      <w:r>
        <w:rPr>
          <w:rFonts w:hint="eastAsia"/>
          <w:lang w:eastAsia="zh-CN"/>
        </w:rPr>
        <w:t>公里，面积</w:t>
      </w:r>
      <w:r>
        <w:rPr>
          <w:lang w:eastAsia="zh-CN"/>
        </w:rPr>
        <w:t>905.95</w:t>
      </w:r>
      <w:r>
        <w:rPr>
          <w:rFonts w:hint="eastAsia"/>
          <w:lang w:eastAsia="zh-CN"/>
        </w:rPr>
        <w:t>平方公里。西临朝阳、大兴，北与顺义接壤，东隔潮白河，与河北三河、大厂回族自治县、香河相连，南和天津武清、河北廊坊交界。紧邻北京中央商务区（</w:t>
      </w:r>
      <w:r>
        <w:rPr>
          <w:lang w:eastAsia="zh-CN"/>
        </w:rPr>
        <w:t>CBD</w:t>
      </w:r>
      <w:r>
        <w:rPr>
          <w:rFonts w:hint="eastAsia"/>
          <w:lang w:eastAsia="zh-CN"/>
        </w:rPr>
        <w:t>），西距国贸中心</w:t>
      </w:r>
      <w:r>
        <w:rPr>
          <w:lang w:eastAsia="zh-CN"/>
        </w:rPr>
        <w:t>13</w:t>
      </w:r>
      <w:r>
        <w:rPr>
          <w:rFonts w:hint="eastAsia"/>
          <w:lang w:eastAsia="zh-CN"/>
        </w:rPr>
        <w:t>公里，北距首都机场</w:t>
      </w:r>
      <w:r>
        <w:rPr>
          <w:lang w:eastAsia="zh-CN"/>
        </w:rPr>
        <w:t>16</w:t>
      </w:r>
      <w:r>
        <w:rPr>
          <w:rFonts w:hint="eastAsia"/>
          <w:lang w:eastAsia="zh-CN"/>
        </w:rPr>
        <w:t>公里，东距塘沽港</w:t>
      </w:r>
      <w:r>
        <w:rPr>
          <w:lang w:eastAsia="zh-CN"/>
        </w:rPr>
        <w:t>100</w:t>
      </w:r>
      <w:r>
        <w:rPr>
          <w:rFonts w:hint="eastAsia"/>
          <w:lang w:eastAsia="zh-CN"/>
        </w:rPr>
        <w:t>公里，素有“一京二卫三通州”之称。</w:t>
      </w:r>
    </w:p>
    <w:p>
      <w:pPr>
        <w:spacing w:before="0" w:after="0" w:line="240" w:lineRule="atLeast"/>
        <w:ind w:firstLine="0" w:firstLineChars="0"/>
        <w:jc w:val="center"/>
        <w:rPr>
          <w:lang w:eastAsia="zh-CN"/>
        </w:rPr>
      </w:pPr>
      <w:r>
        <mc:AlternateContent>
          <mc:Choice Requires="wps">
            <w:drawing>
              <wp:anchor distT="0" distB="0" distL="114300" distR="114300" simplePos="0" relativeHeight="251659264" behindDoc="0" locked="0" layoutInCell="1" allowOverlap="1">
                <wp:simplePos x="0" y="0"/>
                <wp:positionH relativeFrom="column">
                  <wp:posOffset>3126740</wp:posOffset>
                </wp:positionH>
                <wp:positionV relativeFrom="paragraph">
                  <wp:posOffset>2230120</wp:posOffset>
                </wp:positionV>
                <wp:extent cx="81280" cy="76200"/>
                <wp:effectExtent l="0" t="0" r="10160" b="0"/>
                <wp:wrapNone/>
                <wp:docPr id="2" name="椭圆 2"/>
                <wp:cNvGraphicFramePr/>
                <a:graphic xmlns:a="http://schemas.openxmlformats.org/drawingml/2006/main">
                  <a:graphicData uri="http://schemas.microsoft.com/office/word/2010/wordprocessingShape">
                    <wps:wsp>
                      <wps:cNvSpPr/>
                      <wps:spPr>
                        <a:xfrm flipH="true">
                          <a:off x="3949065" y="7677150"/>
                          <a:ext cx="81280" cy="76200"/>
                        </a:xfrm>
                        <a:prstGeom prst="ellipse">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3" type="#_x0000_t3" style="position:absolute;left:0pt;flip:x;margin-left:246.2pt;margin-top:175.6pt;height:6pt;width:6.4pt;z-index:251659264;v-text-anchor:middle;mso-width-relative:page;mso-height-relative:page;" fillcolor="#FF0000" filled="t" stroked="f" coordsize="21600,21600" o:gfxdata="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rNjWFdgAAAALAQAADwAAAAAAAAABACAAAAA4&#10;AAAAZHJzL2Rvd25yZXYueG1sUEsBAhQAFAAAAAgAh07iQDJQAg9mAgAApQQAAA4AAAAAAAAAAQAg&#10;AAAAPQEAAGRycy9lMm9Eb2MueG1sUEsFBgAAAAAGAAYAWQEAABUGAAAAAA==&#10;">
                <v:fill on="t" focussize="0,0"/>
                <v:stroke on="f" weight="1pt" miterlimit="8" joinstyle="miter"/>
                <v:imagedata o:title=""/>
                <o:lock v:ext="edit" aspectratio="f"/>
              </v:shape>
            </w:pict>
          </mc:Fallback>
        </mc:AlternateContent>
      </w:r>
      <w:r>
        <w:rPr>
          <w:snapToGrid/>
        </w:rPr>
        <w:drawing>
          <wp:inline distT="0" distB="0" distL="0" distR="0">
            <wp:extent cx="3950335" cy="3378200"/>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3971224" cy="3396090"/>
                    </a:xfrm>
                    <a:prstGeom prst="rect">
                      <a:avLst/>
                    </a:prstGeom>
                  </pic:spPr>
                </pic:pic>
              </a:graphicData>
            </a:graphic>
          </wp:inline>
        </w:drawing>
      </w:r>
    </w:p>
    <w:p>
      <w:pPr>
        <w:spacing w:before="0" w:after="0" w:line="240" w:lineRule="atLeast"/>
        <w:ind w:firstLine="0" w:firstLineChars="0"/>
        <w:jc w:val="center"/>
        <w:rPr>
          <w:rFonts w:eastAsia="黑体"/>
          <w:sz w:val="24"/>
          <w:szCs w:val="18"/>
          <w:lang w:eastAsia="zh-CN"/>
        </w:rPr>
      </w:pPr>
      <w:r>
        <w:rPr>
          <w:rFonts w:hint="eastAsia" w:eastAsia="黑体"/>
          <w:sz w:val="24"/>
          <w:szCs w:val="18"/>
          <w:lang w:eastAsia="zh-CN"/>
        </w:rPr>
        <w:t>图</w:t>
      </w:r>
      <w:r>
        <w:rPr>
          <w:rFonts w:eastAsia="黑体"/>
          <w:sz w:val="24"/>
          <w:szCs w:val="18"/>
          <w:lang w:eastAsia="zh-CN"/>
        </w:rPr>
        <w:t xml:space="preserve">2-1 </w:t>
      </w:r>
      <w:r>
        <w:rPr>
          <w:rFonts w:hint="eastAsia" w:eastAsia="黑体"/>
          <w:sz w:val="24"/>
          <w:szCs w:val="18"/>
          <w:lang w:eastAsia="zh-CN"/>
        </w:rPr>
        <w:t>通州区位置图</w:t>
      </w:r>
    </w:p>
    <w:p>
      <w:pPr>
        <w:pStyle w:val="5"/>
        <w:ind w:firstLine="643"/>
      </w:pPr>
      <w:bookmarkStart w:id="29" w:name="_Toc209952494"/>
      <w:bookmarkStart w:id="30" w:name="_Toc213072476"/>
      <w:r>
        <w:rPr>
          <w:rFonts w:hint="eastAsia"/>
        </w:rPr>
        <w:t>（二）地形地貌</w:t>
      </w:r>
      <w:bookmarkEnd w:id="29"/>
      <w:bookmarkEnd w:id="30"/>
    </w:p>
    <w:p>
      <w:pPr>
        <w:ind w:firstLine="640"/>
        <w:rPr>
          <w:lang w:eastAsia="zh-CN"/>
        </w:rPr>
      </w:pPr>
      <w:r>
        <w:rPr>
          <w:rFonts w:hint="eastAsia"/>
          <w:lang w:eastAsia="zh-CN"/>
        </w:rPr>
        <w:t>通州区地处永定河、潮白河冲积洪积平原，地势平坦，自西北向东南倾斜，海拔最高点</w:t>
      </w:r>
      <w:r>
        <w:rPr>
          <w:lang w:eastAsia="zh-CN"/>
        </w:rPr>
        <w:t>27.6</w:t>
      </w:r>
      <w:r>
        <w:rPr>
          <w:rFonts w:hint="eastAsia"/>
          <w:lang w:eastAsia="zh-CN"/>
        </w:rPr>
        <w:t>米，最低点仅</w:t>
      </w:r>
      <w:r>
        <w:rPr>
          <w:lang w:eastAsia="zh-CN"/>
        </w:rPr>
        <w:t>8.2</w:t>
      </w:r>
      <w:r>
        <w:rPr>
          <w:rFonts w:hint="eastAsia"/>
          <w:lang w:eastAsia="zh-CN"/>
        </w:rPr>
        <w:t>米。通州区域内有少量缓岗和沙丘。</w:t>
      </w:r>
    </w:p>
    <w:p>
      <w:pPr>
        <w:pStyle w:val="5"/>
        <w:ind w:firstLine="643"/>
      </w:pPr>
      <w:bookmarkStart w:id="31" w:name="_Toc213072477"/>
      <w:bookmarkStart w:id="32" w:name="_Toc209952495"/>
      <w:r>
        <w:rPr>
          <w:rFonts w:hint="eastAsia"/>
        </w:rPr>
        <w:t>（三）气候条件</w:t>
      </w:r>
      <w:bookmarkEnd w:id="31"/>
      <w:bookmarkEnd w:id="32"/>
    </w:p>
    <w:p>
      <w:pPr>
        <w:ind w:firstLine="640"/>
        <w:rPr>
          <w:lang w:eastAsia="zh-CN"/>
        </w:rPr>
      </w:pPr>
      <w:r>
        <w:rPr>
          <w:rFonts w:hint="eastAsia"/>
          <w:lang w:eastAsia="zh-CN"/>
        </w:rPr>
        <w:t>通州区属于暖温带半湿润大陆性季风气候。四季分明，受冬、夏季风影响，形成春季干旱多风，夏季炎热多雨，秋季天高气爽，冬季寒冷干燥的气候特征。年平均气温约</w:t>
      </w:r>
      <w:r>
        <w:rPr>
          <w:lang w:eastAsia="zh-CN"/>
        </w:rPr>
        <w:t>11~12</w:t>
      </w:r>
      <w:r>
        <w:rPr>
          <w:rFonts w:hint="eastAsia"/>
          <w:lang w:eastAsia="zh-CN"/>
        </w:rPr>
        <w:t>℃。年平均降水量在</w:t>
      </w:r>
      <w:r>
        <w:rPr>
          <w:lang w:eastAsia="zh-CN"/>
        </w:rPr>
        <w:t>600</w:t>
      </w:r>
      <w:r>
        <w:rPr>
          <w:rFonts w:hint="eastAsia"/>
          <w:lang w:eastAsia="zh-CN"/>
        </w:rPr>
        <w:t>毫米左右，降水主要集中在夏季，夏季降水量约占全年降水量的</w:t>
      </w:r>
      <w:r>
        <w:rPr>
          <w:lang w:eastAsia="zh-CN"/>
        </w:rPr>
        <w:t>70%</w:t>
      </w:r>
      <w:r>
        <w:rPr>
          <w:rFonts w:hint="eastAsia"/>
          <w:lang w:eastAsia="zh-CN"/>
        </w:rPr>
        <w:t>～</w:t>
      </w:r>
      <w:r>
        <w:rPr>
          <w:lang w:eastAsia="zh-CN"/>
        </w:rPr>
        <w:t>80%</w:t>
      </w:r>
      <w:r>
        <w:rPr>
          <w:rFonts w:hint="eastAsia"/>
          <w:lang w:eastAsia="zh-CN"/>
        </w:rPr>
        <w:t>。</w:t>
      </w:r>
    </w:p>
    <w:p>
      <w:pPr>
        <w:spacing w:before="0" w:after="0" w:line="240" w:lineRule="auto"/>
        <w:ind w:firstLine="0" w:firstLineChars="0"/>
        <w:jc w:val="center"/>
        <w:rPr>
          <w:snapToGrid/>
        </w:rPr>
      </w:pPr>
      <w:r>
        <w:rPr>
          <w:snapToGrid/>
        </w:rPr>
        <w:drawing>
          <wp:inline distT="0" distB="0" distL="0" distR="0">
            <wp:extent cx="5615940" cy="2080260"/>
            <wp:effectExtent l="19050" t="19050" r="22860" b="15240"/>
            <wp:docPr id="192493943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24939438" name="图片 8"/>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5615940" cy="2080260"/>
                    </a:xfrm>
                    <a:prstGeom prst="rect">
                      <a:avLst/>
                    </a:prstGeom>
                    <a:noFill/>
                    <a:ln>
                      <a:solidFill>
                        <a:schemeClr val="tx1"/>
                      </a:solidFill>
                    </a:ln>
                  </pic:spPr>
                </pic:pic>
              </a:graphicData>
            </a:graphic>
          </wp:inline>
        </w:drawing>
      </w:r>
    </w:p>
    <w:p>
      <w:pPr>
        <w:spacing w:before="0" w:after="0" w:line="240" w:lineRule="atLeast"/>
        <w:ind w:firstLine="0" w:firstLineChars="0"/>
        <w:jc w:val="center"/>
        <w:rPr>
          <w:b/>
          <w:bCs/>
          <w:snapToGrid/>
          <w:sz w:val="28"/>
          <w:szCs w:val="20"/>
          <w:lang w:eastAsia="zh-CN"/>
        </w:rPr>
      </w:pPr>
      <w:r>
        <w:rPr>
          <w:rFonts w:hint="eastAsia"/>
          <w:b/>
          <w:bCs/>
          <w:snapToGrid/>
          <w:sz w:val="28"/>
          <w:szCs w:val="20"/>
          <w:lang w:eastAsia="zh-CN"/>
        </w:rPr>
        <w:t>图2-2 通州区近10年降水统计</w:t>
      </w:r>
    </w:p>
    <w:p>
      <w:pPr>
        <w:spacing w:before="0" w:after="0" w:line="240" w:lineRule="atLeast"/>
        <w:ind w:firstLine="0" w:firstLineChars="0"/>
        <w:jc w:val="center"/>
        <w:rPr>
          <w:b/>
          <w:bCs/>
          <w:snapToGrid/>
          <w:sz w:val="28"/>
          <w:szCs w:val="20"/>
          <w:lang w:eastAsia="zh-CN"/>
        </w:rPr>
      </w:pPr>
      <w:r>
        <w:rPr>
          <w:b/>
          <w:bCs/>
          <w:snapToGrid/>
          <w:sz w:val="28"/>
          <w:szCs w:val="20"/>
          <w:lang w:eastAsia="zh-CN"/>
        </w:rPr>
        <w:drawing>
          <wp:inline distT="0" distB="0" distL="0" distR="0">
            <wp:extent cx="5615940" cy="1935480"/>
            <wp:effectExtent l="19050" t="19050" r="22860" b="26670"/>
            <wp:docPr id="40360755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3607558" name="图片 7"/>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5615940" cy="1935480"/>
                    </a:xfrm>
                    <a:prstGeom prst="rect">
                      <a:avLst/>
                    </a:prstGeom>
                    <a:noFill/>
                    <a:ln>
                      <a:solidFill>
                        <a:schemeClr val="tx1"/>
                      </a:solidFill>
                    </a:ln>
                  </pic:spPr>
                </pic:pic>
              </a:graphicData>
            </a:graphic>
          </wp:inline>
        </w:drawing>
      </w:r>
    </w:p>
    <w:p>
      <w:pPr>
        <w:spacing w:before="0" w:after="0" w:line="240" w:lineRule="atLeast"/>
        <w:ind w:firstLine="0" w:firstLineChars="0"/>
        <w:jc w:val="center"/>
        <w:rPr>
          <w:b/>
          <w:bCs/>
          <w:snapToGrid/>
          <w:sz w:val="28"/>
          <w:szCs w:val="20"/>
          <w:lang w:eastAsia="zh-CN"/>
        </w:rPr>
      </w:pPr>
      <w:r>
        <w:rPr>
          <w:rFonts w:hint="eastAsia"/>
          <w:b/>
          <w:bCs/>
          <w:snapToGrid/>
          <w:sz w:val="28"/>
          <w:szCs w:val="20"/>
          <w:lang w:eastAsia="zh-CN"/>
        </w:rPr>
        <w:t>图2-3 通州区近10年相对湿度统计</w:t>
      </w:r>
    </w:p>
    <w:p>
      <w:pPr>
        <w:pStyle w:val="5"/>
        <w:ind w:firstLine="643"/>
      </w:pPr>
      <w:bookmarkStart w:id="33" w:name="_Toc209952496"/>
      <w:bookmarkStart w:id="34" w:name="_Toc213072478"/>
      <w:r>
        <w:rPr>
          <w:rFonts w:hint="eastAsia"/>
        </w:rPr>
        <w:t>（四）河流水文</w:t>
      </w:r>
      <w:bookmarkEnd w:id="33"/>
      <w:bookmarkEnd w:id="34"/>
    </w:p>
    <w:p>
      <w:pPr>
        <w:ind w:firstLine="640"/>
        <w:rPr>
          <w:lang w:eastAsia="zh-CN"/>
        </w:rPr>
      </w:pPr>
      <w:bookmarkStart w:id="35" w:name="OLE_LINK20"/>
      <w:r>
        <w:rPr>
          <w:rFonts w:hint="eastAsia"/>
          <w:lang w:eastAsia="zh-CN"/>
        </w:rPr>
        <w:t>通州区地处华北平原北端，地势平坦、西北向东南微倾，是北运河水系下游核心汇流区，素有“九河下梢”之称。区内河网纵横，水系发达，构成了以北运河为主干，潮白河、凉水河为两翼，</w:t>
      </w:r>
      <w:bookmarkStart w:id="36" w:name="OLE_LINK19"/>
      <w:r>
        <w:rPr>
          <w:rFonts w:hint="eastAsia"/>
          <w:lang w:eastAsia="zh-CN"/>
        </w:rPr>
        <w:t>凤港减河</w:t>
      </w:r>
      <w:bookmarkEnd w:id="36"/>
      <w:r>
        <w:rPr>
          <w:rFonts w:hint="eastAsia"/>
          <w:lang w:eastAsia="zh-CN"/>
        </w:rPr>
        <w:t>、萧太后河、玉带河、港沟河等支流为脉络的“一主两副、多支联动”水系格局，承担着防洪排涝、生态调蓄与水资源保障等重要功能。作为季节性河流区，径流年内分布不均，汛期集中、枯水期部分支流易断流，但近年来通过生态治理与补水工程，主要河道生态基流趋于稳定，水环境质量持续改善，为城市副中心“蓝绿交织、水城共融”的生态格局与韧性安全体系提供了坚实支撑。</w:t>
      </w:r>
      <w:bookmarkEnd w:id="35"/>
    </w:p>
    <w:p>
      <w:pPr>
        <w:spacing w:line="240" w:lineRule="auto"/>
        <w:ind w:firstLine="0" w:firstLineChars="0"/>
        <w:jc w:val="center"/>
        <w:rPr>
          <w:lang w:eastAsia="zh-CN"/>
        </w:rPr>
      </w:pPr>
      <w:r>
        <w:rPr>
          <w:lang w:eastAsia="zh-CN"/>
        </w:rPr>
        <w:drawing>
          <wp:inline distT="0" distB="0" distL="0" distR="0">
            <wp:extent cx="5185410" cy="7326630"/>
            <wp:effectExtent l="0" t="0" r="0" b="7620"/>
            <wp:docPr id="24892041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8920418" name="图片 9"/>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5194675" cy="7339742"/>
                    </a:xfrm>
                    <a:prstGeom prst="rect">
                      <a:avLst/>
                    </a:prstGeom>
                    <a:noFill/>
                    <a:ln>
                      <a:noFill/>
                    </a:ln>
                  </pic:spPr>
                </pic:pic>
              </a:graphicData>
            </a:graphic>
          </wp:inline>
        </w:drawing>
      </w:r>
    </w:p>
    <w:p>
      <w:pPr>
        <w:spacing w:line="240" w:lineRule="auto"/>
        <w:ind w:firstLine="0" w:firstLineChars="0"/>
        <w:jc w:val="center"/>
        <w:rPr>
          <w:b/>
          <w:bCs/>
          <w:sz w:val="28"/>
          <w:szCs w:val="20"/>
          <w:lang w:eastAsia="zh-CN"/>
        </w:rPr>
      </w:pPr>
      <w:r>
        <w:rPr>
          <w:rFonts w:hint="eastAsia"/>
          <w:b/>
          <w:bCs/>
          <w:sz w:val="28"/>
          <w:szCs w:val="20"/>
          <w:lang w:eastAsia="zh-CN"/>
        </w:rPr>
        <w:t>图2-4 通州空间格局图</w:t>
      </w:r>
    </w:p>
    <w:p>
      <w:pPr>
        <w:pStyle w:val="5"/>
        <w:ind w:firstLine="643"/>
      </w:pPr>
      <w:bookmarkStart w:id="37" w:name="_Toc213072479"/>
      <w:bookmarkStart w:id="38" w:name="_Toc209952497"/>
      <w:r>
        <w:rPr>
          <w:rFonts w:hint="eastAsia"/>
        </w:rPr>
        <w:t>（五）植物资源</w:t>
      </w:r>
      <w:bookmarkEnd w:id="37"/>
      <w:bookmarkEnd w:id="38"/>
    </w:p>
    <w:p>
      <w:pPr>
        <w:ind w:firstLine="640"/>
        <w:rPr>
          <w:lang w:eastAsia="zh-CN"/>
        </w:rPr>
      </w:pPr>
      <w:r>
        <w:rPr>
          <w:rFonts w:hint="eastAsia"/>
          <w:lang w:eastAsia="zh-CN"/>
        </w:rPr>
        <w:t>通州区境内自然植被为温带落叶阔叶林类型，植被组成以人工林为主，植物种类较多。乔木树种主要有杨树、柳树、榆树、国槐、椿树、刺槐、油松、银杏、侧柏、白皮松、桧柏、构树、火炬、元宝枫、桑树、栾树、白蜡、杏、樱桃、梨、苹果、桃、柿子等；草本植物主要有白草、黄草、羊胡子草、蒙古蒿、黄花蒿、鬼针草、飞蓬、苦菜、牛筋草、画眉草、狗尾草、金狗尾草、米口袋、委陵菜等。</w:t>
      </w:r>
    </w:p>
    <w:p>
      <w:pPr>
        <w:pStyle w:val="3"/>
      </w:pPr>
      <w:bookmarkStart w:id="39" w:name="_Toc209952498"/>
      <w:bookmarkStart w:id="40" w:name="_Toc213072480"/>
      <w:r>
        <w:rPr>
          <w:rFonts w:hint="eastAsia"/>
        </w:rPr>
        <w:t>二、森林资源概况</w:t>
      </w:r>
      <w:bookmarkEnd w:id="39"/>
      <w:bookmarkEnd w:id="40"/>
    </w:p>
    <w:p>
      <w:pPr>
        <w:pStyle w:val="5"/>
        <w:ind w:firstLine="643"/>
      </w:pPr>
      <w:bookmarkStart w:id="41" w:name="_Toc213072481"/>
      <w:bookmarkStart w:id="42" w:name="_Toc209952499"/>
      <w:r>
        <w:rPr>
          <w:rFonts w:hint="eastAsia"/>
        </w:rPr>
        <w:t>（一）森林资源底数</w:t>
      </w:r>
      <w:bookmarkEnd w:id="41"/>
      <w:bookmarkEnd w:id="42"/>
    </w:p>
    <w:p>
      <w:pPr>
        <w:ind w:firstLine="640"/>
        <w:rPr>
          <w:lang w:eastAsia="zh-CN"/>
        </w:rPr>
      </w:pPr>
      <w:r>
        <w:rPr>
          <w:rFonts w:hint="eastAsia"/>
          <w:lang w:eastAsia="zh-CN"/>
        </w:rPr>
        <w:t>通州区土地总面积</w:t>
      </w:r>
      <w:r>
        <w:rPr>
          <w:lang w:eastAsia="zh-CN"/>
        </w:rPr>
        <w:t>90595</w:t>
      </w:r>
      <w:r>
        <w:rPr>
          <w:rFonts w:hint="eastAsia"/>
          <w:lang w:eastAsia="zh-CN"/>
        </w:rPr>
        <w:t>公顷，根据第十次园林绿化资源专项调查数据，森林总面积</w:t>
      </w:r>
      <w:r>
        <w:rPr>
          <w:lang w:eastAsia="zh-CN"/>
        </w:rPr>
        <w:t>32627</w:t>
      </w:r>
      <w:r>
        <w:rPr>
          <w:rFonts w:hint="eastAsia"/>
          <w:lang w:eastAsia="zh-CN"/>
        </w:rPr>
        <w:t>.</w:t>
      </w:r>
      <w:r>
        <w:rPr>
          <w:lang w:eastAsia="zh-CN"/>
        </w:rPr>
        <w:t>95</w:t>
      </w:r>
      <w:r>
        <w:rPr>
          <w:rFonts w:hint="eastAsia"/>
          <w:lang w:eastAsia="zh-CN"/>
        </w:rPr>
        <w:t>公顷，以乔木林为主，占森林总面积的91.37%，森林覆盖率</w:t>
      </w:r>
      <w:r>
        <w:rPr>
          <w:lang w:eastAsia="zh-CN"/>
        </w:rPr>
        <w:t>3</w:t>
      </w:r>
      <w:r>
        <w:rPr>
          <w:rFonts w:hint="eastAsia"/>
          <w:lang w:eastAsia="zh-CN"/>
        </w:rPr>
        <w:t>6.02</w:t>
      </w:r>
      <w:r>
        <w:rPr>
          <w:lang w:eastAsia="zh-CN"/>
        </w:rPr>
        <w:t>%</w:t>
      </w:r>
      <w:r>
        <w:rPr>
          <w:rFonts w:hint="eastAsia"/>
          <w:lang w:eastAsia="zh-CN"/>
        </w:rPr>
        <w:t>，森林活立木蓄积量</w:t>
      </w:r>
      <w:r>
        <w:rPr>
          <w:lang w:eastAsia="zh-CN"/>
        </w:rPr>
        <w:t>281.96</w:t>
      </w:r>
      <w:r>
        <w:rPr>
          <w:rFonts w:hint="eastAsia"/>
          <w:lang w:eastAsia="zh-CN"/>
        </w:rPr>
        <w:t>万立方米。</w:t>
      </w:r>
    </w:p>
    <w:p>
      <w:pPr>
        <w:ind w:firstLine="640"/>
        <w:rPr>
          <w:lang w:eastAsia="zh-CN"/>
        </w:rPr>
      </w:pPr>
      <w:r>
        <w:rPr>
          <w:rFonts w:hint="eastAsia"/>
          <w:lang w:eastAsia="zh-CN"/>
        </w:rPr>
        <w:t>乔木林以阔叶林纯林为主，总面积</w:t>
      </w:r>
      <w:r>
        <w:rPr>
          <w:lang w:eastAsia="zh-CN"/>
        </w:rPr>
        <w:t>25391.</w:t>
      </w:r>
      <w:r>
        <w:rPr>
          <w:rFonts w:hint="eastAsia"/>
          <w:lang w:eastAsia="zh-CN"/>
        </w:rPr>
        <w:t>79公顷，占</w:t>
      </w:r>
      <w:r>
        <w:rPr>
          <w:lang w:eastAsia="zh-CN"/>
        </w:rPr>
        <w:t>85.2%</w:t>
      </w:r>
      <w:r>
        <w:rPr>
          <w:rFonts w:hint="eastAsia"/>
          <w:lang w:eastAsia="zh-CN"/>
        </w:rPr>
        <w:t>，混交林和针叶林比重较低，分别占林地总面积的</w:t>
      </w:r>
      <w:r>
        <w:rPr>
          <w:lang w:eastAsia="zh-CN"/>
        </w:rPr>
        <w:t>8.3%</w:t>
      </w:r>
      <w:r>
        <w:rPr>
          <w:rFonts w:hint="eastAsia"/>
          <w:lang w:eastAsia="zh-CN"/>
        </w:rPr>
        <w:t>、</w:t>
      </w:r>
      <w:r>
        <w:rPr>
          <w:lang w:eastAsia="zh-CN"/>
        </w:rPr>
        <w:t>6.5%</w:t>
      </w:r>
      <w:r>
        <w:rPr>
          <w:rFonts w:hint="eastAsia"/>
          <w:lang w:eastAsia="zh-CN"/>
        </w:rPr>
        <w:t>。大面积的纯林结构单一，一旦发生火灾，火势会迅速蔓延，对整个生态系统造成毁灭性打击。</w:t>
      </w:r>
    </w:p>
    <w:p>
      <w:pPr>
        <w:spacing w:line="240" w:lineRule="auto"/>
        <w:ind w:firstLine="0" w:firstLineChars="0"/>
        <w:jc w:val="center"/>
        <w:rPr>
          <w:lang w:eastAsia="zh-CN"/>
        </w:rPr>
      </w:pPr>
      <w:r>
        <w:rPr>
          <w:snapToGrid/>
        </w:rPr>
        <w:drawing>
          <wp:inline distT="0" distB="0" distL="0" distR="0">
            <wp:extent cx="5715000" cy="3533775"/>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240" w:lineRule="auto"/>
        <w:ind w:firstLine="0" w:firstLineChars="0"/>
        <w:jc w:val="center"/>
        <w:rPr>
          <w:rFonts w:eastAsia="黑体"/>
          <w:sz w:val="24"/>
          <w:szCs w:val="18"/>
          <w:lang w:eastAsia="zh-CN"/>
        </w:rPr>
      </w:pPr>
      <w:r>
        <w:rPr>
          <w:rFonts w:hint="eastAsia" w:eastAsia="黑体"/>
          <w:sz w:val="24"/>
          <w:szCs w:val="18"/>
          <w:lang w:eastAsia="zh-CN"/>
        </w:rPr>
        <w:t>图</w:t>
      </w:r>
      <w:r>
        <w:rPr>
          <w:rFonts w:eastAsia="黑体"/>
          <w:sz w:val="24"/>
          <w:szCs w:val="18"/>
          <w:lang w:eastAsia="zh-CN"/>
        </w:rPr>
        <w:t>2-</w:t>
      </w:r>
      <w:r>
        <w:rPr>
          <w:rFonts w:hint="eastAsia" w:eastAsia="黑体"/>
          <w:sz w:val="24"/>
          <w:szCs w:val="18"/>
          <w:lang w:eastAsia="zh-CN"/>
        </w:rPr>
        <w:t>5</w:t>
      </w:r>
      <w:r>
        <w:rPr>
          <w:rFonts w:eastAsia="黑体"/>
          <w:sz w:val="24"/>
          <w:szCs w:val="18"/>
          <w:lang w:eastAsia="zh-CN"/>
        </w:rPr>
        <w:t xml:space="preserve"> </w:t>
      </w:r>
      <w:r>
        <w:rPr>
          <w:rFonts w:hint="eastAsia" w:eastAsia="黑体"/>
          <w:sz w:val="24"/>
          <w:szCs w:val="18"/>
          <w:lang w:eastAsia="zh-CN"/>
        </w:rPr>
        <w:t>乔木林类型分布情况</w:t>
      </w:r>
    </w:p>
    <w:p>
      <w:pPr>
        <w:spacing w:line="240" w:lineRule="auto"/>
        <w:ind w:firstLine="0" w:firstLineChars="0"/>
        <w:jc w:val="center"/>
        <w:rPr>
          <w:rFonts w:eastAsia="黑体"/>
          <w:sz w:val="24"/>
          <w:szCs w:val="18"/>
          <w:lang w:eastAsia="zh-CN"/>
        </w:rPr>
      </w:pPr>
      <w:r>
        <w:rPr>
          <w:rFonts w:hint="eastAsia" w:eastAsia="黑体"/>
          <w:sz w:val="24"/>
          <w:szCs w:val="18"/>
          <w:lang w:eastAsia="zh-CN"/>
        </w:rPr>
        <w:t>表</w:t>
      </w:r>
      <w:r>
        <w:rPr>
          <w:rFonts w:eastAsia="黑体"/>
          <w:sz w:val="24"/>
          <w:szCs w:val="18"/>
          <w:lang w:eastAsia="zh-CN"/>
        </w:rPr>
        <w:t xml:space="preserve">2-1 </w:t>
      </w:r>
      <w:r>
        <w:rPr>
          <w:rFonts w:hint="eastAsia" w:eastAsia="黑体"/>
          <w:sz w:val="24"/>
          <w:szCs w:val="18"/>
          <w:lang w:eastAsia="zh-CN"/>
        </w:rPr>
        <w:t>乔木林类型分布情况统计表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028"/>
        <w:gridCol w:w="3349"/>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9" w:type="pct"/>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序号</w:t>
            </w:r>
          </w:p>
        </w:tc>
        <w:tc>
          <w:tcPr>
            <w:tcW w:w="111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乔木林类型</w:t>
            </w:r>
          </w:p>
        </w:tc>
        <w:tc>
          <w:tcPr>
            <w:tcW w:w="1848"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面积（公顷）</w:t>
            </w:r>
          </w:p>
        </w:tc>
        <w:tc>
          <w:tcPr>
            <w:tcW w:w="914"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9" w:type="pct"/>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w:t>
            </w:r>
          </w:p>
        </w:tc>
        <w:tc>
          <w:tcPr>
            <w:tcW w:w="111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阔叶林</w:t>
            </w:r>
          </w:p>
        </w:tc>
        <w:tc>
          <w:tcPr>
            <w:tcW w:w="1848"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25391</w:t>
            </w:r>
            <w:r>
              <w:rPr>
                <w:rFonts w:hint="eastAsia" w:eastAsia="仿宋_GB2312" w:cs="宋体"/>
                <w:snapToGrid/>
                <w:sz w:val="28"/>
                <w:szCs w:val="28"/>
                <w:lang w:eastAsia="zh-CN"/>
              </w:rPr>
              <w:t>.</w:t>
            </w:r>
            <w:r>
              <w:rPr>
                <w:rFonts w:eastAsia="仿宋_GB2312" w:cs="宋体"/>
                <w:snapToGrid/>
                <w:sz w:val="28"/>
                <w:szCs w:val="28"/>
                <w:lang w:eastAsia="zh-CN"/>
              </w:rPr>
              <w:t>79</w:t>
            </w:r>
          </w:p>
        </w:tc>
        <w:tc>
          <w:tcPr>
            <w:tcW w:w="914"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9" w:type="pct"/>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2</w:t>
            </w:r>
          </w:p>
        </w:tc>
        <w:tc>
          <w:tcPr>
            <w:tcW w:w="111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针阔混</w:t>
            </w:r>
          </w:p>
        </w:tc>
        <w:tc>
          <w:tcPr>
            <w:tcW w:w="1848"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2474</w:t>
            </w:r>
            <w:r>
              <w:rPr>
                <w:rFonts w:hint="eastAsia" w:eastAsia="仿宋_GB2312" w:cs="宋体"/>
                <w:snapToGrid/>
                <w:sz w:val="28"/>
                <w:szCs w:val="28"/>
                <w:lang w:eastAsia="zh-CN"/>
              </w:rPr>
              <w:t>.</w:t>
            </w:r>
            <w:r>
              <w:rPr>
                <w:rFonts w:eastAsia="仿宋_GB2312" w:cs="宋体"/>
                <w:snapToGrid/>
                <w:sz w:val="28"/>
                <w:szCs w:val="28"/>
                <w:lang w:eastAsia="zh-CN"/>
              </w:rPr>
              <w:t>32</w:t>
            </w:r>
          </w:p>
        </w:tc>
        <w:tc>
          <w:tcPr>
            <w:tcW w:w="914"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9" w:type="pct"/>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3</w:t>
            </w:r>
          </w:p>
        </w:tc>
        <w:tc>
          <w:tcPr>
            <w:tcW w:w="111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针叶林</w:t>
            </w:r>
          </w:p>
        </w:tc>
        <w:tc>
          <w:tcPr>
            <w:tcW w:w="1848"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1946</w:t>
            </w:r>
            <w:r>
              <w:rPr>
                <w:rFonts w:hint="eastAsia" w:eastAsia="仿宋_GB2312" w:cs="宋体"/>
                <w:snapToGrid/>
                <w:sz w:val="28"/>
                <w:szCs w:val="28"/>
                <w:lang w:eastAsia="zh-CN"/>
              </w:rPr>
              <w:t>.</w:t>
            </w:r>
            <w:r>
              <w:rPr>
                <w:rFonts w:eastAsia="仿宋_GB2312" w:cs="宋体"/>
                <w:snapToGrid/>
                <w:sz w:val="28"/>
                <w:szCs w:val="28"/>
                <w:lang w:eastAsia="zh-CN"/>
              </w:rPr>
              <w:t>52</w:t>
            </w:r>
          </w:p>
        </w:tc>
        <w:tc>
          <w:tcPr>
            <w:tcW w:w="914"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238" w:type="pct"/>
            <w:gridSpan w:val="2"/>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总计</w:t>
            </w:r>
          </w:p>
        </w:tc>
        <w:tc>
          <w:tcPr>
            <w:tcW w:w="1848"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29812</w:t>
            </w:r>
            <w:r>
              <w:rPr>
                <w:rFonts w:hint="eastAsia" w:eastAsia="仿宋_GB2312" w:cs="宋体"/>
                <w:snapToGrid/>
                <w:sz w:val="28"/>
                <w:szCs w:val="28"/>
                <w:lang w:eastAsia="zh-CN"/>
              </w:rPr>
              <w:t>.</w:t>
            </w:r>
            <w:r>
              <w:rPr>
                <w:rFonts w:eastAsia="仿宋_GB2312" w:cs="宋体"/>
                <w:snapToGrid/>
                <w:sz w:val="28"/>
                <w:szCs w:val="28"/>
                <w:lang w:eastAsia="zh-CN"/>
              </w:rPr>
              <w:t>6</w:t>
            </w:r>
            <w:r>
              <w:rPr>
                <w:rFonts w:hint="eastAsia" w:eastAsia="仿宋_GB2312" w:cs="宋体"/>
                <w:snapToGrid/>
                <w:sz w:val="28"/>
                <w:szCs w:val="28"/>
                <w:lang w:eastAsia="zh-CN"/>
              </w:rPr>
              <w:t>3</w:t>
            </w:r>
          </w:p>
        </w:tc>
        <w:tc>
          <w:tcPr>
            <w:tcW w:w="914"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100.0%</w:t>
            </w:r>
          </w:p>
        </w:tc>
      </w:tr>
    </w:tbl>
    <w:p>
      <w:pPr>
        <w:spacing w:line="240" w:lineRule="auto"/>
        <w:ind w:firstLine="0" w:firstLineChars="0"/>
        <w:jc w:val="center"/>
        <w:rPr>
          <w:b/>
          <w:bCs/>
        </w:rPr>
      </w:pPr>
      <w:r>
        <w:rPr>
          <w:b/>
          <w:bCs/>
        </w:rPr>
        <w:drawing>
          <wp:inline distT="0" distB="0" distL="0" distR="0">
            <wp:extent cx="5178425" cy="7315200"/>
            <wp:effectExtent l="0" t="0" r="3175"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a:stretch>
                      <a:fillRect/>
                    </a:stretch>
                  </pic:blipFill>
                  <pic:spPr>
                    <a:xfrm>
                      <a:off x="0" y="0"/>
                      <a:ext cx="5188052" cy="7328418"/>
                    </a:xfrm>
                    <a:prstGeom prst="rect">
                      <a:avLst/>
                    </a:prstGeom>
                    <a:noFill/>
                    <a:ln>
                      <a:noFill/>
                    </a:ln>
                  </pic:spPr>
                </pic:pic>
              </a:graphicData>
            </a:graphic>
          </wp:inline>
        </w:drawing>
      </w:r>
    </w:p>
    <w:p>
      <w:pPr>
        <w:spacing w:line="240" w:lineRule="auto"/>
        <w:ind w:firstLine="0" w:firstLineChars="0"/>
        <w:jc w:val="center"/>
        <w:rPr>
          <w:rFonts w:eastAsia="黑体"/>
          <w:sz w:val="24"/>
          <w:szCs w:val="18"/>
          <w:lang w:eastAsia="zh-CN"/>
        </w:rPr>
      </w:pPr>
      <w:r>
        <w:rPr>
          <w:rFonts w:hint="eastAsia" w:eastAsia="黑体"/>
          <w:sz w:val="24"/>
          <w:szCs w:val="18"/>
          <w:lang w:eastAsia="zh-CN"/>
        </w:rPr>
        <w:t>图</w:t>
      </w:r>
      <w:r>
        <w:rPr>
          <w:rFonts w:eastAsia="黑体"/>
          <w:sz w:val="24"/>
          <w:szCs w:val="18"/>
          <w:lang w:eastAsia="zh-CN"/>
        </w:rPr>
        <w:t>2-</w:t>
      </w:r>
      <w:r>
        <w:rPr>
          <w:rFonts w:hint="eastAsia" w:eastAsia="黑体"/>
          <w:sz w:val="24"/>
          <w:szCs w:val="18"/>
          <w:lang w:eastAsia="zh-CN"/>
        </w:rPr>
        <w:t>6</w:t>
      </w:r>
      <w:r>
        <w:rPr>
          <w:rFonts w:eastAsia="黑体"/>
          <w:sz w:val="24"/>
          <w:szCs w:val="18"/>
          <w:lang w:eastAsia="zh-CN"/>
        </w:rPr>
        <w:t xml:space="preserve"> </w:t>
      </w:r>
      <w:r>
        <w:rPr>
          <w:rFonts w:hint="eastAsia" w:eastAsia="黑体"/>
          <w:sz w:val="24"/>
          <w:szCs w:val="18"/>
          <w:lang w:eastAsia="zh-CN"/>
        </w:rPr>
        <w:t>林地植被类型分布情况</w:t>
      </w:r>
    </w:p>
    <w:p>
      <w:pPr>
        <w:ind w:firstLine="640"/>
        <w:rPr>
          <w:lang w:eastAsia="zh-CN"/>
        </w:rPr>
      </w:pPr>
      <w:r>
        <w:rPr>
          <w:rFonts w:hint="eastAsia"/>
          <w:lang w:eastAsia="zh-CN"/>
        </w:rPr>
        <w:t>区域内树种有国槐、其他杨树、柳树、油松、银杏、白蜡等，以国槐、其他杨树、柳树等叶量丰富的阔叶树为主，占比为</w:t>
      </w:r>
      <w:r>
        <w:rPr>
          <w:lang w:eastAsia="zh-CN"/>
        </w:rPr>
        <w:t>52.66%</w:t>
      </w:r>
      <w:r>
        <w:rPr>
          <w:rFonts w:hint="eastAsia"/>
          <w:lang w:eastAsia="zh-CN"/>
        </w:rPr>
        <w:t>，需重点关注阔叶树的枯枝落叶林下堆积情况。针叶树以油松、柏类为主，具有易燃的特征需重点关注。</w:t>
      </w:r>
    </w:p>
    <w:p>
      <w:pPr>
        <w:pStyle w:val="13"/>
      </w:pPr>
      <w:r>
        <w:rPr>
          <w:rFonts w:hint="eastAsia"/>
        </w:rPr>
        <w:t>表</w:t>
      </w:r>
      <w:r>
        <w:t xml:space="preserve">2-2 </w:t>
      </w:r>
      <w:r>
        <w:rPr>
          <w:rFonts w:hint="eastAsia"/>
        </w:rPr>
        <w:t>优势树种分布情况</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888"/>
        <w:gridCol w:w="3635"/>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b/>
                <w:bCs/>
                <w:snapToGrid/>
                <w:sz w:val="28"/>
                <w:szCs w:val="28"/>
                <w:lang w:eastAsia="zh-CN"/>
              </w:rPr>
            </w:pPr>
            <w:r>
              <w:rPr>
                <w:rFonts w:hint="eastAsia" w:eastAsia="仿宋_GB2312" w:cs="宋体"/>
                <w:b/>
                <w:bCs/>
                <w:snapToGrid/>
                <w:sz w:val="28"/>
                <w:szCs w:val="28"/>
                <w:lang w:eastAsia="zh-CN"/>
              </w:rPr>
              <w:t>序号</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b/>
                <w:bCs/>
                <w:snapToGrid/>
                <w:sz w:val="28"/>
                <w:szCs w:val="28"/>
                <w:lang w:eastAsia="zh-CN"/>
              </w:rPr>
            </w:pPr>
            <w:r>
              <w:rPr>
                <w:rFonts w:hint="eastAsia" w:eastAsia="仿宋_GB2312" w:cs="宋体"/>
                <w:b/>
                <w:bCs/>
                <w:snapToGrid/>
                <w:sz w:val="28"/>
                <w:szCs w:val="28"/>
                <w:lang w:eastAsia="zh-CN"/>
              </w:rPr>
              <w:t>优势树种</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b/>
                <w:bCs/>
                <w:snapToGrid/>
                <w:sz w:val="28"/>
                <w:szCs w:val="28"/>
                <w:lang w:eastAsia="zh-CN"/>
              </w:rPr>
            </w:pPr>
            <w:r>
              <w:rPr>
                <w:rFonts w:hint="eastAsia" w:eastAsia="仿宋_GB2312" w:cs="宋体"/>
                <w:b/>
                <w:bCs/>
                <w:snapToGrid/>
                <w:sz w:val="28"/>
                <w:szCs w:val="28"/>
                <w:lang w:eastAsia="zh-CN"/>
              </w:rPr>
              <w:t>面积</w:t>
            </w:r>
            <w:r>
              <w:rPr>
                <w:rFonts w:eastAsia="仿宋_GB2312" w:cs="宋体"/>
                <w:b/>
                <w:bCs/>
                <w:snapToGrid/>
                <w:sz w:val="28"/>
                <w:szCs w:val="28"/>
                <w:lang w:eastAsia="zh-CN"/>
              </w:rPr>
              <w:t>(</w:t>
            </w:r>
            <w:r>
              <w:rPr>
                <w:rFonts w:hint="eastAsia" w:eastAsia="仿宋_GB2312" w:cs="宋体"/>
                <w:b/>
                <w:bCs/>
                <w:snapToGrid/>
                <w:sz w:val="28"/>
                <w:szCs w:val="28"/>
                <w:lang w:eastAsia="zh-CN"/>
              </w:rPr>
              <w:t>公顷</w:t>
            </w:r>
            <w:r>
              <w:rPr>
                <w:rFonts w:eastAsia="仿宋_GB2312" w:cs="宋体"/>
                <w:b/>
                <w:bCs/>
                <w:snapToGrid/>
                <w:sz w:val="28"/>
                <w:szCs w:val="28"/>
                <w:lang w:eastAsia="zh-CN"/>
              </w:rPr>
              <w:t>)</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b/>
                <w:bCs/>
                <w:snapToGrid/>
                <w:sz w:val="28"/>
                <w:szCs w:val="28"/>
                <w:lang w:eastAsia="zh-CN"/>
              </w:rPr>
            </w:pPr>
            <w:r>
              <w:rPr>
                <w:rFonts w:hint="eastAsia" w:eastAsia="仿宋_GB2312" w:cs="宋体"/>
                <w:b/>
                <w:bCs/>
                <w:snapToGrid/>
                <w:sz w:val="28"/>
                <w:szCs w:val="28"/>
                <w:lang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国槐</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6831.92</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20.81%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2</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其他杨树</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5961.55</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3</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柳树</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4496.42</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4</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油松</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2097.88</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5</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银杏</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1977.95</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6</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白蜡</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1721.79</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7</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栾树</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1343.9</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8</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剌槐</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1093.07</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9</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其他软阔</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719.79</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10</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樱桃</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708.17</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11</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榆树</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612.89</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12</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白皮松</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558.58</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13</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核桃</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553.67</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14</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悬铃木</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495.98</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15</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元宝枫</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462.16</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9"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16</w:t>
            </w:r>
          </w:p>
        </w:tc>
        <w:tc>
          <w:tcPr>
            <w:tcW w:w="1042"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桃</w:t>
            </w:r>
          </w:p>
        </w:tc>
        <w:tc>
          <w:tcPr>
            <w:tcW w:w="2006"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428.58</w:t>
            </w:r>
          </w:p>
        </w:tc>
        <w:tc>
          <w:tcPr>
            <w:tcW w:w="1313" w:type="pct"/>
            <w:noWrap/>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eastAsia="仿宋_GB2312" w:cs="宋体"/>
                <w:snapToGrid/>
                <w:sz w:val="28"/>
                <w:szCs w:val="28"/>
                <w:lang w:eastAsia="zh-CN"/>
              </w:rPr>
              <w:t>1.31%</w:t>
            </w:r>
          </w:p>
        </w:tc>
      </w:tr>
    </w:tbl>
    <w:p>
      <w:pPr>
        <w:pStyle w:val="5"/>
        <w:ind w:firstLineChars="0"/>
      </w:pPr>
      <w:bookmarkStart w:id="43" w:name="_Toc209952500"/>
      <w:bookmarkStart w:id="44" w:name="_Toc213072482"/>
      <w:r>
        <w:rPr>
          <w:rFonts w:hint="eastAsia"/>
        </w:rPr>
        <w:t>（二）森林资源质量</w:t>
      </w:r>
      <w:bookmarkEnd w:id="43"/>
      <w:bookmarkEnd w:id="44"/>
    </w:p>
    <w:p>
      <w:pPr>
        <w:ind w:firstLine="640"/>
        <w:rPr>
          <w:lang w:eastAsia="zh-CN"/>
        </w:rPr>
      </w:pPr>
      <w:bookmarkStart w:id="45" w:name="OLE_LINK1"/>
      <w:r>
        <w:rPr>
          <w:rFonts w:hint="eastAsia"/>
          <w:lang w:eastAsia="zh-CN"/>
        </w:rPr>
        <w:t>随着平原造林与园林绿化工程建设不断深入推进，森林资源总量实现跨越式增长，生态建设成效显著。当前林分龄组结构呈现新造林地发展阶段的典型特征：幼龄林占比达</w:t>
      </w:r>
      <w:r>
        <w:rPr>
          <w:lang w:eastAsia="zh-CN"/>
        </w:rPr>
        <w:t>56.2%</w:t>
      </w:r>
      <w:r>
        <w:rPr>
          <w:rFonts w:hint="eastAsia"/>
          <w:lang w:eastAsia="zh-CN"/>
        </w:rPr>
        <w:t>，中龄林</w:t>
      </w:r>
      <w:r>
        <w:rPr>
          <w:lang w:eastAsia="zh-CN"/>
        </w:rPr>
        <w:t>18.0%</w:t>
      </w:r>
      <w:r>
        <w:rPr>
          <w:rFonts w:hint="eastAsia"/>
          <w:lang w:eastAsia="zh-CN"/>
        </w:rPr>
        <w:t>、近熟林</w:t>
      </w:r>
      <w:r>
        <w:rPr>
          <w:lang w:eastAsia="zh-CN"/>
        </w:rPr>
        <w:t>16.4%</w:t>
      </w:r>
      <w:r>
        <w:rPr>
          <w:rFonts w:hint="eastAsia"/>
          <w:lang w:eastAsia="zh-CN"/>
        </w:rPr>
        <w:t>、成熟林</w:t>
      </w:r>
      <w:r>
        <w:rPr>
          <w:lang w:eastAsia="zh-CN"/>
        </w:rPr>
        <w:t>8.2%</w:t>
      </w:r>
      <w:r>
        <w:rPr>
          <w:rFonts w:hint="eastAsia"/>
          <w:lang w:eastAsia="zh-CN"/>
        </w:rPr>
        <w:t>及过熟林</w:t>
      </w:r>
      <w:r>
        <w:rPr>
          <w:lang w:eastAsia="zh-CN"/>
        </w:rPr>
        <w:t>1.2%</w:t>
      </w:r>
      <w:r>
        <w:rPr>
          <w:rFonts w:hint="eastAsia"/>
          <w:lang w:eastAsia="zh-CN"/>
        </w:rPr>
        <w:t>比例偏低，导致森林质量整体不高、生物多样性培育不足，部分区域尚未形成健康稳定的异龄复层混交林体系。</w:t>
      </w:r>
    </w:p>
    <w:p>
      <w:pPr>
        <w:ind w:firstLine="640"/>
        <w:rPr>
          <w:lang w:eastAsia="zh-CN"/>
        </w:rPr>
      </w:pPr>
      <w:r>
        <w:rPr>
          <w:rFonts w:hint="eastAsia"/>
          <w:lang w:eastAsia="zh-CN"/>
        </w:rPr>
        <w:t>幼龄林占比过高，具有可燃物载量大且连续性高的特征，导致了森林火灾风险增加。幼龄林密度较大，林下灌木、杂草、枯枝落叶等易燃物积累多，一旦发生火灾，地表火很容易演变为树冠火，火势蔓延迅速，难以控制。林分抗火能力弱，幼龄树木树皮较薄，耐火性差，且树冠较低，更容易受到地表火的直接威胁。</w:t>
      </w:r>
    </w:p>
    <w:p>
      <w:pPr>
        <w:spacing w:line="240" w:lineRule="auto"/>
        <w:ind w:firstLine="0" w:firstLineChars="0"/>
        <w:jc w:val="center"/>
        <w:rPr>
          <w:lang w:eastAsia="zh-CN"/>
        </w:rPr>
      </w:pPr>
      <w:r>
        <w:rPr>
          <w:snapToGrid/>
        </w:rPr>
        <w:drawing>
          <wp:inline distT="0" distB="0" distL="0" distR="0">
            <wp:extent cx="5429250" cy="33528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3"/>
      </w:pPr>
      <w:r>
        <w:rPr>
          <w:rFonts w:hint="eastAsia"/>
        </w:rPr>
        <w:t>图</w:t>
      </w:r>
      <w:r>
        <w:t>2-</w:t>
      </w:r>
      <w:r>
        <w:rPr>
          <w:rFonts w:hint="eastAsia"/>
        </w:rPr>
        <w:t>7</w:t>
      </w:r>
      <w:r>
        <w:t xml:space="preserve"> </w:t>
      </w:r>
      <w:r>
        <w:rPr>
          <w:rFonts w:hint="eastAsia"/>
        </w:rPr>
        <w:t>各龄组树种分布情况</w:t>
      </w:r>
    </w:p>
    <w:bookmarkEnd w:id="45"/>
    <w:p>
      <w:pPr>
        <w:pStyle w:val="5"/>
        <w:ind w:firstLine="643"/>
      </w:pPr>
      <w:bookmarkStart w:id="46" w:name="_Toc213072483"/>
      <w:bookmarkStart w:id="47" w:name="_Toc209952501"/>
      <w:r>
        <w:rPr>
          <w:rFonts w:hint="eastAsia"/>
        </w:rPr>
        <w:t>（三）森林资源权属</w:t>
      </w:r>
      <w:bookmarkEnd w:id="46"/>
    </w:p>
    <w:p>
      <w:pPr>
        <w:ind w:firstLine="640"/>
        <w:rPr>
          <w:color w:val="auto"/>
          <w:lang w:eastAsia="zh-CN"/>
        </w:rPr>
      </w:pPr>
      <w:r>
        <w:rPr>
          <w:rFonts w:hint="eastAsia"/>
          <w:color w:val="auto"/>
          <w:lang w:eastAsia="zh-CN"/>
        </w:rPr>
        <w:t>通州区森林资源按权属划分，以集体林为主，总面积为</w:t>
      </w:r>
      <w:r>
        <w:rPr>
          <w:color w:val="auto"/>
          <w:lang w:eastAsia="zh-CN"/>
        </w:rPr>
        <w:t>19790.24</w:t>
      </w:r>
      <w:r>
        <w:rPr>
          <w:rFonts w:hint="eastAsia"/>
          <w:color w:val="auto"/>
          <w:lang w:eastAsia="zh-CN"/>
        </w:rPr>
        <w:t>公顷，占全区森林面积的</w:t>
      </w:r>
      <w:r>
        <w:rPr>
          <w:color w:val="auto"/>
          <w:lang w:eastAsia="zh-CN"/>
        </w:rPr>
        <w:t>6</w:t>
      </w:r>
      <w:r>
        <w:rPr>
          <w:rFonts w:hint="eastAsia"/>
          <w:color w:val="auto"/>
          <w:lang w:eastAsia="zh-CN"/>
        </w:rPr>
        <w:t>0.65</w:t>
      </w:r>
      <w:r>
        <w:rPr>
          <w:color w:val="auto"/>
          <w:lang w:eastAsia="zh-CN"/>
        </w:rPr>
        <w:t>%</w:t>
      </w:r>
      <w:r>
        <w:rPr>
          <w:rFonts w:hint="eastAsia"/>
          <w:color w:val="auto"/>
          <w:lang w:eastAsia="zh-CN"/>
        </w:rPr>
        <w:t>，隶属于10个集体林场。个人权属的林地面积为</w:t>
      </w:r>
      <w:r>
        <w:rPr>
          <w:color w:val="auto"/>
          <w:lang w:eastAsia="zh-CN"/>
        </w:rPr>
        <w:t>10973.71</w:t>
      </w:r>
      <w:r>
        <w:rPr>
          <w:rFonts w:hint="eastAsia"/>
          <w:color w:val="auto"/>
          <w:lang w:eastAsia="zh-CN"/>
        </w:rPr>
        <w:t>公顷，占总林地的</w:t>
      </w:r>
      <w:r>
        <w:rPr>
          <w:color w:val="auto"/>
          <w:lang w:eastAsia="zh-CN"/>
        </w:rPr>
        <w:t>3</w:t>
      </w:r>
      <w:r>
        <w:rPr>
          <w:rFonts w:hint="eastAsia"/>
          <w:color w:val="auto"/>
          <w:lang w:eastAsia="zh-CN"/>
        </w:rPr>
        <w:t>3.63</w:t>
      </w:r>
      <w:r>
        <w:rPr>
          <w:color w:val="auto"/>
          <w:lang w:eastAsia="zh-CN"/>
        </w:rPr>
        <w:t>%</w:t>
      </w:r>
      <w:r>
        <w:rPr>
          <w:rFonts w:hint="eastAsia"/>
          <w:color w:val="auto"/>
          <w:lang w:eastAsia="zh-CN"/>
        </w:rPr>
        <w:t>。</w:t>
      </w:r>
    </w:p>
    <w:p>
      <w:pPr>
        <w:pStyle w:val="13"/>
      </w:pPr>
      <w:r>
        <w:rPr>
          <w:rFonts w:hint="eastAsia"/>
        </w:rPr>
        <w:t>表</w:t>
      </w:r>
      <w:r>
        <w:t>2-</w:t>
      </w:r>
      <w:r>
        <w:rPr>
          <w:rFonts w:hint="eastAsia"/>
        </w:rPr>
        <w:t>3</w:t>
      </w:r>
      <w:r>
        <w:t xml:space="preserve"> </w:t>
      </w:r>
      <w:r>
        <w:rPr>
          <w:rFonts w:hint="eastAsia"/>
        </w:rPr>
        <w:t>各集体林场经营管护面积</w:t>
      </w:r>
    </w:p>
    <w:tbl>
      <w:tblPr>
        <w:tblStyle w:val="28"/>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708"/>
        <w:gridCol w:w="2991"/>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trPr>
        <w:tc>
          <w:tcPr>
            <w:tcW w:w="1134" w:type="dxa"/>
            <w:vAlign w:val="center"/>
          </w:tcPr>
          <w:p>
            <w:pPr>
              <w:kinsoku/>
              <w:autoSpaceDE/>
              <w:autoSpaceDN/>
              <w:spacing w:before="0" w:after="0" w:line="240" w:lineRule="auto"/>
              <w:ind w:firstLine="0" w:firstLineChars="0"/>
              <w:jc w:val="center"/>
              <w:textAlignment w:val="auto"/>
              <w:rPr>
                <w:rFonts w:cs="宋体"/>
                <w:b/>
                <w:bCs/>
                <w:snapToGrid/>
                <w:sz w:val="28"/>
                <w:szCs w:val="28"/>
                <w:lang w:eastAsia="zh-CN"/>
              </w:rPr>
            </w:pPr>
            <w:r>
              <w:rPr>
                <w:rFonts w:hint="eastAsia" w:cs="宋体"/>
                <w:b/>
                <w:bCs/>
                <w:snapToGrid/>
                <w:sz w:val="28"/>
                <w:szCs w:val="28"/>
                <w:lang w:eastAsia="zh-CN"/>
              </w:rPr>
              <w:t>序号</w:t>
            </w:r>
          </w:p>
        </w:tc>
        <w:tc>
          <w:tcPr>
            <w:tcW w:w="1708" w:type="dxa"/>
            <w:vAlign w:val="center"/>
          </w:tcPr>
          <w:p>
            <w:pPr>
              <w:kinsoku/>
              <w:autoSpaceDE/>
              <w:autoSpaceDN/>
              <w:spacing w:before="0" w:after="0" w:line="240" w:lineRule="auto"/>
              <w:ind w:firstLine="0" w:firstLineChars="0"/>
              <w:jc w:val="center"/>
              <w:textAlignment w:val="auto"/>
              <w:rPr>
                <w:rFonts w:cs="宋体"/>
                <w:b/>
                <w:bCs/>
                <w:snapToGrid/>
                <w:sz w:val="28"/>
                <w:szCs w:val="28"/>
                <w:lang w:eastAsia="zh-CN"/>
              </w:rPr>
            </w:pPr>
            <w:r>
              <w:rPr>
                <w:rFonts w:hint="eastAsia" w:cs="宋体"/>
                <w:b/>
                <w:bCs/>
                <w:snapToGrid/>
                <w:sz w:val="28"/>
                <w:szCs w:val="28"/>
                <w:lang w:eastAsia="zh-CN"/>
              </w:rPr>
              <w:t>乡镇</w:t>
            </w:r>
          </w:p>
        </w:tc>
        <w:tc>
          <w:tcPr>
            <w:tcW w:w="2990" w:type="dxa"/>
            <w:vAlign w:val="center"/>
          </w:tcPr>
          <w:p>
            <w:pPr>
              <w:kinsoku/>
              <w:autoSpaceDE/>
              <w:autoSpaceDN/>
              <w:spacing w:before="0" w:after="0" w:line="240" w:lineRule="auto"/>
              <w:ind w:firstLine="0" w:firstLineChars="0"/>
              <w:jc w:val="center"/>
              <w:textAlignment w:val="auto"/>
              <w:rPr>
                <w:rFonts w:cs="宋体"/>
                <w:b/>
                <w:bCs/>
                <w:snapToGrid/>
                <w:sz w:val="28"/>
                <w:szCs w:val="28"/>
                <w:lang w:eastAsia="zh-CN"/>
              </w:rPr>
            </w:pPr>
            <w:r>
              <w:rPr>
                <w:rFonts w:hint="eastAsia" w:cs="宋体"/>
                <w:b/>
                <w:bCs/>
                <w:snapToGrid/>
                <w:sz w:val="28"/>
                <w:szCs w:val="28"/>
                <w:lang w:eastAsia="zh-CN"/>
              </w:rPr>
              <w:t>林场名称</w:t>
            </w:r>
          </w:p>
        </w:tc>
        <w:tc>
          <w:tcPr>
            <w:tcW w:w="2990" w:type="dxa"/>
            <w:vAlign w:val="center"/>
          </w:tcPr>
          <w:p>
            <w:pPr>
              <w:kinsoku/>
              <w:autoSpaceDE/>
              <w:autoSpaceDN/>
              <w:spacing w:before="0" w:after="0" w:line="240" w:lineRule="auto"/>
              <w:ind w:firstLine="0" w:firstLineChars="0"/>
              <w:jc w:val="center"/>
              <w:textAlignment w:val="auto"/>
              <w:rPr>
                <w:rFonts w:cs="宋体"/>
                <w:b/>
                <w:bCs/>
                <w:snapToGrid/>
                <w:sz w:val="28"/>
                <w:szCs w:val="28"/>
                <w:lang w:eastAsia="zh-CN"/>
              </w:rPr>
            </w:pPr>
            <w:r>
              <w:rPr>
                <w:rFonts w:hint="eastAsia" w:cs="宋体"/>
                <w:b/>
                <w:bCs/>
                <w:snapToGrid/>
                <w:sz w:val="28"/>
                <w:szCs w:val="28"/>
                <w:lang w:eastAsia="zh-CN"/>
              </w:rPr>
              <w:t>经营管护面积（亩）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1</w:t>
            </w:r>
          </w:p>
        </w:tc>
        <w:tc>
          <w:tcPr>
            <w:tcW w:w="1708" w:type="dxa"/>
            <w:vAlign w:val="center"/>
          </w:tcPr>
          <w:p>
            <w:pPr>
              <w:kinsoku/>
              <w:autoSpaceDE/>
              <w:autoSpaceDN/>
              <w:spacing w:before="0" w:after="0" w:line="240" w:lineRule="auto"/>
              <w:ind w:firstLine="0" w:firstLineChars="0"/>
              <w:jc w:val="center"/>
              <w:textAlignment w:val="auto"/>
              <w:rPr>
                <w:rFonts w:cs="宋体"/>
                <w:snapToGrid/>
                <w:sz w:val="28"/>
                <w:szCs w:val="28"/>
                <w:lang w:eastAsia="zh-CN"/>
              </w:rPr>
            </w:pPr>
            <w:r>
              <w:rPr>
                <w:rFonts w:hint="eastAsia" w:cs="宋体"/>
                <w:snapToGrid/>
                <w:sz w:val="28"/>
                <w:szCs w:val="28"/>
                <w:lang w:eastAsia="zh-CN"/>
              </w:rPr>
              <w:t>永顺镇</w:t>
            </w:r>
          </w:p>
        </w:tc>
        <w:tc>
          <w:tcPr>
            <w:tcW w:w="2990" w:type="dxa"/>
            <w:vAlign w:val="center"/>
          </w:tcPr>
          <w:p>
            <w:pPr>
              <w:kinsoku/>
              <w:autoSpaceDE/>
              <w:autoSpaceDN/>
              <w:spacing w:before="0" w:after="0" w:line="240" w:lineRule="auto"/>
              <w:ind w:firstLine="0" w:firstLineChars="0"/>
              <w:jc w:val="center"/>
              <w:textAlignment w:val="auto"/>
              <w:rPr>
                <w:rFonts w:cs="宋体"/>
                <w:snapToGrid/>
                <w:sz w:val="28"/>
                <w:szCs w:val="28"/>
                <w:lang w:eastAsia="zh-CN"/>
              </w:rPr>
            </w:pPr>
            <w:r>
              <w:rPr>
                <w:rFonts w:hint="eastAsia" w:cs="宋体"/>
                <w:snapToGrid/>
                <w:sz w:val="28"/>
                <w:szCs w:val="28"/>
                <w:lang w:eastAsia="zh-CN"/>
              </w:rPr>
              <w:t>永顺集体林场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1466.72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2</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宋庄镇</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宋庄镇集体林场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30962.15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3</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微软雅黑" w:cs="微软雅黑"/>
                <w:snapToGrid/>
                <w:sz w:val="28"/>
                <w:szCs w:val="28"/>
                <w:lang w:eastAsia="zh-CN"/>
              </w:rPr>
              <w:t>漷</w:t>
            </w:r>
            <w:r>
              <w:rPr>
                <w:rFonts w:hint="eastAsia" w:eastAsia="仿宋_GB2312" w:cs="仿宋_GB2312"/>
                <w:snapToGrid/>
                <w:sz w:val="28"/>
                <w:szCs w:val="28"/>
                <w:lang w:eastAsia="zh-CN"/>
              </w:rPr>
              <w:t>县镇</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微软雅黑" w:cs="微软雅黑"/>
                <w:snapToGrid/>
                <w:sz w:val="28"/>
                <w:szCs w:val="28"/>
                <w:lang w:eastAsia="zh-CN"/>
              </w:rPr>
              <w:t>漷</w:t>
            </w:r>
            <w:r>
              <w:rPr>
                <w:rFonts w:hint="eastAsia" w:eastAsia="仿宋_GB2312" w:cs="仿宋_GB2312"/>
                <w:snapToGrid/>
                <w:sz w:val="28"/>
                <w:szCs w:val="28"/>
                <w:lang w:eastAsia="zh-CN"/>
              </w:rPr>
              <w:t>县镇集体林场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34156.4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4</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张家湾镇</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张家湾镇集体林场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24339.47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5</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马驹桥镇</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马驹桥镇集体林场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41095.72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6</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西集镇</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西集镇集体林场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37102.33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7</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永乐店镇</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永乐店镇集体林场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46508.4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8</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潞城镇</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潞城镇集体林场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9</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台湖镇</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台湖镇集体林场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36832.31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10</w:t>
            </w:r>
          </w:p>
        </w:tc>
        <w:tc>
          <w:tcPr>
            <w:tcW w:w="1708"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于家务乡</w:t>
            </w:r>
          </w:p>
        </w:tc>
        <w:tc>
          <w:tcPr>
            <w:tcW w:w="2990" w:type="dxa"/>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r>
              <w:rPr>
                <w:rFonts w:hint="eastAsia" w:eastAsia="仿宋_GB2312" w:cs="宋体"/>
                <w:snapToGrid/>
                <w:sz w:val="28"/>
                <w:szCs w:val="28"/>
                <w:lang w:eastAsia="zh-CN"/>
              </w:rPr>
              <w:t>于家务乡集体林场</w:t>
            </w: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19390.18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134"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hint="eastAsia" w:eastAsia="宋体" w:cs="Times New Roman"/>
                <w:snapToGrid/>
                <w:sz w:val="28"/>
                <w:szCs w:val="28"/>
                <w:lang w:eastAsia="zh-CN"/>
              </w:rPr>
              <w:t>总计</w:t>
            </w:r>
          </w:p>
        </w:tc>
        <w:tc>
          <w:tcPr>
            <w:tcW w:w="4699" w:type="dxa"/>
            <w:gridSpan w:val="2"/>
            <w:vAlign w:val="center"/>
          </w:tcPr>
          <w:p>
            <w:pPr>
              <w:kinsoku/>
              <w:autoSpaceDE/>
              <w:autoSpaceDN/>
              <w:spacing w:before="0" w:after="0" w:line="240" w:lineRule="auto"/>
              <w:ind w:firstLine="0" w:firstLineChars="0"/>
              <w:jc w:val="center"/>
              <w:textAlignment w:val="auto"/>
              <w:rPr>
                <w:rFonts w:eastAsia="仿宋_GB2312" w:cs="宋体"/>
                <w:snapToGrid/>
                <w:sz w:val="28"/>
                <w:szCs w:val="28"/>
                <w:lang w:eastAsia="zh-CN"/>
              </w:rPr>
            </w:pPr>
          </w:p>
        </w:tc>
        <w:tc>
          <w:tcPr>
            <w:tcW w:w="2990" w:type="dxa"/>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296853.68</w:t>
            </w:r>
          </w:p>
        </w:tc>
      </w:tr>
    </w:tbl>
    <w:p>
      <w:pPr>
        <w:spacing w:line="240" w:lineRule="auto"/>
        <w:ind w:firstLine="0" w:firstLineChars="0"/>
        <w:jc w:val="center"/>
        <w:rPr>
          <w:b/>
          <w:bCs/>
          <w:lang w:eastAsia="zh-CN"/>
        </w:rPr>
      </w:pPr>
      <w:r>
        <w:rPr>
          <w:b/>
          <w:bCs/>
        </w:rPr>
        <w:drawing>
          <wp:inline distT="0" distB="0" distL="0" distR="0">
            <wp:extent cx="5066665" cy="7157720"/>
            <wp:effectExtent l="0" t="0" r="635" b="508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5147311" cy="7271415"/>
                    </a:xfrm>
                    <a:prstGeom prst="rect">
                      <a:avLst/>
                    </a:prstGeom>
                    <a:noFill/>
                    <a:ln>
                      <a:noFill/>
                    </a:ln>
                  </pic:spPr>
                </pic:pic>
              </a:graphicData>
            </a:graphic>
          </wp:inline>
        </w:drawing>
      </w:r>
    </w:p>
    <w:p>
      <w:pPr>
        <w:spacing w:line="240" w:lineRule="auto"/>
        <w:ind w:firstLine="0" w:firstLineChars="0"/>
        <w:jc w:val="center"/>
        <w:rPr>
          <w:rFonts w:eastAsia="黑体"/>
          <w:sz w:val="24"/>
          <w:szCs w:val="18"/>
          <w:lang w:eastAsia="zh-CN"/>
        </w:rPr>
      </w:pPr>
      <w:r>
        <w:rPr>
          <w:rFonts w:hint="eastAsia" w:eastAsia="黑体"/>
          <w:sz w:val="24"/>
          <w:szCs w:val="18"/>
          <w:lang w:eastAsia="zh-CN"/>
        </w:rPr>
        <w:t>图</w:t>
      </w:r>
      <w:r>
        <w:rPr>
          <w:rFonts w:eastAsia="黑体"/>
          <w:sz w:val="24"/>
          <w:szCs w:val="18"/>
          <w:lang w:eastAsia="zh-CN"/>
        </w:rPr>
        <w:t>2-</w:t>
      </w:r>
      <w:r>
        <w:rPr>
          <w:rFonts w:hint="eastAsia" w:eastAsia="黑体"/>
          <w:sz w:val="24"/>
          <w:szCs w:val="18"/>
          <w:lang w:eastAsia="zh-CN"/>
        </w:rPr>
        <w:t>8</w:t>
      </w:r>
      <w:r>
        <w:rPr>
          <w:rFonts w:eastAsia="黑体"/>
          <w:sz w:val="24"/>
          <w:szCs w:val="18"/>
          <w:lang w:eastAsia="zh-CN"/>
        </w:rPr>
        <w:t xml:space="preserve"> </w:t>
      </w:r>
      <w:r>
        <w:rPr>
          <w:rFonts w:hint="eastAsia" w:eastAsia="黑体"/>
          <w:sz w:val="24"/>
          <w:szCs w:val="18"/>
          <w:lang w:eastAsia="zh-CN"/>
        </w:rPr>
        <w:t>林地按权属分布情况</w:t>
      </w:r>
    </w:p>
    <w:p>
      <w:pPr>
        <w:pStyle w:val="3"/>
      </w:pPr>
      <w:bookmarkStart w:id="48" w:name="_Toc213072484"/>
      <w:r>
        <w:rPr>
          <w:rFonts w:hint="eastAsia"/>
        </w:rPr>
        <w:t>三、社会经济概况</w:t>
      </w:r>
      <w:bookmarkEnd w:id="47"/>
      <w:bookmarkEnd w:id="48"/>
    </w:p>
    <w:p>
      <w:pPr>
        <w:pStyle w:val="5"/>
        <w:ind w:firstLineChars="0"/>
      </w:pPr>
      <w:bookmarkStart w:id="49" w:name="_Toc209952502"/>
      <w:bookmarkStart w:id="50" w:name="_Toc213072485"/>
      <w:r>
        <w:rPr>
          <w:rFonts w:hint="eastAsia"/>
        </w:rPr>
        <w:t>（一）人口概况</w:t>
      </w:r>
      <w:bookmarkEnd w:id="49"/>
      <w:bookmarkEnd w:id="50"/>
    </w:p>
    <w:p>
      <w:pPr>
        <w:ind w:firstLine="640"/>
        <w:rPr>
          <w:lang w:eastAsia="zh-CN"/>
        </w:rPr>
      </w:pPr>
      <w:r>
        <w:rPr>
          <w:rFonts w:hint="eastAsia"/>
          <w:lang w:eastAsia="zh-CN"/>
        </w:rPr>
        <w:t>通州区是北京城市副中心所在地，人口数量持续增长。</w:t>
      </w:r>
      <w:r>
        <w:rPr>
          <w:lang w:eastAsia="zh-CN"/>
        </w:rPr>
        <w:t>2024</w:t>
      </w:r>
      <w:r>
        <w:rPr>
          <w:rFonts w:hint="eastAsia"/>
          <w:lang w:eastAsia="zh-CN"/>
        </w:rPr>
        <w:t>年通州区常住人口</w:t>
      </w:r>
      <w:r>
        <w:rPr>
          <w:lang w:eastAsia="zh-CN"/>
        </w:rPr>
        <w:t>184.6</w:t>
      </w:r>
      <w:r>
        <w:rPr>
          <w:rFonts w:hint="eastAsia"/>
          <w:lang w:eastAsia="zh-CN"/>
        </w:rPr>
        <w:t>万人。其中，常住外来人口</w:t>
      </w:r>
      <w:r>
        <w:rPr>
          <w:lang w:eastAsia="zh-CN"/>
        </w:rPr>
        <w:t>88.6</w:t>
      </w:r>
      <w:r>
        <w:rPr>
          <w:rFonts w:hint="eastAsia"/>
          <w:lang w:eastAsia="zh-CN"/>
        </w:rPr>
        <w:t>万人，占常住人口比重为</w:t>
      </w:r>
      <w:r>
        <w:rPr>
          <w:lang w:eastAsia="zh-CN"/>
        </w:rPr>
        <w:t>48%</w:t>
      </w:r>
      <w:r>
        <w:rPr>
          <w:rFonts w:hint="eastAsia"/>
          <w:lang w:eastAsia="zh-CN"/>
        </w:rPr>
        <w:t>。常住人口中，城镇人口</w:t>
      </w:r>
      <w:r>
        <w:rPr>
          <w:lang w:eastAsia="zh-CN"/>
        </w:rPr>
        <w:t>136.7</w:t>
      </w:r>
      <w:r>
        <w:rPr>
          <w:rFonts w:hint="eastAsia"/>
          <w:lang w:eastAsia="zh-CN"/>
        </w:rPr>
        <w:t>万人，占常住人口的</w:t>
      </w:r>
      <w:r>
        <w:rPr>
          <w:lang w:eastAsia="zh-CN"/>
        </w:rPr>
        <w:t>74.1%</w:t>
      </w:r>
      <w:r>
        <w:rPr>
          <w:rFonts w:hint="eastAsia"/>
          <w:lang w:eastAsia="zh-CN"/>
        </w:rPr>
        <w:t>。全区常住人口出生率</w:t>
      </w:r>
      <w:r>
        <w:rPr>
          <w:lang w:eastAsia="zh-CN"/>
        </w:rPr>
        <w:t>6.08</w:t>
      </w:r>
      <w:r>
        <w:rPr>
          <w:rFonts w:hint="eastAsia"/>
          <w:lang w:eastAsia="zh-CN"/>
        </w:rPr>
        <w:t>‰，死亡率</w:t>
      </w:r>
      <w:r>
        <w:rPr>
          <w:lang w:eastAsia="zh-CN"/>
        </w:rPr>
        <w:t>7.33</w:t>
      </w:r>
      <w:r>
        <w:rPr>
          <w:rFonts w:hint="eastAsia"/>
          <w:lang w:eastAsia="zh-CN"/>
        </w:rPr>
        <w:t>‰。常住人口密度为每平方公里</w:t>
      </w:r>
      <w:r>
        <w:rPr>
          <w:lang w:eastAsia="zh-CN"/>
        </w:rPr>
        <w:t>2037</w:t>
      </w:r>
      <w:r>
        <w:rPr>
          <w:rFonts w:hint="eastAsia"/>
          <w:lang w:eastAsia="zh-CN"/>
        </w:rPr>
        <w:t>人。随着城市副中心的建设和发展，人口结构也在不断优化，吸引了大量的人才和劳动力流入。</w:t>
      </w:r>
    </w:p>
    <w:p>
      <w:pPr>
        <w:spacing w:line="240" w:lineRule="auto"/>
        <w:ind w:firstLine="0" w:firstLineChars="0"/>
        <w:jc w:val="center"/>
        <w:rPr>
          <w:lang w:eastAsia="zh-CN"/>
        </w:rPr>
      </w:pPr>
      <w:r>
        <w:rPr>
          <w:snapToGrid/>
        </w:rPr>
        <w:drawing>
          <wp:inline distT="0" distB="0" distL="0" distR="0">
            <wp:extent cx="5436870" cy="373380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240" w:lineRule="auto"/>
        <w:ind w:firstLine="0" w:firstLineChars="0"/>
        <w:jc w:val="center"/>
        <w:rPr>
          <w:rFonts w:eastAsia="黑体"/>
          <w:sz w:val="24"/>
          <w:szCs w:val="18"/>
          <w:lang w:eastAsia="zh-CN"/>
        </w:rPr>
      </w:pPr>
      <w:r>
        <w:rPr>
          <w:rFonts w:hint="eastAsia" w:eastAsia="黑体"/>
          <w:sz w:val="24"/>
          <w:szCs w:val="18"/>
          <w:lang w:eastAsia="zh-CN"/>
        </w:rPr>
        <w:t>图</w:t>
      </w:r>
      <w:r>
        <w:rPr>
          <w:rFonts w:eastAsia="黑体"/>
          <w:sz w:val="24"/>
          <w:szCs w:val="18"/>
          <w:lang w:eastAsia="zh-CN"/>
        </w:rPr>
        <w:t>2-</w:t>
      </w:r>
      <w:r>
        <w:rPr>
          <w:rFonts w:hint="eastAsia" w:eastAsia="黑体"/>
          <w:sz w:val="24"/>
          <w:szCs w:val="18"/>
          <w:lang w:eastAsia="zh-CN"/>
        </w:rPr>
        <w:t>9</w:t>
      </w:r>
      <w:r>
        <w:rPr>
          <w:rFonts w:eastAsia="黑体"/>
          <w:sz w:val="24"/>
          <w:szCs w:val="18"/>
          <w:lang w:eastAsia="zh-CN"/>
        </w:rPr>
        <w:t xml:space="preserve"> </w:t>
      </w:r>
      <w:r>
        <w:rPr>
          <w:rFonts w:hint="eastAsia" w:eastAsia="黑体"/>
          <w:sz w:val="24"/>
          <w:szCs w:val="18"/>
          <w:lang w:eastAsia="zh-CN"/>
        </w:rPr>
        <w:t>通州区</w:t>
      </w:r>
      <w:r>
        <w:rPr>
          <w:rFonts w:eastAsia="黑体"/>
          <w:sz w:val="24"/>
          <w:szCs w:val="18"/>
          <w:lang w:eastAsia="zh-CN"/>
        </w:rPr>
        <w:t>5</w:t>
      </w:r>
      <w:r>
        <w:rPr>
          <w:rFonts w:hint="eastAsia" w:eastAsia="黑体"/>
          <w:sz w:val="24"/>
          <w:szCs w:val="18"/>
          <w:lang w:eastAsia="zh-CN"/>
        </w:rPr>
        <w:t>年人口变化情况</w:t>
      </w:r>
    </w:p>
    <w:p>
      <w:pPr>
        <w:pStyle w:val="5"/>
        <w:ind w:firstLine="643"/>
      </w:pPr>
      <w:bookmarkStart w:id="51" w:name="_Toc209952503"/>
      <w:bookmarkStart w:id="52" w:name="_Toc213072486"/>
      <w:r>
        <w:rPr>
          <w:rFonts w:hint="eastAsia"/>
        </w:rPr>
        <w:t>（二）经济概况</w:t>
      </w:r>
      <w:bookmarkEnd w:id="51"/>
      <w:bookmarkEnd w:id="52"/>
    </w:p>
    <w:p>
      <w:pPr>
        <w:ind w:firstLine="640"/>
        <w:rPr>
          <w:lang w:eastAsia="zh-CN"/>
        </w:rPr>
      </w:pPr>
      <w:r>
        <w:rPr>
          <w:rFonts w:hint="eastAsia"/>
          <w:lang w:eastAsia="zh-CN"/>
        </w:rPr>
        <w:t>根据《通州区</w:t>
      </w:r>
      <w:r>
        <w:rPr>
          <w:lang w:eastAsia="zh-CN"/>
        </w:rPr>
        <w:t>2024</w:t>
      </w:r>
      <w:r>
        <w:rPr>
          <w:rFonts w:hint="eastAsia"/>
          <w:lang w:eastAsia="zh-CN"/>
        </w:rPr>
        <w:t>年国民经济和社会发展统计公报》显示，</w:t>
      </w:r>
      <w:r>
        <w:rPr>
          <w:lang w:eastAsia="zh-CN"/>
        </w:rPr>
        <w:t>2024</w:t>
      </w:r>
      <w:r>
        <w:rPr>
          <w:rFonts w:hint="eastAsia"/>
          <w:lang w:eastAsia="zh-CN"/>
        </w:rPr>
        <w:t>年，通州区实现地区生产总值</w:t>
      </w:r>
      <w:r>
        <w:rPr>
          <w:lang w:eastAsia="zh-CN"/>
        </w:rPr>
        <w:t>1508.1</w:t>
      </w:r>
      <w:r>
        <w:rPr>
          <w:rFonts w:hint="eastAsia"/>
          <w:lang w:eastAsia="zh-CN"/>
        </w:rPr>
        <w:t>亿元，按不变价格计算，比上年增长</w:t>
      </w:r>
      <w:r>
        <w:rPr>
          <w:lang w:eastAsia="zh-CN"/>
        </w:rPr>
        <w:t>5.8%</w:t>
      </w:r>
      <w:r>
        <w:rPr>
          <w:rFonts w:hint="eastAsia"/>
          <w:lang w:eastAsia="zh-CN"/>
        </w:rPr>
        <w:t>。其中，第一产业增加值</w:t>
      </w:r>
      <w:r>
        <w:rPr>
          <w:lang w:eastAsia="zh-CN"/>
        </w:rPr>
        <w:t>13.9</w:t>
      </w:r>
      <w:r>
        <w:rPr>
          <w:rFonts w:hint="eastAsia"/>
          <w:lang w:eastAsia="zh-CN"/>
        </w:rPr>
        <w:t>亿元，下降</w:t>
      </w:r>
      <w:r>
        <w:rPr>
          <w:lang w:eastAsia="zh-CN"/>
        </w:rPr>
        <w:t>1.5%</w:t>
      </w:r>
      <w:r>
        <w:rPr>
          <w:rFonts w:hint="eastAsia"/>
          <w:lang w:eastAsia="zh-CN"/>
        </w:rPr>
        <w:t>；第二产业增加值</w:t>
      </w:r>
      <w:r>
        <w:rPr>
          <w:lang w:eastAsia="zh-CN"/>
        </w:rPr>
        <w:t>527</w:t>
      </w:r>
      <w:r>
        <w:rPr>
          <w:rFonts w:hint="eastAsia"/>
          <w:lang w:eastAsia="zh-CN"/>
        </w:rPr>
        <w:t>亿元，增长</w:t>
      </w:r>
      <w:r>
        <w:rPr>
          <w:lang w:eastAsia="zh-CN"/>
        </w:rPr>
        <w:t>16.2%</w:t>
      </w:r>
      <w:r>
        <w:rPr>
          <w:rFonts w:hint="eastAsia"/>
          <w:lang w:eastAsia="zh-CN"/>
        </w:rPr>
        <w:t>；第三产业增加值</w:t>
      </w:r>
      <w:r>
        <w:rPr>
          <w:lang w:eastAsia="zh-CN"/>
        </w:rPr>
        <w:t>967.3</w:t>
      </w:r>
      <w:r>
        <w:rPr>
          <w:rFonts w:hint="eastAsia"/>
          <w:lang w:eastAsia="zh-CN"/>
        </w:rPr>
        <w:t>亿元，增长</w:t>
      </w:r>
      <w:r>
        <w:rPr>
          <w:lang w:eastAsia="zh-CN"/>
        </w:rPr>
        <w:t>1.1%</w:t>
      </w:r>
      <w:r>
        <w:rPr>
          <w:rFonts w:hint="eastAsia"/>
          <w:lang w:eastAsia="zh-CN"/>
        </w:rPr>
        <w:t>。三次产业结构由</w:t>
      </w:r>
      <w:r>
        <w:rPr>
          <w:lang w:eastAsia="zh-CN"/>
        </w:rPr>
        <w:t>2023</w:t>
      </w:r>
      <w:r>
        <w:rPr>
          <w:rFonts w:hint="eastAsia"/>
          <w:lang w:eastAsia="zh-CN"/>
        </w:rPr>
        <w:t>年的</w:t>
      </w:r>
      <w:r>
        <w:rPr>
          <w:lang w:eastAsia="zh-CN"/>
        </w:rPr>
        <w:t>1:31.9:67.1</w:t>
      </w:r>
      <w:r>
        <w:rPr>
          <w:rFonts w:hint="eastAsia"/>
          <w:lang w:eastAsia="zh-CN"/>
        </w:rPr>
        <w:t>优化调整为</w:t>
      </w:r>
      <w:r>
        <w:rPr>
          <w:lang w:eastAsia="zh-CN"/>
        </w:rPr>
        <w:t>0.9:34.9:64.1</w:t>
      </w:r>
      <w:r>
        <w:rPr>
          <w:rFonts w:hint="eastAsia"/>
          <w:lang w:eastAsia="zh-CN"/>
        </w:rPr>
        <w:t>，产业结构进一步优化升级。</w:t>
      </w:r>
    </w:p>
    <w:p>
      <w:pPr>
        <w:ind w:firstLine="640"/>
        <w:rPr>
          <w:lang w:eastAsia="zh-CN"/>
        </w:rPr>
      </w:pPr>
      <w:r>
        <w:rPr>
          <w:rFonts w:hint="eastAsia"/>
          <w:lang w:eastAsia="zh-CN"/>
        </w:rPr>
        <w:t>全年完成一般公共预算收入</w:t>
      </w:r>
      <w:r>
        <w:rPr>
          <w:lang w:eastAsia="zh-CN"/>
        </w:rPr>
        <w:t>95.3</w:t>
      </w:r>
      <w:r>
        <w:rPr>
          <w:rFonts w:hint="eastAsia"/>
          <w:lang w:eastAsia="zh-CN"/>
        </w:rPr>
        <w:t>亿元（不含台马地区），比上年增长</w:t>
      </w:r>
      <w:r>
        <w:rPr>
          <w:lang w:eastAsia="zh-CN"/>
        </w:rPr>
        <w:t>1.2%</w:t>
      </w:r>
      <w:r>
        <w:rPr>
          <w:rFonts w:hint="eastAsia"/>
          <w:lang w:eastAsia="zh-CN"/>
        </w:rPr>
        <w:t>；完成各项税收收入</w:t>
      </w:r>
      <w:r>
        <w:rPr>
          <w:lang w:eastAsia="zh-CN"/>
        </w:rPr>
        <w:t>292.7</w:t>
      </w:r>
      <w:r>
        <w:rPr>
          <w:rFonts w:hint="eastAsia"/>
          <w:lang w:eastAsia="zh-CN"/>
        </w:rPr>
        <w:t>亿元，增长</w:t>
      </w:r>
      <w:r>
        <w:rPr>
          <w:lang w:eastAsia="zh-CN"/>
        </w:rPr>
        <w:t>1.4%</w:t>
      </w:r>
      <w:r>
        <w:rPr>
          <w:rFonts w:hint="eastAsia"/>
          <w:lang w:eastAsia="zh-CN"/>
        </w:rPr>
        <w:t>，其中第二产业税收下降</w:t>
      </w:r>
      <w:r>
        <w:rPr>
          <w:lang w:eastAsia="zh-CN"/>
        </w:rPr>
        <w:t>1.4%</w:t>
      </w:r>
      <w:r>
        <w:rPr>
          <w:rFonts w:hint="eastAsia"/>
          <w:lang w:eastAsia="zh-CN"/>
        </w:rPr>
        <w:t>，第三产业税收增长</w:t>
      </w:r>
      <w:r>
        <w:rPr>
          <w:lang w:eastAsia="zh-CN"/>
        </w:rPr>
        <w:t>2.5%</w:t>
      </w:r>
      <w:r>
        <w:rPr>
          <w:rFonts w:hint="eastAsia"/>
          <w:lang w:eastAsia="zh-CN"/>
        </w:rPr>
        <w:t>，显示服务业对财政贡献稳步提升。</w:t>
      </w:r>
    </w:p>
    <w:p>
      <w:pPr>
        <w:pStyle w:val="5"/>
        <w:ind w:firstLine="643"/>
      </w:pPr>
      <w:bookmarkStart w:id="53" w:name="_Toc209952504"/>
      <w:bookmarkStart w:id="54" w:name="_Toc213072487"/>
      <w:r>
        <w:rPr>
          <w:rFonts w:hint="eastAsia"/>
        </w:rPr>
        <w:t>（三）交通概况</w:t>
      </w:r>
      <w:bookmarkEnd w:id="53"/>
      <w:bookmarkEnd w:id="54"/>
    </w:p>
    <w:p>
      <w:pPr>
        <w:ind w:firstLine="640"/>
        <w:rPr>
          <w:lang w:eastAsia="zh-CN"/>
        </w:rPr>
      </w:pPr>
      <w:r>
        <w:rPr>
          <w:rFonts w:hint="eastAsia"/>
          <w:lang w:eastAsia="zh-CN"/>
        </w:rPr>
        <w:t>通州区已构建起高效便捷、多网融合的现代化综合交通体系。区域路网结构持续优化，全区公路总里程达</w:t>
      </w:r>
      <w:r>
        <w:rPr>
          <w:lang w:eastAsia="zh-CN"/>
        </w:rPr>
        <w:t>2523.9</w:t>
      </w:r>
      <w:r>
        <w:rPr>
          <w:rFonts w:hint="eastAsia"/>
          <w:lang w:eastAsia="zh-CN"/>
        </w:rPr>
        <w:t>公里，其中县级以上公路</w:t>
      </w:r>
      <w:r>
        <w:rPr>
          <w:lang w:eastAsia="zh-CN"/>
        </w:rPr>
        <w:t>690.1</w:t>
      </w:r>
      <w:r>
        <w:rPr>
          <w:rFonts w:hint="eastAsia"/>
          <w:lang w:eastAsia="zh-CN"/>
        </w:rPr>
        <w:t>公里，专用公路</w:t>
      </w:r>
      <w:r>
        <w:rPr>
          <w:lang w:eastAsia="zh-CN"/>
        </w:rPr>
        <w:t>160.8</w:t>
      </w:r>
      <w:r>
        <w:rPr>
          <w:rFonts w:hint="eastAsia"/>
          <w:lang w:eastAsia="zh-CN"/>
        </w:rPr>
        <w:t>公里，乡道</w:t>
      </w:r>
      <w:r>
        <w:rPr>
          <w:lang w:eastAsia="zh-CN"/>
        </w:rPr>
        <w:t>1054.3</w:t>
      </w:r>
      <w:r>
        <w:rPr>
          <w:rFonts w:hint="eastAsia"/>
          <w:lang w:eastAsia="zh-CN"/>
        </w:rPr>
        <w:t>公里，村道</w:t>
      </w:r>
      <w:r>
        <w:rPr>
          <w:lang w:eastAsia="zh-CN"/>
        </w:rPr>
        <w:t>618.7</w:t>
      </w:r>
      <w:r>
        <w:rPr>
          <w:rFonts w:hint="eastAsia"/>
          <w:lang w:eastAsia="zh-CN"/>
        </w:rPr>
        <w:t>公里，形成了层次分明、覆盖全面的公路网络体系。京哈高速、京津高速等国家级高速公路纵贯全区，轨道交通网络不断完善，京唐城际铁路、京滨城际铁路等区域铁路干线相继开通运营，大幅缩短了与周边城市的时空距离。城市轨道交通方面，北京地铁</w:t>
      </w:r>
      <w:r>
        <w:rPr>
          <w:lang w:eastAsia="zh-CN"/>
        </w:rPr>
        <w:t>6</w:t>
      </w:r>
      <w:r>
        <w:rPr>
          <w:rFonts w:hint="eastAsia"/>
          <w:lang w:eastAsia="zh-CN"/>
        </w:rPr>
        <w:t>号线、</w:t>
      </w:r>
      <w:r>
        <w:rPr>
          <w:lang w:eastAsia="zh-CN"/>
        </w:rPr>
        <w:t>7</w:t>
      </w:r>
      <w:r>
        <w:rPr>
          <w:rFonts w:hint="eastAsia"/>
          <w:lang w:eastAsia="zh-CN"/>
        </w:rPr>
        <w:t>号线等骨干线路贯通运行，形成了连接中心城区与城市副中心的快速通勤走廊。</w:t>
      </w:r>
    </w:p>
    <w:p>
      <w:pPr>
        <w:kinsoku/>
        <w:autoSpaceDE/>
        <w:autoSpaceDN/>
        <w:adjustRightInd/>
        <w:snapToGrid/>
        <w:spacing w:before="0" w:after="0" w:line="240" w:lineRule="auto"/>
        <w:ind w:firstLine="0" w:firstLineChars="0"/>
        <w:jc w:val="left"/>
        <w:textAlignment w:val="auto"/>
        <w:rPr>
          <w:lang w:eastAsia="zh-CN"/>
        </w:rPr>
      </w:pPr>
      <w:r>
        <w:rPr>
          <w:lang w:eastAsia="zh-CN"/>
        </w:rPr>
        <w:br w:type="page"/>
      </w:r>
    </w:p>
    <w:p>
      <w:pPr>
        <w:pStyle w:val="2"/>
        <w:rPr>
          <w:rFonts w:hint="eastAsia"/>
        </w:rPr>
      </w:pPr>
      <w:bookmarkStart w:id="55" w:name="_Toc209952505"/>
      <w:bookmarkStart w:id="56" w:name="_Toc213072488"/>
      <w:r>
        <w:rPr>
          <w:rFonts w:hint="eastAsia"/>
        </w:rPr>
        <w:t>第三章</w:t>
      </w:r>
      <w:r>
        <w:t xml:space="preserve"> </w:t>
      </w:r>
      <w:r>
        <w:rPr>
          <w:rFonts w:hint="eastAsia"/>
        </w:rPr>
        <w:t>森林防火现状</w:t>
      </w:r>
      <w:bookmarkEnd w:id="55"/>
      <w:r>
        <w:rPr>
          <w:rFonts w:hint="eastAsia"/>
        </w:rPr>
        <w:t>及评价</w:t>
      </w:r>
      <w:bookmarkEnd w:id="56"/>
    </w:p>
    <w:p>
      <w:pPr>
        <w:pStyle w:val="3"/>
      </w:pPr>
      <w:bookmarkStart w:id="57" w:name="_Toc213072489"/>
      <w:r>
        <w:rPr>
          <w:rFonts w:hint="eastAsia"/>
        </w:rPr>
        <w:t>、历史火情分析</w:t>
      </w:r>
      <w:bookmarkEnd w:id="57"/>
    </w:p>
    <w:p>
      <w:pPr>
        <w:ind w:firstLine="640"/>
        <w:rPr>
          <w:lang w:eastAsia="zh-CN"/>
        </w:rPr>
      </w:pPr>
      <w:r>
        <w:rPr>
          <w:rFonts w:hint="eastAsia"/>
          <w:lang w:eastAsia="zh-CN"/>
        </w:rPr>
        <w:t>全区森林防火形势持续向好，近十年保持森林火灾“零发生”的良好态势，为通州区生态文明建设和高质量发展提供了坚实的生态安全保障。通州区森林火险以人为火源为主导，集中表现为清明、寒衣节等祭祀烧纸，秋冬季秸秆杂草露天焚烧，以及野外烧烤、烟头乱扔等行为；村庄、散坟、道路、荒地毗邻等林缘交界区域火情风险较大；枯枝落叶、杨柳飞絮、松针等季节性可燃物积聚，存在起火风险，整体呈现点多、面广、防控难度大的特点。</w:t>
      </w:r>
    </w:p>
    <w:p>
      <w:pPr>
        <w:pStyle w:val="3"/>
      </w:pPr>
      <w:bookmarkStart w:id="58" w:name="_Toc213072490"/>
      <w:r>
        <w:rPr>
          <w:rFonts w:hint="eastAsia"/>
        </w:rPr>
        <w:t>二、森林防火现状</w:t>
      </w:r>
      <w:bookmarkEnd w:id="58"/>
    </w:p>
    <w:p>
      <w:pPr>
        <w:pStyle w:val="5"/>
        <w:ind w:firstLine="643"/>
      </w:pPr>
      <w:bookmarkStart w:id="59" w:name="_Toc213072491"/>
      <w:r>
        <w:rPr>
          <w:rFonts w:hint="eastAsia"/>
          <w:color w:val="auto"/>
        </w:rPr>
        <w:t>（一）森林防火组织机构</w:t>
      </w:r>
      <w:bookmarkEnd w:id="59"/>
    </w:p>
    <w:p>
      <w:pPr>
        <w:ind w:firstLine="640"/>
        <w:rPr>
          <w:lang w:eastAsia="zh-CN"/>
        </w:rPr>
      </w:pPr>
      <w:r>
        <w:rPr>
          <w:rFonts w:hint="eastAsia"/>
          <w:lang w:eastAsia="zh-CN"/>
        </w:rPr>
        <w:t>通州区森林防火工作实行统一领导、分级负责、属地管理与专业支撑相结合的组织体系。最高指挥机构为通州区森林防火指挥部（简称“区森防指”），在区委、区政府的直接指导下开展工作。区森防指负责贯彻执行国家森林防火方针政策，监督相关法律法规实施，制定森林火灾应急预案，掌握火情动态并组织指挥扑救行动，同时承担防火宣传教育和科研组织等职责。指挥部由常务副区长担任总指挥，主管园林和应急管理的副区长担任副总指挥，成员包括区应急管理局、区园林绿化局、市公安局通州分局、通州消防救援支队等区级部门负责人，以及各涉林镇（街道）森林防火应急指挥部负责人和相关单位主管领导。</w:t>
      </w:r>
    </w:p>
    <w:p>
      <w:pPr>
        <w:ind w:firstLine="640"/>
        <w:rPr>
          <w:lang w:eastAsia="zh-CN"/>
        </w:rPr>
      </w:pPr>
      <w:r>
        <w:rPr>
          <w:rFonts w:hint="eastAsia"/>
          <w:lang w:eastAsia="zh-CN"/>
        </w:rPr>
        <w:t>区森防指下设办公室，作为常设办事机构，设在区应急管理局，由应急管理局局长兼任办公室主任。该办公室根据指挥部的决策部署，具体承担全区森林火灾预防和扑救工作的组织、协调、指导、督促与检查任务，是连接指挥决策与基层执行的关键枢纽。在专业力量建设方面，通州区组建了</w:t>
      </w:r>
      <w:r>
        <w:rPr>
          <w:lang w:eastAsia="zh-CN"/>
        </w:rPr>
        <w:t>1</w:t>
      </w:r>
      <w:r>
        <w:rPr>
          <w:rFonts w:hint="eastAsia"/>
          <w:lang w:eastAsia="zh-CN"/>
        </w:rPr>
        <w:t>支区级森林消防专业队伍——通州区森林消防综合应急救援支队，核定编制</w:t>
      </w:r>
      <w:r>
        <w:rPr>
          <w:lang w:eastAsia="zh-CN"/>
        </w:rPr>
        <w:t>95</w:t>
      </w:r>
      <w:r>
        <w:rPr>
          <w:rFonts w:hint="eastAsia"/>
          <w:lang w:eastAsia="zh-CN"/>
        </w:rPr>
        <w:t>人，现有队员</w:t>
      </w:r>
      <w:r>
        <w:rPr>
          <w:lang w:eastAsia="zh-CN"/>
        </w:rPr>
        <w:t>81</w:t>
      </w:r>
      <w:r>
        <w:rPr>
          <w:rFonts w:hint="eastAsia"/>
          <w:lang w:eastAsia="zh-CN"/>
        </w:rPr>
        <w:t>人，下设台湖一中队和潞城二中队。队伍实行军事化管理、集中食宿和</w:t>
      </w:r>
      <w:r>
        <w:rPr>
          <w:lang w:eastAsia="zh-CN"/>
        </w:rPr>
        <w:t>24</w:t>
      </w:r>
      <w:r>
        <w:rPr>
          <w:rFonts w:hint="eastAsia"/>
          <w:lang w:eastAsia="zh-CN"/>
        </w:rPr>
        <w:t>小时备勤制度，通过完善规章制度、明确岗位职责、规范工作流程，显著提升了专业化水平，成为扑救森林火灾的核心力量。</w:t>
      </w:r>
    </w:p>
    <w:p>
      <w:pPr>
        <w:ind w:firstLine="640"/>
        <w:rPr>
          <w:lang w:eastAsia="zh-CN"/>
        </w:rPr>
      </w:pPr>
      <w:r>
        <w:rPr>
          <w:rFonts w:hint="eastAsia"/>
          <w:lang w:eastAsia="zh-CN"/>
        </w:rPr>
        <w:t>各街道办事处和乡镇人民政府承担属地防火责任。其主要职责包括保障林区周边居民区及重要设施的消防安全，及时调度辖区内包括林区消防中队在内的各类消防力量，积极配合开展火灾扑救工作。其中，永顺镇、潞城镇、漷县镇、马驹桥镇、宋庄镇、台湖镇、西集镇、永乐店镇、于家务乡和张家湾镇等10个涉林乡镇均已组建街镇级森林防灭火队伍，巡查和火灾早期处置工作由镇集体林场负责；其余非涉林或林区较少的乡镇和街道，则由属地政府总体统筹指挥森林防火相关工作。</w:t>
      </w:r>
    </w:p>
    <w:p>
      <w:pPr>
        <w:pStyle w:val="5"/>
        <w:ind w:firstLine="643"/>
      </w:pPr>
      <w:bookmarkStart w:id="60" w:name="_Toc213072492"/>
      <w:bookmarkStart w:id="61" w:name="_Toc209952508"/>
      <w:r>
        <w:rPr>
          <w:rFonts w:hint="eastAsia"/>
        </w:rPr>
        <w:t>（二）</w:t>
      </w:r>
      <w:bookmarkStart w:id="62" w:name="OLE_LINK2"/>
      <w:r>
        <w:rPr>
          <w:rFonts w:hint="eastAsia"/>
        </w:rPr>
        <w:t>森林防火基础设施</w:t>
      </w:r>
      <w:bookmarkEnd w:id="60"/>
      <w:bookmarkEnd w:id="62"/>
    </w:p>
    <w:p>
      <w:pPr>
        <w:pStyle w:val="6"/>
        <w:ind w:firstLine="643"/>
      </w:pPr>
      <w:r>
        <w:t>1.</w:t>
      </w:r>
      <w:r>
        <w:rPr>
          <w:rFonts w:hint="eastAsia"/>
        </w:rPr>
        <w:t>防火道路方面</w:t>
      </w:r>
    </w:p>
    <w:p>
      <w:pPr>
        <w:ind w:firstLine="640"/>
        <w:rPr>
          <w:lang w:eastAsia="zh-CN"/>
        </w:rPr>
      </w:pPr>
      <w:r>
        <w:rPr>
          <w:rFonts w:hint="eastAsia"/>
          <w:lang w:eastAsia="zh-CN"/>
        </w:rPr>
        <w:t>通州区地处平原地区，主要依托平原造林生产作业道路开展林区防火工作，林区内部道路系统相对完善，但需解决标准化不足、维护缺失和局部道路不畅等痛点，以提升高火险应对能力。同时，充分借助林地周边的国道、省道以及乡村公路等社会道路协同构建森林防火道路网络，大部分区域能形成联通的路网，防火道路系统已初步建成，但林区内防火巡护道路多为土路，易蔓生杂草，影响人、车通行。</w:t>
      </w:r>
    </w:p>
    <w:p>
      <w:pPr>
        <w:pStyle w:val="6"/>
        <w:ind w:firstLine="643"/>
      </w:pPr>
      <w:r>
        <w:t>2.</w:t>
      </w:r>
      <w:r>
        <w:rPr>
          <w:rFonts w:hint="eastAsia"/>
        </w:rPr>
        <w:t>取水设施方面</w:t>
      </w:r>
    </w:p>
    <w:p>
      <w:pPr>
        <w:ind w:firstLine="640"/>
        <w:rPr>
          <w:lang w:eastAsia="zh-CN"/>
        </w:rPr>
      </w:pPr>
      <w:r>
        <w:rPr>
          <w:rFonts w:hint="eastAsia"/>
          <w:lang w:eastAsia="zh-CN"/>
        </w:rPr>
        <w:t>林地内主要依托消防水鹤作为核心供水节点，全区现有消防水鹤33个，分布在7个乡镇，数量与全区林地面积不匹配，区域分布不均，潞城镇有12个消防水鹤，于家务乡和台湖镇等镇仅有1个。漷县、潞城镇和张家湾镇同时结合林地内湿地资源的生态功能，拓展多元化水源保障能力，提升防火用水的可持续性。</w:t>
      </w:r>
    </w:p>
    <w:p>
      <w:pPr>
        <w:widowControl w:val="0"/>
        <w:ind w:firstLine="640"/>
        <w:rPr>
          <w:lang w:eastAsia="zh-CN"/>
        </w:rPr>
      </w:pPr>
      <w:r>
        <w:rPr>
          <w:rFonts w:hint="eastAsia"/>
          <w:lang w:eastAsia="zh-CN"/>
        </w:rPr>
        <w:t>随着生态环境保护要求日益严格，地下水开采受到进一步限制，传统林场用水模式面临转型压力。</w:t>
      </w:r>
    </w:p>
    <w:p>
      <w:pPr>
        <w:pStyle w:val="13"/>
        <w:widowControl w:val="0"/>
      </w:pPr>
      <w:r>
        <w:rPr>
          <w:rFonts w:hint="eastAsia"/>
        </w:rPr>
        <w:t>表</w:t>
      </w:r>
      <w:r>
        <w:t xml:space="preserve">3-1 </w:t>
      </w:r>
      <w:r>
        <w:rPr>
          <w:rFonts w:hint="eastAsia"/>
        </w:rPr>
        <w:t>通州区有林地区取水设施情况表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868"/>
        <w:gridCol w:w="1209"/>
        <w:gridCol w:w="1643"/>
        <w:gridCol w:w="292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blHeader/>
        </w:trPr>
        <w:tc>
          <w:tcPr>
            <w:tcW w:w="479" w:type="pct"/>
            <w:vAlign w:val="center"/>
          </w:tcPr>
          <w:p>
            <w:pPr>
              <w:widowControl w:val="0"/>
              <w:kinsoku/>
              <w:autoSpaceDE/>
              <w:autoSpaceDN/>
              <w:spacing w:before="0" w:after="0" w:line="240" w:lineRule="auto"/>
              <w:ind w:firstLine="0" w:firstLineChars="0"/>
              <w:jc w:val="center"/>
              <w:textAlignment w:val="auto"/>
              <w:rPr>
                <w:rFonts w:eastAsia="仿宋_GB2312" w:cs="宋体"/>
                <w:b/>
                <w:bCs/>
                <w:snapToGrid/>
                <w:color w:val="auto"/>
                <w:sz w:val="24"/>
                <w:szCs w:val="24"/>
                <w:lang w:eastAsia="zh-CN"/>
              </w:rPr>
            </w:pPr>
            <w:r>
              <w:rPr>
                <w:rFonts w:hint="eastAsia" w:eastAsia="仿宋_GB2312" w:cs="宋体"/>
                <w:b/>
                <w:bCs/>
                <w:snapToGrid/>
                <w:color w:val="auto"/>
                <w:sz w:val="24"/>
                <w:szCs w:val="24"/>
                <w:lang w:eastAsia="zh-CN"/>
              </w:rPr>
              <w:t>序号</w:t>
            </w:r>
          </w:p>
        </w:tc>
        <w:tc>
          <w:tcPr>
            <w:tcW w:w="667" w:type="pct"/>
            <w:vAlign w:val="center"/>
          </w:tcPr>
          <w:p>
            <w:pPr>
              <w:widowControl w:val="0"/>
              <w:kinsoku/>
              <w:autoSpaceDE/>
              <w:autoSpaceDN/>
              <w:spacing w:before="0" w:after="0" w:line="240" w:lineRule="auto"/>
              <w:ind w:firstLine="0" w:firstLineChars="0"/>
              <w:jc w:val="center"/>
              <w:textAlignment w:val="auto"/>
              <w:rPr>
                <w:rFonts w:eastAsia="仿宋_GB2312" w:cs="宋体"/>
                <w:b/>
                <w:bCs/>
                <w:snapToGrid/>
                <w:color w:val="auto"/>
                <w:sz w:val="24"/>
                <w:szCs w:val="24"/>
                <w:lang w:eastAsia="zh-CN"/>
              </w:rPr>
            </w:pPr>
            <w:r>
              <w:rPr>
                <w:rFonts w:hint="eastAsia" w:eastAsia="仿宋_GB2312" w:cs="宋体"/>
                <w:b/>
                <w:bCs/>
                <w:snapToGrid/>
                <w:color w:val="auto"/>
                <w:sz w:val="24"/>
                <w:szCs w:val="24"/>
                <w:lang w:eastAsia="zh-CN"/>
              </w:rPr>
              <w:t>所属区</w:t>
            </w:r>
          </w:p>
        </w:tc>
        <w:tc>
          <w:tcPr>
            <w:tcW w:w="907" w:type="pct"/>
            <w:vAlign w:val="center"/>
          </w:tcPr>
          <w:p>
            <w:pPr>
              <w:widowControl w:val="0"/>
              <w:kinsoku/>
              <w:autoSpaceDE/>
              <w:autoSpaceDN/>
              <w:spacing w:before="0" w:after="0" w:line="240" w:lineRule="auto"/>
              <w:ind w:firstLine="0" w:firstLineChars="0"/>
              <w:jc w:val="center"/>
              <w:textAlignment w:val="auto"/>
              <w:rPr>
                <w:rFonts w:eastAsia="仿宋_GB2312" w:cs="宋体"/>
                <w:b/>
                <w:bCs/>
                <w:snapToGrid/>
                <w:color w:val="auto"/>
                <w:sz w:val="24"/>
                <w:szCs w:val="24"/>
                <w:lang w:eastAsia="zh-CN"/>
              </w:rPr>
            </w:pPr>
            <w:r>
              <w:rPr>
                <w:rFonts w:hint="eastAsia" w:eastAsia="仿宋_GB2312" w:cs="宋体"/>
                <w:b/>
                <w:bCs/>
                <w:snapToGrid/>
                <w:color w:val="auto"/>
                <w:sz w:val="24"/>
                <w:szCs w:val="24"/>
                <w:lang w:eastAsia="zh-CN"/>
              </w:rPr>
              <w:t>所属乡镇</w:t>
            </w:r>
          </w:p>
        </w:tc>
        <w:tc>
          <w:tcPr>
            <w:tcW w:w="1616" w:type="pct"/>
            <w:vAlign w:val="center"/>
          </w:tcPr>
          <w:p>
            <w:pPr>
              <w:widowControl w:val="0"/>
              <w:kinsoku/>
              <w:autoSpaceDE/>
              <w:autoSpaceDN/>
              <w:spacing w:before="0" w:after="0" w:line="240" w:lineRule="auto"/>
              <w:ind w:firstLine="0" w:firstLineChars="0"/>
              <w:jc w:val="center"/>
              <w:textAlignment w:val="auto"/>
              <w:rPr>
                <w:rFonts w:eastAsia="仿宋_GB2312" w:cs="宋体"/>
                <w:b/>
                <w:bCs/>
                <w:snapToGrid/>
                <w:color w:val="auto"/>
                <w:sz w:val="24"/>
                <w:szCs w:val="24"/>
                <w:lang w:eastAsia="zh-CN"/>
              </w:rPr>
            </w:pPr>
            <w:r>
              <w:rPr>
                <w:rFonts w:hint="eastAsia" w:eastAsia="仿宋_GB2312" w:cs="宋体"/>
                <w:b/>
                <w:bCs/>
                <w:snapToGrid/>
                <w:color w:val="auto"/>
                <w:sz w:val="24"/>
                <w:szCs w:val="24"/>
                <w:lang w:eastAsia="zh-CN"/>
              </w:rPr>
              <w:t>名称</w:t>
            </w:r>
          </w:p>
        </w:tc>
        <w:tc>
          <w:tcPr>
            <w:tcW w:w="1331" w:type="pct"/>
            <w:vAlign w:val="center"/>
          </w:tcPr>
          <w:p>
            <w:pPr>
              <w:widowControl w:val="0"/>
              <w:kinsoku/>
              <w:autoSpaceDE/>
              <w:autoSpaceDN/>
              <w:spacing w:before="0" w:after="0" w:line="240" w:lineRule="auto"/>
              <w:ind w:firstLine="0" w:firstLineChars="0"/>
              <w:jc w:val="center"/>
              <w:textAlignment w:val="auto"/>
              <w:rPr>
                <w:rFonts w:eastAsia="仿宋_GB2312" w:cs="宋体"/>
                <w:b/>
                <w:bCs/>
                <w:snapToGrid/>
                <w:color w:val="auto"/>
                <w:sz w:val="24"/>
                <w:szCs w:val="24"/>
                <w:lang w:eastAsia="zh-CN"/>
              </w:rPr>
            </w:pPr>
            <w:r>
              <w:rPr>
                <w:rFonts w:hint="eastAsia" w:eastAsia="仿宋_GB2312" w:cs="宋体"/>
                <w:b/>
                <w:bCs/>
                <w:snapToGrid/>
                <w:color w:val="auto"/>
                <w:sz w:val="24"/>
                <w:szCs w:val="24"/>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w:t>
            </w:r>
          </w:p>
        </w:tc>
        <w:tc>
          <w:tcPr>
            <w:tcW w:w="66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微软雅黑" w:cs="微软雅黑"/>
                <w:snapToGrid/>
                <w:color w:val="auto"/>
                <w:sz w:val="24"/>
                <w:szCs w:val="24"/>
                <w:lang w:eastAsia="zh-CN"/>
              </w:rPr>
              <w:t>漷</w:t>
            </w:r>
            <w:r>
              <w:rPr>
                <w:rFonts w:hint="eastAsia" w:eastAsia="仿宋_GB2312" w:cs="宋体"/>
                <w:snapToGrid/>
                <w:color w:val="auto"/>
                <w:sz w:val="24"/>
                <w:szCs w:val="24"/>
                <w:lang w:eastAsia="zh-CN"/>
              </w:rPr>
              <w:t>县镇</w:t>
            </w: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湿地</w:t>
            </w:r>
            <w:r>
              <w:rPr>
                <w:rFonts w:eastAsia="仿宋_GB2312" w:cs="宋体"/>
                <w:snapToGrid/>
                <w:color w:val="auto"/>
                <w:sz w:val="24"/>
                <w:szCs w:val="24"/>
                <w:lang w:eastAsia="zh-CN"/>
              </w:rPr>
              <w:t>/</w:t>
            </w:r>
            <w:r>
              <w:rPr>
                <w:rFonts w:hint="eastAsia" w:eastAsia="仿宋_GB2312" w:cs="宋体"/>
                <w:snapToGrid/>
                <w:color w:val="auto"/>
                <w:sz w:val="24"/>
                <w:szCs w:val="24"/>
                <w:lang w:eastAsia="zh-CN"/>
              </w:rPr>
              <w:t>消防水鹤</w:t>
            </w:r>
          </w:p>
        </w:tc>
        <w:tc>
          <w:tcPr>
            <w:tcW w:w="1331" w:type="pct"/>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vMerge w:val="restart"/>
            <w:noWrap/>
            <w:vAlign w:val="center"/>
          </w:tcPr>
          <w:p>
            <w:pPr>
              <w:widowControl w:val="0"/>
              <w:spacing w:before="0" w:after="0" w:line="240" w:lineRule="auto"/>
              <w:ind w:firstLine="0" w:firstLineChars="0"/>
              <w:jc w:val="center"/>
              <w:rPr>
                <w:rFonts w:eastAsia="仿宋_GB2312" w:cs="宋体"/>
                <w:snapToGrid/>
                <w:color w:val="auto"/>
                <w:sz w:val="24"/>
                <w:szCs w:val="24"/>
                <w:lang w:eastAsia="zh-CN"/>
              </w:rPr>
            </w:pPr>
            <w:r>
              <w:rPr>
                <w:rFonts w:hint="eastAsia" w:eastAsia="仿宋_GB2312" w:cs="宋体"/>
                <w:snapToGrid/>
                <w:color w:val="auto"/>
                <w:sz w:val="24"/>
                <w:szCs w:val="24"/>
                <w:lang w:eastAsia="zh-CN"/>
              </w:rPr>
              <w:t>2</w:t>
            </w:r>
          </w:p>
        </w:tc>
        <w:tc>
          <w:tcPr>
            <w:tcW w:w="667" w:type="pct"/>
            <w:vMerge w:val="restar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vMerge w:val="restart"/>
            <w:noWrap/>
            <w:vAlign w:val="center"/>
          </w:tcPr>
          <w:p>
            <w:pPr>
              <w:widowControl w:val="0"/>
              <w:spacing w:before="0" w:after="0" w:line="240" w:lineRule="auto"/>
              <w:ind w:firstLine="0" w:firstLineChars="0"/>
              <w:jc w:val="center"/>
              <w:rPr>
                <w:rFonts w:eastAsia="仿宋_GB2312" w:cs="宋体"/>
                <w:snapToGrid/>
                <w:color w:val="auto"/>
                <w:sz w:val="24"/>
                <w:szCs w:val="24"/>
                <w:lang w:eastAsia="zh-CN"/>
              </w:rPr>
            </w:pPr>
            <w:r>
              <w:rPr>
                <w:rFonts w:hint="eastAsia" w:eastAsia="仿宋_GB2312" w:cs="宋体"/>
                <w:snapToGrid/>
                <w:color w:val="auto"/>
                <w:sz w:val="24"/>
                <w:szCs w:val="24"/>
                <w:lang w:eastAsia="zh-CN"/>
              </w:rPr>
              <w:t>潞城镇</w:t>
            </w: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消防水鹤</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vMerge w:val="continue"/>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p>
        </w:tc>
        <w:tc>
          <w:tcPr>
            <w:tcW w:w="667" w:type="pct"/>
            <w:vMerge w:val="continue"/>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p>
        </w:tc>
        <w:tc>
          <w:tcPr>
            <w:tcW w:w="907" w:type="pct"/>
            <w:vMerge w:val="continue"/>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湿地</w:t>
            </w:r>
            <w:r>
              <w:rPr>
                <w:rFonts w:eastAsia="仿宋_GB2312" w:cs="宋体"/>
                <w:snapToGrid/>
                <w:color w:val="auto"/>
                <w:sz w:val="24"/>
                <w:szCs w:val="24"/>
                <w:lang w:eastAsia="zh-CN"/>
              </w:rPr>
              <w:t>/</w:t>
            </w:r>
            <w:r>
              <w:rPr>
                <w:rFonts w:hint="eastAsia" w:eastAsia="仿宋_GB2312" w:cs="宋体"/>
                <w:snapToGrid/>
                <w:color w:val="auto"/>
                <w:sz w:val="24"/>
                <w:szCs w:val="24"/>
                <w:lang w:eastAsia="zh-CN"/>
              </w:rPr>
              <w:t>消防水鹤</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3</w:t>
            </w:r>
          </w:p>
        </w:tc>
        <w:tc>
          <w:tcPr>
            <w:tcW w:w="66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马驹桥镇</w:t>
            </w: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消防水鹤</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4</w:t>
            </w:r>
          </w:p>
        </w:tc>
        <w:tc>
          <w:tcPr>
            <w:tcW w:w="66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台湖镇</w:t>
            </w: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消防水鹤</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5</w:t>
            </w:r>
          </w:p>
        </w:tc>
        <w:tc>
          <w:tcPr>
            <w:tcW w:w="66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西集镇</w:t>
            </w: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蓄水池</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6</w:t>
            </w:r>
          </w:p>
        </w:tc>
        <w:tc>
          <w:tcPr>
            <w:tcW w:w="66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永乐店镇</w:t>
            </w: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林木智能保护基站</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7</w:t>
            </w:r>
          </w:p>
        </w:tc>
        <w:tc>
          <w:tcPr>
            <w:tcW w:w="66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永顺镇</w:t>
            </w: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消防水鹤</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8</w:t>
            </w:r>
          </w:p>
        </w:tc>
        <w:tc>
          <w:tcPr>
            <w:tcW w:w="66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于家务乡</w:t>
            </w:r>
          </w:p>
        </w:tc>
        <w:tc>
          <w:tcPr>
            <w:tcW w:w="1616"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消防水鹤</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479"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9</w:t>
            </w:r>
          </w:p>
        </w:tc>
        <w:tc>
          <w:tcPr>
            <w:tcW w:w="66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通州区</w:t>
            </w:r>
          </w:p>
        </w:tc>
        <w:tc>
          <w:tcPr>
            <w:tcW w:w="907" w:type="pct"/>
            <w:noWrap/>
            <w:vAlign w:val="center"/>
          </w:tcPr>
          <w:p>
            <w:pPr>
              <w:widowControl w:val="0"/>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张家湾镇</w:t>
            </w:r>
          </w:p>
        </w:tc>
        <w:tc>
          <w:tcPr>
            <w:tcW w:w="1616" w:type="pct"/>
            <w:shd w:val="clear" w:color="000000" w:fill="FFFFFF"/>
            <w:noWrap/>
            <w:vAlign w:val="center"/>
          </w:tcPr>
          <w:p>
            <w:pPr>
              <w:widowControl w:val="0"/>
              <w:kinsoku/>
              <w:autoSpaceDE/>
              <w:autoSpaceDN/>
              <w:spacing w:before="0" w:after="0" w:line="240" w:lineRule="auto"/>
              <w:ind w:firstLine="0" w:firstLineChars="0"/>
              <w:jc w:val="center"/>
              <w:textAlignment w:val="auto"/>
              <w:rPr>
                <w:rFonts w:eastAsia="仿宋_GB2312" w:cs="宋体"/>
                <w:snapToGrid/>
                <w:sz w:val="24"/>
                <w:szCs w:val="24"/>
                <w:lang w:eastAsia="zh-CN"/>
              </w:rPr>
            </w:pPr>
            <w:r>
              <w:rPr>
                <w:rFonts w:hint="eastAsia" w:eastAsia="仿宋_GB2312" w:cs="宋体"/>
                <w:snapToGrid/>
                <w:sz w:val="24"/>
                <w:szCs w:val="24"/>
                <w:lang w:eastAsia="zh-CN"/>
              </w:rPr>
              <w:t>湿地</w:t>
            </w:r>
            <w:r>
              <w:rPr>
                <w:rFonts w:eastAsia="仿宋_GB2312" w:cs="宋体"/>
                <w:snapToGrid/>
                <w:sz w:val="24"/>
                <w:szCs w:val="24"/>
                <w:lang w:eastAsia="zh-CN"/>
              </w:rPr>
              <w:t>/</w:t>
            </w:r>
            <w:r>
              <w:rPr>
                <w:rFonts w:hint="eastAsia" w:eastAsia="仿宋_GB2312" w:cs="宋体"/>
                <w:snapToGrid/>
                <w:sz w:val="24"/>
                <w:szCs w:val="24"/>
                <w:lang w:eastAsia="zh-CN"/>
              </w:rPr>
              <w:t>消防水鹤</w:t>
            </w:r>
          </w:p>
        </w:tc>
        <w:tc>
          <w:tcPr>
            <w:tcW w:w="1331" w:type="pct"/>
          </w:tcPr>
          <w:p>
            <w:pPr>
              <w:widowControl w:val="0"/>
              <w:kinsoku/>
              <w:autoSpaceDE/>
              <w:autoSpaceDN/>
              <w:spacing w:before="0" w:after="0" w:line="240" w:lineRule="auto"/>
              <w:ind w:firstLine="0" w:firstLineChars="0"/>
              <w:jc w:val="center"/>
              <w:textAlignment w:val="auto"/>
              <w:rPr>
                <w:rFonts w:eastAsia="仿宋_GB2312" w:cs="宋体"/>
                <w:snapToGrid/>
                <w:sz w:val="24"/>
                <w:szCs w:val="24"/>
                <w:lang w:eastAsia="zh-CN"/>
              </w:rPr>
            </w:pPr>
            <w:r>
              <w:rPr>
                <w:rFonts w:hint="eastAsia" w:eastAsia="仿宋_GB2312" w:cs="宋体"/>
                <w:snapToGrid/>
                <w:sz w:val="24"/>
                <w:szCs w:val="24"/>
                <w:lang w:eastAsia="zh-CN"/>
              </w:rPr>
              <w:t>4</w:t>
            </w:r>
          </w:p>
        </w:tc>
      </w:tr>
    </w:tbl>
    <w:p>
      <w:pPr>
        <w:ind w:firstLine="640"/>
        <w:rPr>
          <w:lang w:eastAsia="zh-CN"/>
        </w:rPr>
      </w:pPr>
    </w:p>
    <w:p>
      <w:pPr>
        <w:spacing w:line="240" w:lineRule="auto"/>
        <w:ind w:firstLine="0" w:firstLineChars="0"/>
        <w:jc w:val="center"/>
        <w:rPr>
          <w:lang w:eastAsia="zh-CN"/>
        </w:rPr>
      </w:pPr>
      <w:r>
        <w:rPr>
          <w:lang w:eastAsia="zh-CN"/>
        </w:rPr>
        <w:drawing>
          <wp:inline distT="0" distB="0" distL="0" distR="0">
            <wp:extent cx="5001895" cy="7079615"/>
            <wp:effectExtent l="0" t="0" r="8255" b="6985"/>
            <wp:docPr id="72048955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0489557" name="图片 4"/>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a:stretch>
                      <a:fillRect/>
                    </a:stretch>
                  </pic:blipFill>
                  <pic:spPr>
                    <a:xfrm>
                      <a:off x="0" y="0"/>
                      <a:ext cx="5010932" cy="7092439"/>
                    </a:xfrm>
                    <a:prstGeom prst="rect">
                      <a:avLst/>
                    </a:prstGeom>
                    <a:noFill/>
                    <a:ln>
                      <a:noFill/>
                    </a:ln>
                  </pic:spPr>
                </pic:pic>
              </a:graphicData>
            </a:graphic>
          </wp:inline>
        </w:drawing>
      </w:r>
    </w:p>
    <w:p>
      <w:pPr>
        <w:spacing w:before="0" w:after="0" w:line="240" w:lineRule="auto"/>
        <w:ind w:firstLine="0" w:firstLineChars="0"/>
        <w:jc w:val="center"/>
        <w:rPr>
          <w:rFonts w:eastAsia="黑体" w:cs="黑体"/>
          <w:sz w:val="24"/>
          <w:szCs w:val="24"/>
          <w:lang w:eastAsia="zh-CN"/>
        </w:rPr>
      </w:pPr>
      <w:r>
        <w:rPr>
          <w:rFonts w:hint="eastAsia" w:eastAsia="黑体" w:cs="黑体"/>
          <w:sz w:val="24"/>
          <w:szCs w:val="24"/>
          <w:lang w:eastAsia="zh-CN"/>
        </w:rPr>
        <w:t>图3-1 通州区取水点分布图</w:t>
      </w:r>
    </w:p>
    <w:p>
      <w:pPr>
        <w:pStyle w:val="6"/>
        <w:ind w:firstLine="643"/>
      </w:pPr>
      <w:r>
        <w:t>3.</w:t>
      </w:r>
      <w:r>
        <w:rPr>
          <w:rFonts w:hint="eastAsia"/>
        </w:rPr>
        <w:t>宣传设施方面</w:t>
      </w:r>
    </w:p>
    <w:p>
      <w:pPr>
        <w:ind w:firstLine="640"/>
        <w:rPr>
          <w:lang w:eastAsia="zh-CN"/>
        </w:rPr>
      </w:pPr>
      <w:r>
        <w:rPr>
          <w:rFonts w:hint="eastAsia"/>
          <w:lang w:eastAsia="zh-CN"/>
        </w:rPr>
        <w:t>森林防火宣传设施主要以宣传栏等传统载体为主，但各乡镇在宣传设施数量与布局方面存在较大差异，未来在统筹规划、均衡配置和提升基层宣传设施建设水平方面仍有较大提升空间。</w:t>
      </w:r>
    </w:p>
    <w:p>
      <w:pPr>
        <w:pStyle w:val="13"/>
      </w:pPr>
      <w:r>
        <w:rPr>
          <w:rFonts w:hint="eastAsia"/>
        </w:rPr>
        <w:t>表</w:t>
      </w:r>
      <w:r>
        <w:t xml:space="preserve">3-2 </w:t>
      </w:r>
      <w:r>
        <w:rPr>
          <w:rFonts w:hint="eastAsia"/>
        </w:rPr>
        <w:t>各镇集体林场宣传设施统计表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3840"/>
        <w:gridCol w:w="1653"/>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vAlign w:val="center"/>
          </w:tcPr>
          <w:p>
            <w:pPr>
              <w:kinsoku/>
              <w:autoSpaceDE/>
              <w:autoSpaceDN/>
              <w:adjustRightInd/>
              <w:snapToGrid/>
              <w:spacing w:before="0" w:after="0" w:line="240" w:lineRule="auto"/>
              <w:ind w:firstLine="0" w:firstLineChars="0"/>
              <w:jc w:val="center"/>
              <w:textAlignment w:val="auto"/>
              <w:rPr>
                <w:rFonts w:eastAsia="仿宋_GB2312" w:cs="宋体"/>
                <w:b/>
                <w:bCs/>
                <w:snapToGrid/>
                <w:sz w:val="24"/>
                <w:szCs w:val="24"/>
                <w:lang w:eastAsia="zh-CN"/>
              </w:rPr>
            </w:pPr>
            <w:r>
              <w:rPr>
                <w:rFonts w:hint="eastAsia" w:eastAsia="仿宋_GB2312" w:cs="宋体"/>
                <w:b/>
                <w:bCs/>
                <w:snapToGrid/>
                <w:sz w:val="24"/>
                <w:szCs w:val="24"/>
                <w:lang w:eastAsia="zh-CN"/>
              </w:rPr>
              <w:t>序号</w:t>
            </w:r>
          </w:p>
        </w:tc>
        <w:tc>
          <w:tcPr>
            <w:tcW w:w="2119" w:type="pct"/>
            <w:vAlign w:val="center"/>
          </w:tcPr>
          <w:p>
            <w:pPr>
              <w:kinsoku/>
              <w:autoSpaceDE/>
              <w:autoSpaceDN/>
              <w:adjustRightInd/>
              <w:snapToGrid/>
              <w:spacing w:before="0" w:after="0" w:line="240" w:lineRule="auto"/>
              <w:ind w:firstLine="0" w:firstLineChars="0"/>
              <w:jc w:val="center"/>
              <w:textAlignment w:val="auto"/>
              <w:rPr>
                <w:rFonts w:eastAsia="仿宋_GB2312" w:cs="宋体"/>
                <w:b/>
                <w:bCs/>
                <w:snapToGrid/>
                <w:sz w:val="24"/>
                <w:szCs w:val="24"/>
                <w:lang w:eastAsia="zh-CN"/>
              </w:rPr>
            </w:pPr>
            <w:r>
              <w:rPr>
                <w:rFonts w:hint="eastAsia" w:eastAsia="仿宋_GB2312" w:cs="宋体"/>
                <w:b/>
                <w:bCs/>
                <w:snapToGrid/>
                <w:sz w:val="24"/>
                <w:szCs w:val="24"/>
                <w:lang w:eastAsia="zh-CN"/>
              </w:rPr>
              <w:t>单位</w:t>
            </w:r>
          </w:p>
        </w:tc>
        <w:tc>
          <w:tcPr>
            <w:tcW w:w="912" w:type="pct"/>
            <w:vAlign w:val="center"/>
          </w:tcPr>
          <w:p>
            <w:pPr>
              <w:kinsoku/>
              <w:autoSpaceDE/>
              <w:autoSpaceDN/>
              <w:adjustRightInd/>
              <w:snapToGrid/>
              <w:spacing w:before="0" w:after="0" w:line="240" w:lineRule="auto"/>
              <w:ind w:firstLine="0" w:firstLineChars="0"/>
              <w:jc w:val="center"/>
              <w:textAlignment w:val="auto"/>
              <w:rPr>
                <w:rFonts w:eastAsia="仿宋_GB2312" w:cs="宋体"/>
                <w:b/>
                <w:bCs/>
                <w:snapToGrid/>
                <w:sz w:val="24"/>
                <w:szCs w:val="24"/>
                <w:lang w:eastAsia="zh-CN"/>
              </w:rPr>
            </w:pPr>
            <w:r>
              <w:rPr>
                <w:rFonts w:hint="eastAsia" w:eastAsia="仿宋_GB2312" w:cs="宋体"/>
                <w:b/>
                <w:bCs/>
                <w:snapToGrid/>
                <w:sz w:val="24"/>
                <w:szCs w:val="24"/>
                <w:lang w:eastAsia="zh-CN"/>
              </w:rPr>
              <w:t>宣传栏</w:t>
            </w:r>
          </w:p>
        </w:tc>
        <w:tc>
          <w:tcPr>
            <w:tcW w:w="720" w:type="pct"/>
            <w:vAlign w:val="center"/>
          </w:tcPr>
          <w:p>
            <w:pPr>
              <w:kinsoku/>
              <w:autoSpaceDE/>
              <w:autoSpaceDN/>
              <w:adjustRightInd/>
              <w:snapToGrid/>
              <w:spacing w:before="0" w:after="0" w:line="240" w:lineRule="auto"/>
              <w:ind w:firstLine="0" w:firstLineChars="0"/>
              <w:jc w:val="center"/>
              <w:textAlignment w:val="auto"/>
              <w:rPr>
                <w:rFonts w:eastAsia="仿宋_GB2312" w:cs="宋体"/>
                <w:b/>
                <w:bCs/>
                <w:snapToGrid/>
                <w:sz w:val="24"/>
                <w:szCs w:val="24"/>
                <w:lang w:eastAsia="zh-CN"/>
              </w:rPr>
            </w:pPr>
            <w:r>
              <w:rPr>
                <w:rFonts w:hint="eastAsia" w:eastAsia="仿宋_GB2312" w:cs="宋体"/>
                <w:b/>
                <w:bCs/>
                <w:snapToGrid/>
                <w:sz w:val="24"/>
                <w:szCs w:val="24"/>
                <w:lang w:eastAsia="zh-CN"/>
              </w:rPr>
              <w:t>条幅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微软雅黑" w:cs="宋体"/>
                <w:snapToGrid/>
                <w:color w:val="auto"/>
                <w:sz w:val="24"/>
                <w:szCs w:val="24"/>
                <w:lang w:eastAsia="zh-CN"/>
              </w:rPr>
              <w:t>漷</w:t>
            </w:r>
            <w:r>
              <w:rPr>
                <w:rFonts w:hint="eastAsia" w:eastAsia="仿宋_GB2312" w:cs="宋体"/>
                <w:snapToGrid/>
                <w:sz w:val="24"/>
                <w:szCs w:val="24"/>
                <w:lang w:eastAsia="zh-CN"/>
              </w:rPr>
              <w:t>县</w:t>
            </w:r>
            <w:r>
              <w:rPr>
                <w:rFonts w:hint="eastAsia" w:eastAsia="仿宋_GB2312" w:cs="宋体"/>
                <w:snapToGrid/>
                <w:color w:val="auto"/>
                <w:sz w:val="24"/>
                <w:szCs w:val="24"/>
                <w:lang w:eastAsia="zh-CN"/>
              </w:rPr>
              <w:t>镇集体林场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　</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潞城镇集体林场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100</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3</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马驹桥镇集体林场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3</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4</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台湖镇集体林场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100</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5</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西集镇集体林场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6</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6</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永乐店镇集体林场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　</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7</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于家务乡集体林场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3</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8</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张家湾镇集体林场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　</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9</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北京通州宋庄集体林场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8</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10</w:t>
            </w:r>
          </w:p>
        </w:tc>
        <w:tc>
          <w:tcPr>
            <w:tcW w:w="2119"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永顺镇集体林场</w:t>
            </w:r>
          </w:p>
        </w:tc>
        <w:tc>
          <w:tcPr>
            <w:tcW w:w="912"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　</w:t>
            </w:r>
          </w:p>
        </w:tc>
        <w:tc>
          <w:tcPr>
            <w:tcW w:w="720" w:type="pct"/>
            <w:noWrap/>
            <w:vAlign w:val="center"/>
          </w:tcPr>
          <w:p>
            <w:pPr>
              <w:kinsoku/>
              <w:autoSpaceDE/>
              <w:autoSpaceDN/>
              <w:adjustRightInd/>
              <w:snapToGrid/>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　</w:t>
            </w:r>
          </w:p>
        </w:tc>
      </w:tr>
    </w:tbl>
    <w:p>
      <w:pPr>
        <w:pStyle w:val="5"/>
        <w:ind w:firstLine="643"/>
      </w:pPr>
      <w:bookmarkStart w:id="63" w:name="_Toc213072493"/>
      <w:r>
        <w:rPr>
          <w:rFonts w:hint="eastAsia"/>
        </w:rPr>
        <w:t>（三）林火监测预警及通信系统</w:t>
      </w:r>
      <w:bookmarkEnd w:id="63"/>
    </w:p>
    <w:p>
      <w:pPr>
        <w:pStyle w:val="6"/>
        <w:ind w:firstLine="643"/>
      </w:pPr>
      <w:r>
        <w:t>1.</w:t>
      </w:r>
      <w:bookmarkStart w:id="64" w:name="_Hlk212051138"/>
      <w:r>
        <w:rPr>
          <w:rFonts w:hint="eastAsia"/>
        </w:rPr>
        <w:t>林火视频监测</w:t>
      </w:r>
      <w:bookmarkEnd w:id="64"/>
      <w:r>
        <w:rPr>
          <w:rFonts w:hint="eastAsia"/>
        </w:rPr>
        <w:t>系统</w:t>
      </w:r>
    </w:p>
    <w:p>
      <w:pPr>
        <w:ind w:firstLine="640"/>
        <w:rPr>
          <w:lang w:eastAsia="zh-CN"/>
        </w:rPr>
      </w:pPr>
      <w:r>
        <w:rPr>
          <w:rFonts w:hint="eastAsia"/>
          <w:lang w:eastAsia="zh-CN"/>
        </w:rPr>
        <w:t>为切实做到火情“早发现、早处置”，实现“打早、打小、打了”的防控目标，区内建立了林火监测预警系统，全区已布设</w:t>
      </w:r>
      <w:r>
        <w:rPr>
          <w:lang w:eastAsia="zh-CN"/>
        </w:rPr>
        <w:t>30</w:t>
      </w:r>
      <w:r>
        <w:rPr>
          <w:rFonts w:hint="eastAsia"/>
          <w:lang w:eastAsia="zh-CN"/>
        </w:rPr>
        <w:t>处固定视频监控点位，精准覆盖火灾风险高、人员活动频繁的重点区域，其中宋庄镇</w:t>
      </w:r>
      <w:r>
        <w:rPr>
          <w:lang w:eastAsia="zh-CN"/>
        </w:rPr>
        <w:t>5</w:t>
      </w:r>
      <w:r>
        <w:rPr>
          <w:rFonts w:hint="eastAsia"/>
          <w:lang w:eastAsia="zh-CN"/>
        </w:rPr>
        <w:t>处、潞城镇</w:t>
      </w:r>
      <w:r>
        <w:rPr>
          <w:lang w:eastAsia="zh-CN"/>
        </w:rPr>
        <w:t>3</w:t>
      </w:r>
      <w:r>
        <w:rPr>
          <w:rFonts w:hint="eastAsia"/>
          <w:lang w:eastAsia="zh-CN"/>
        </w:rPr>
        <w:t>处、西集镇</w:t>
      </w:r>
      <w:r>
        <w:rPr>
          <w:lang w:eastAsia="zh-CN"/>
        </w:rPr>
        <w:t>3</w:t>
      </w:r>
      <w:r>
        <w:rPr>
          <w:rFonts w:hint="eastAsia"/>
          <w:lang w:eastAsia="zh-CN"/>
        </w:rPr>
        <w:t>处、漷县镇</w:t>
      </w:r>
      <w:r>
        <w:rPr>
          <w:lang w:eastAsia="zh-CN"/>
        </w:rPr>
        <w:t>5</w:t>
      </w:r>
      <w:r>
        <w:rPr>
          <w:rFonts w:hint="eastAsia"/>
          <w:lang w:eastAsia="zh-CN"/>
        </w:rPr>
        <w:t>处、张家湾镇</w:t>
      </w:r>
      <w:r>
        <w:rPr>
          <w:lang w:eastAsia="zh-CN"/>
        </w:rPr>
        <w:t>2</w:t>
      </w:r>
      <w:r>
        <w:rPr>
          <w:rFonts w:hint="eastAsia"/>
          <w:lang w:eastAsia="zh-CN"/>
        </w:rPr>
        <w:t>处、于家务镇</w:t>
      </w:r>
      <w:r>
        <w:rPr>
          <w:lang w:eastAsia="zh-CN"/>
        </w:rPr>
        <w:t>2</w:t>
      </w:r>
      <w:r>
        <w:rPr>
          <w:rFonts w:hint="eastAsia"/>
          <w:lang w:eastAsia="zh-CN"/>
        </w:rPr>
        <w:t>处、马驹桥镇</w:t>
      </w:r>
      <w:r>
        <w:rPr>
          <w:lang w:eastAsia="zh-CN"/>
        </w:rPr>
        <w:t>2</w:t>
      </w:r>
      <w:r>
        <w:rPr>
          <w:rFonts w:hint="eastAsia"/>
          <w:lang w:eastAsia="zh-CN"/>
        </w:rPr>
        <w:t>处、台湖镇</w:t>
      </w:r>
      <w:r>
        <w:rPr>
          <w:lang w:eastAsia="zh-CN"/>
        </w:rPr>
        <w:t>3</w:t>
      </w:r>
      <w:r>
        <w:rPr>
          <w:rFonts w:hint="eastAsia"/>
          <w:lang w:eastAsia="zh-CN"/>
        </w:rPr>
        <w:t>处、永乐店镇</w:t>
      </w:r>
      <w:r>
        <w:rPr>
          <w:lang w:eastAsia="zh-CN"/>
        </w:rPr>
        <w:t>5</w:t>
      </w:r>
      <w:r>
        <w:rPr>
          <w:rFonts w:hint="eastAsia"/>
          <w:lang w:eastAsia="zh-CN"/>
        </w:rPr>
        <w:t>处。同时，全面应用红外热成像技术，实现对烟火的自动识别与精准报警。目前视频监控尚未实现全域覆盖。</w:t>
      </w:r>
    </w:p>
    <w:p>
      <w:pPr>
        <w:pStyle w:val="13"/>
      </w:pPr>
      <w:r>
        <w:rPr>
          <w:rFonts w:hint="eastAsia"/>
        </w:rPr>
        <w:t>表</w:t>
      </w:r>
      <w:r>
        <w:t xml:space="preserve">3-3 </w:t>
      </w:r>
      <w:r>
        <w:rPr>
          <w:rFonts w:hint="eastAsia"/>
        </w:rPr>
        <w:t>林火视频监测设备信息表</w:t>
      </w:r>
    </w:p>
    <w:tbl>
      <w:tblPr>
        <w:tblStyle w:val="28"/>
        <w:tblW w:w="5000" w:type="pct"/>
        <w:tblInd w:w="0" w:type="dxa"/>
        <w:tblLayout w:type="autofit"/>
        <w:tblCellMar>
          <w:top w:w="0" w:type="dxa"/>
          <w:left w:w="108" w:type="dxa"/>
          <w:bottom w:w="0" w:type="dxa"/>
          <w:right w:w="108" w:type="dxa"/>
        </w:tblCellMar>
      </w:tblPr>
      <w:tblGrid>
        <w:gridCol w:w="1764"/>
        <w:gridCol w:w="3041"/>
        <w:gridCol w:w="4255"/>
      </w:tblGrid>
      <w:tr>
        <w:tblPrEx>
          <w:tblCellMar>
            <w:top w:w="0" w:type="dxa"/>
            <w:left w:w="108" w:type="dxa"/>
            <w:bottom w:w="0" w:type="dxa"/>
            <w:right w:w="108" w:type="dxa"/>
          </w:tblCellMar>
        </w:tblPrEx>
        <w:trPr>
          <w:trHeight w:val="300" w:hRule="atLeast"/>
          <w:tblHeader/>
        </w:trPr>
        <w:tc>
          <w:tcPr>
            <w:tcW w:w="974" w:type="pct"/>
            <w:tcBorders>
              <w:top w:val="single" w:color="auto" w:sz="4" w:space="0"/>
              <w:left w:val="single" w:color="auto" w:sz="4" w:space="0"/>
              <w:bottom w:val="single" w:color="auto" w:sz="4" w:space="0"/>
              <w:right w:val="single" w:color="auto" w:sz="4" w:space="0"/>
            </w:tcBorders>
            <w:vAlign w:val="center"/>
          </w:tcPr>
          <w:p>
            <w:pPr>
              <w:kinsoku/>
              <w:autoSpaceDE/>
              <w:autoSpaceDN/>
              <w:spacing w:before="0" w:after="0" w:line="240" w:lineRule="auto"/>
              <w:ind w:firstLine="0" w:firstLineChars="0"/>
              <w:jc w:val="center"/>
              <w:textAlignment w:val="auto"/>
              <w:rPr>
                <w:rFonts w:eastAsia="仿宋_GB2312" w:cs="宋体"/>
                <w:b/>
                <w:bCs/>
                <w:snapToGrid/>
                <w:sz w:val="24"/>
                <w:szCs w:val="24"/>
                <w:lang w:eastAsia="zh-CN"/>
              </w:rPr>
            </w:pPr>
            <w:r>
              <w:rPr>
                <w:rFonts w:hint="eastAsia" w:eastAsia="仿宋_GB2312" w:cs="宋体"/>
                <w:b/>
                <w:bCs/>
                <w:snapToGrid/>
                <w:sz w:val="24"/>
                <w:szCs w:val="24"/>
                <w:lang w:eastAsia="zh-CN"/>
              </w:rPr>
              <w:t>序号</w:t>
            </w:r>
          </w:p>
        </w:tc>
        <w:tc>
          <w:tcPr>
            <w:tcW w:w="1678" w:type="pct"/>
            <w:tcBorders>
              <w:top w:val="single" w:color="auto" w:sz="4" w:space="0"/>
              <w:left w:val="nil"/>
              <w:bottom w:val="single" w:color="auto" w:sz="4" w:space="0"/>
              <w:right w:val="single" w:color="auto" w:sz="4" w:space="0"/>
            </w:tcBorders>
            <w:vAlign w:val="center"/>
          </w:tcPr>
          <w:p>
            <w:pPr>
              <w:kinsoku/>
              <w:autoSpaceDE/>
              <w:autoSpaceDN/>
              <w:spacing w:before="0" w:after="0" w:line="240" w:lineRule="auto"/>
              <w:ind w:firstLine="0" w:firstLineChars="0"/>
              <w:jc w:val="center"/>
              <w:textAlignment w:val="auto"/>
              <w:rPr>
                <w:rFonts w:eastAsia="仿宋_GB2312" w:cs="宋体"/>
                <w:b/>
                <w:bCs/>
                <w:snapToGrid/>
                <w:sz w:val="24"/>
                <w:szCs w:val="24"/>
                <w:lang w:eastAsia="zh-CN"/>
              </w:rPr>
            </w:pPr>
            <w:r>
              <w:rPr>
                <w:rFonts w:hint="eastAsia" w:eastAsia="仿宋_GB2312" w:cs="宋体"/>
                <w:b/>
                <w:bCs/>
                <w:snapToGrid/>
                <w:sz w:val="24"/>
                <w:szCs w:val="24"/>
                <w:lang w:eastAsia="zh-CN"/>
              </w:rPr>
              <w:t>乡镇</w:t>
            </w:r>
          </w:p>
        </w:tc>
        <w:tc>
          <w:tcPr>
            <w:tcW w:w="2348" w:type="pct"/>
            <w:tcBorders>
              <w:top w:val="single" w:color="auto" w:sz="4" w:space="0"/>
              <w:left w:val="nil"/>
              <w:bottom w:val="single" w:color="auto" w:sz="4" w:space="0"/>
              <w:right w:val="single" w:color="auto" w:sz="4" w:space="0"/>
            </w:tcBorders>
            <w:vAlign w:val="center"/>
          </w:tcPr>
          <w:p>
            <w:pPr>
              <w:kinsoku/>
              <w:autoSpaceDE/>
              <w:autoSpaceDN/>
              <w:spacing w:before="0" w:after="0" w:line="240" w:lineRule="auto"/>
              <w:ind w:firstLine="0" w:firstLineChars="0"/>
              <w:jc w:val="center"/>
              <w:textAlignment w:val="auto"/>
              <w:rPr>
                <w:rFonts w:eastAsia="仿宋_GB2312" w:cs="宋体"/>
                <w:b/>
                <w:bCs/>
                <w:snapToGrid/>
                <w:sz w:val="24"/>
                <w:szCs w:val="24"/>
                <w:lang w:eastAsia="zh-CN"/>
              </w:rPr>
            </w:pPr>
            <w:r>
              <w:rPr>
                <w:rFonts w:hint="eastAsia" w:eastAsia="仿宋_GB2312" w:cs="宋体"/>
                <w:b/>
                <w:bCs/>
                <w:snapToGrid/>
                <w:sz w:val="24"/>
                <w:szCs w:val="24"/>
                <w:lang w:eastAsia="zh-CN"/>
              </w:rPr>
              <w:t>具体点位</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微软雅黑" w:cs="微软雅黑"/>
                <w:snapToGrid/>
                <w:color w:val="auto"/>
                <w:sz w:val="24"/>
                <w:szCs w:val="24"/>
                <w:lang w:eastAsia="zh-CN"/>
              </w:rPr>
              <w:t>漷</w:t>
            </w:r>
            <w:r>
              <w:rPr>
                <w:rFonts w:hint="eastAsia" w:eastAsia="仿宋_GB2312" w:cs="仿宋_GB2312"/>
                <w:snapToGrid/>
                <w:color w:val="auto"/>
                <w:sz w:val="24"/>
                <w:szCs w:val="24"/>
                <w:lang w:eastAsia="zh-CN"/>
              </w:rPr>
              <w:t>县镇</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曹庄村西</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凤港河北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3</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马头村东</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4</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西鲁村西</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5</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徐官屯村北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6</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潞城镇</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大甘棠村南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7</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后榆村东</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8</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康各庄西北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9</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马驹桥镇</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柏福村南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10</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西田阳村西</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11</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宋庄镇</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白庙村北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12</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北窑上村北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13</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富豪村东北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14</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平家疃村南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15</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双埠头</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16</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台湖镇</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高古庄村北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17</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台湖森林公园东</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18</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永隆屯村东南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19</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西集镇</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杜店村西</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20</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侯东仪村西北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21</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郎东村西</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22</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永乐店镇</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大阳村北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23</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后马房村北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24</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后营村西</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25</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润太环保科技公司北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26</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应寺村南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27</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于家务乡</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于家务村</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28</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枣林村东</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29</w:t>
            </w:r>
          </w:p>
        </w:tc>
        <w:tc>
          <w:tcPr>
            <w:tcW w:w="1678" w:type="pct"/>
            <w:vMerge w:val="restart"/>
            <w:tcBorders>
              <w:top w:val="nil"/>
              <w:left w:val="single" w:color="auto" w:sz="4" w:space="0"/>
              <w:bottom w:val="single" w:color="000000"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张家湾镇</w:t>
            </w: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柳营村东南</w:t>
            </w:r>
          </w:p>
        </w:tc>
      </w:tr>
      <w:tr>
        <w:tblPrEx>
          <w:tblCellMar>
            <w:top w:w="0" w:type="dxa"/>
            <w:left w:w="108" w:type="dxa"/>
            <w:bottom w:w="0" w:type="dxa"/>
            <w:right w:w="108" w:type="dxa"/>
          </w:tblCellMar>
        </w:tblPrEx>
        <w:trPr>
          <w:trHeight w:val="330" w:hRule="atLeast"/>
        </w:trPr>
        <w:tc>
          <w:tcPr>
            <w:tcW w:w="974" w:type="pct"/>
            <w:tcBorders>
              <w:top w:val="nil"/>
              <w:left w:val="single" w:color="auto" w:sz="4" w:space="0"/>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eastAsia="仿宋_GB2312" w:cs="宋体"/>
                <w:snapToGrid/>
                <w:color w:val="auto"/>
                <w:sz w:val="24"/>
                <w:szCs w:val="24"/>
                <w:lang w:eastAsia="zh-CN"/>
              </w:rPr>
              <w:t>30</w:t>
            </w:r>
          </w:p>
        </w:tc>
        <w:tc>
          <w:tcPr>
            <w:tcW w:w="1678" w:type="pct"/>
            <w:vMerge w:val="continue"/>
            <w:tcBorders>
              <w:top w:val="nil"/>
              <w:left w:val="single" w:color="auto" w:sz="4" w:space="0"/>
              <w:bottom w:val="single" w:color="000000" w:sz="4" w:space="0"/>
              <w:right w:val="single" w:color="auto" w:sz="4" w:space="0"/>
            </w:tcBorders>
            <w:vAlign w:val="center"/>
          </w:tcPr>
          <w:p>
            <w:pPr>
              <w:kinsoku/>
              <w:autoSpaceDE/>
              <w:autoSpaceDN/>
              <w:spacing w:before="0" w:after="0" w:line="240" w:lineRule="auto"/>
              <w:ind w:firstLine="0" w:firstLineChars="0"/>
              <w:jc w:val="left"/>
              <w:textAlignment w:val="auto"/>
              <w:rPr>
                <w:rFonts w:eastAsia="仿宋_GB2312" w:cs="宋体"/>
                <w:snapToGrid/>
                <w:color w:val="auto"/>
                <w:sz w:val="24"/>
                <w:szCs w:val="24"/>
                <w:lang w:eastAsia="zh-CN"/>
              </w:rPr>
            </w:pPr>
          </w:p>
        </w:tc>
        <w:tc>
          <w:tcPr>
            <w:tcW w:w="2348" w:type="pct"/>
            <w:tcBorders>
              <w:top w:val="nil"/>
              <w:left w:val="nil"/>
              <w:bottom w:val="single" w:color="auto" w:sz="4" w:space="0"/>
              <w:right w:val="single" w:color="auto" w:sz="4" w:space="0"/>
            </w:tcBorders>
            <w:shd w:val="clear" w:color="000000" w:fill="FFFFFF"/>
            <w:vAlign w:val="center"/>
          </w:tcPr>
          <w:p>
            <w:pPr>
              <w:kinsoku/>
              <w:autoSpaceDE/>
              <w:autoSpaceDN/>
              <w:spacing w:before="0" w:after="0" w:line="240" w:lineRule="auto"/>
              <w:ind w:firstLine="0" w:firstLineChars="0"/>
              <w:jc w:val="center"/>
              <w:textAlignment w:val="auto"/>
              <w:rPr>
                <w:rFonts w:eastAsia="仿宋_GB2312" w:cs="宋体"/>
                <w:snapToGrid/>
                <w:color w:val="auto"/>
                <w:sz w:val="24"/>
                <w:szCs w:val="24"/>
                <w:lang w:eastAsia="zh-CN"/>
              </w:rPr>
            </w:pPr>
            <w:r>
              <w:rPr>
                <w:rFonts w:hint="eastAsia" w:eastAsia="仿宋_GB2312" w:cs="宋体"/>
                <w:snapToGrid/>
                <w:color w:val="auto"/>
                <w:sz w:val="24"/>
                <w:szCs w:val="24"/>
                <w:lang w:eastAsia="zh-CN"/>
              </w:rPr>
              <w:t>枣林庄村东</w:t>
            </w:r>
          </w:p>
        </w:tc>
      </w:tr>
    </w:tbl>
    <w:p>
      <w:pPr>
        <w:spacing w:before="0" w:after="0" w:line="240" w:lineRule="auto"/>
        <w:ind w:firstLine="0" w:firstLineChars="0"/>
        <w:jc w:val="center"/>
        <w:rPr>
          <w:lang w:eastAsia="zh-CN"/>
        </w:rPr>
      </w:pPr>
      <w:r>
        <w:rPr>
          <w:lang w:eastAsia="zh-CN"/>
        </w:rPr>
        <w:drawing>
          <wp:inline distT="0" distB="0" distL="114300" distR="114300">
            <wp:extent cx="4593590" cy="7451725"/>
            <wp:effectExtent l="0" t="0" r="0" b="0"/>
            <wp:docPr id="7" name="图片 7" descr="/Users/yangxi/Library/Containers/com.kingsoft.wpsoffice.mac/Data/tmp/photoeditapp/20250928114056/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Users/yangxi/Library/Containers/com.kingsoft.wpsoffice.mac/Data/tmp/photoeditapp/20250928114056/temp.pngtemp"/>
                    <pic:cNvPicPr>
                      <a:picLocks noChangeAspect="true"/>
                    </pic:cNvPicPr>
                  </pic:nvPicPr>
                  <pic:blipFill>
                    <a:blip r:embed="rId24"/>
                    <a:srcRect l="2146" t="2085" r="1916" b="2918"/>
                    <a:stretch>
                      <a:fillRect/>
                    </a:stretch>
                  </pic:blipFill>
                  <pic:spPr>
                    <a:xfrm>
                      <a:off x="0" y="0"/>
                      <a:ext cx="4594047" cy="7452000"/>
                    </a:xfrm>
                    <a:prstGeom prst="rect">
                      <a:avLst/>
                    </a:prstGeom>
                  </pic:spPr>
                </pic:pic>
              </a:graphicData>
            </a:graphic>
          </wp:inline>
        </w:drawing>
      </w:r>
    </w:p>
    <w:p>
      <w:pPr>
        <w:spacing w:before="0" w:after="0" w:line="240" w:lineRule="auto"/>
        <w:ind w:firstLine="0" w:firstLineChars="0"/>
        <w:jc w:val="center"/>
        <w:rPr>
          <w:rFonts w:eastAsia="黑体" w:cs="黑体"/>
          <w:sz w:val="24"/>
          <w:szCs w:val="24"/>
          <w:lang w:eastAsia="zh-CN"/>
        </w:rPr>
      </w:pPr>
      <w:r>
        <w:rPr>
          <w:rFonts w:hint="eastAsia" w:eastAsia="黑体" w:cs="黑体"/>
          <w:sz w:val="24"/>
          <w:szCs w:val="24"/>
          <w:lang w:eastAsia="zh-CN"/>
        </w:rPr>
        <w:t>图3</w:t>
      </w:r>
      <w:r>
        <w:rPr>
          <w:rFonts w:eastAsia="黑体" w:cs="黑体"/>
          <w:sz w:val="24"/>
          <w:szCs w:val="24"/>
          <w:lang w:eastAsia="zh-CN"/>
        </w:rPr>
        <w:t>-</w:t>
      </w:r>
      <w:r>
        <w:rPr>
          <w:rFonts w:hint="eastAsia" w:eastAsia="黑体" w:cs="黑体"/>
          <w:sz w:val="24"/>
          <w:szCs w:val="24"/>
          <w:lang w:eastAsia="zh-CN"/>
        </w:rPr>
        <w:t>2</w:t>
      </w:r>
      <w:r>
        <w:rPr>
          <w:rFonts w:eastAsia="黑体" w:cs="黑体"/>
          <w:sz w:val="24"/>
          <w:szCs w:val="24"/>
          <w:lang w:eastAsia="zh-CN"/>
        </w:rPr>
        <w:t xml:space="preserve"> </w:t>
      </w:r>
      <w:r>
        <w:rPr>
          <w:rFonts w:hint="eastAsia" w:eastAsia="黑体" w:cs="黑体"/>
          <w:sz w:val="24"/>
          <w:szCs w:val="24"/>
          <w:lang w:eastAsia="zh-CN"/>
        </w:rPr>
        <w:t>监测预警点位图</w:t>
      </w:r>
    </w:p>
    <w:p>
      <w:pPr>
        <w:ind w:firstLine="640"/>
        <w:rPr>
          <w:lang w:eastAsia="zh-CN"/>
        </w:rPr>
      </w:pPr>
      <w:r>
        <w:rPr>
          <w:rFonts w:hint="eastAsia"/>
          <w:lang w:eastAsia="zh-CN"/>
        </w:rPr>
        <w:t>通州区积极推进森林灭火通信指挥系统建设，已初步构建了保障在多网、多环境下、多方式应急通信的指挥体系，有效支撑森林火灾预防和火灾早期处置工作。</w:t>
      </w:r>
    </w:p>
    <w:p>
      <w:pPr>
        <w:pStyle w:val="6"/>
        <w:ind w:firstLine="643"/>
      </w:pPr>
      <w:r>
        <w:t>2.</w:t>
      </w:r>
      <w:r>
        <w:rPr>
          <w:rFonts w:hint="eastAsia"/>
        </w:rPr>
        <w:t>林火语音预警系统</w:t>
      </w:r>
    </w:p>
    <w:p>
      <w:pPr>
        <w:ind w:firstLine="64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在重点林区布局语音提示杆，加强预警能力建设，目前全区有85个语音杆，分布在5个乡镇，区域分布不均匀，马驹桥镇有72个，永顺镇和于家务乡仅有1个。</w:t>
      </w:r>
    </w:p>
    <w:p>
      <w:pPr>
        <w:spacing w:line="240" w:lineRule="auto"/>
        <w:ind w:firstLine="0" w:firstLineChars="0"/>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drawing>
          <wp:inline distT="0" distB="0" distL="0" distR="0">
            <wp:extent cx="5139690" cy="7267575"/>
            <wp:effectExtent l="0" t="0" r="3810" b="0"/>
            <wp:docPr id="205701075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57010752" name="图片 11"/>
                    <pic:cNvPicPr>
                      <a:picLocks noChangeAspect="true" noChangeArrowheads="true"/>
                    </pic:cNvPicPr>
                  </pic:nvPicPr>
                  <pic:blipFill>
                    <a:blip r:embed="rId25" cstate="print">
                      <a:extLst>
                        <a:ext uri="{28A0092B-C50C-407E-A947-70E740481C1C}">
                          <a14:useLocalDpi xmlns:a14="http://schemas.microsoft.com/office/drawing/2010/main" val="false"/>
                        </a:ext>
                      </a:extLst>
                    </a:blip>
                    <a:srcRect/>
                    <a:stretch>
                      <a:fillRect/>
                    </a:stretch>
                  </pic:blipFill>
                  <pic:spPr>
                    <a:xfrm>
                      <a:off x="0" y="0"/>
                      <a:ext cx="5155151" cy="7289141"/>
                    </a:xfrm>
                    <a:prstGeom prst="rect">
                      <a:avLst/>
                    </a:prstGeom>
                    <a:noFill/>
                    <a:ln>
                      <a:noFill/>
                    </a:ln>
                  </pic:spPr>
                </pic:pic>
              </a:graphicData>
            </a:graphic>
          </wp:inline>
        </w:drawing>
      </w:r>
    </w:p>
    <w:p>
      <w:pPr>
        <w:pStyle w:val="13"/>
      </w:pPr>
      <w:r>
        <w:rPr>
          <w:rFonts w:hint="eastAsia"/>
        </w:rPr>
        <w:t>图3-3</w:t>
      </w:r>
      <w:r>
        <w:t xml:space="preserve"> </w:t>
      </w:r>
      <w:r>
        <w:rPr>
          <w:rFonts w:hint="eastAsia"/>
        </w:rPr>
        <w:t>各镇语音杆分布情况</w:t>
      </w:r>
    </w:p>
    <w:p>
      <w:pPr>
        <w:pStyle w:val="6"/>
        <w:ind w:firstLine="643"/>
      </w:pPr>
      <w:r>
        <w:t>3.</w:t>
      </w:r>
      <w:r>
        <w:rPr>
          <w:rFonts w:hint="eastAsia"/>
        </w:rPr>
        <w:t>通信智慧系统</w:t>
      </w:r>
    </w:p>
    <w:p>
      <w:pPr>
        <w:ind w:firstLine="640"/>
        <w:rPr>
          <w:lang w:eastAsia="zh-CN"/>
        </w:rPr>
      </w:pPr>
      <w:r>
        <w:rPr>
          <w:rFonts w:hint="eastAsia"/>
          <w:lang w:eastAsia="zh-CN"/>
        </w:rPr>
        <w:t>区级系统依托北京市级统一通信指挥平台，实现了与市级应急管理系统的数据互通和指令协同，形成了“市区联动、平战结合”的指挥管理机制。持续对各单位分管处级领导、城市协管员及灾害信息员开展专业培训，提升应急通信系统操作和实战应用能力。集体林场通过利用</w:t>
      </w:r>
      <w:r>
        <w:rPr>
          <w:rFonts w:hint="eastAsia"/>
          <w:color w:val="auto"/>
          <w:lang w:eastAsia="zh-CN"/>
        </w:rPr>
        <w:t>“</w:t>
      </w:r>
      <w:r>
        <w:rPr>
          <w:color w:val="auto"/>
          <w:lang w:eastAsia="zh-CN"/>
        </w:rPr>
        <w:t>5G</w:t>
      </w:r>
      <w:r>
        <w:rPr>
          <w:rFonts w:hint="eastAsia"/>
          <w:color w:val="auto"/>
          <w:lang w:eastAsia="zh-CN"/>
        </w:rPr>
        <w:t>和对讲”平台开展重点区域监测与移动巡查，提升巡查效率。</w:t>
      </w:r>
    </w:p>
    <w:p>
      <w:pPr>
        <w:pStyle w:val="5"/>
        <w:ind w:firstLine="643"/>
      </w:pPr>
      <w:bookmarkStart w:id="65" w:name="_Toc213072494"/>
      <w:r>
        <w:rPr>
          <w:rFonts w:hint="eastAsia"/>
        </w:rPr>
        <w:t>（四）森林防火消防能力</w:t>
      </w:r>
      <w:bookmarkEnd w:id="65"/>
    </w:p>
    <w:p>
      <w:pPr>
        <w:pStyle w:val="6"/>
        <w:ind w:firstLine="643"/>
      </w:pPr>
      <w:r>
        <w:t>1.</w:t>
      </w:r>
      <w:r>
        <w:rPr>
          <w:rFonts w:hint="eastAsia"/>
        </w:rPr>
        <w:t>消防队伍</w:t>
      </w:r>
    </w:p>
    <w:p>
      <w:pPr>
        <w:ind w:firstLine="640"/>
        <w:rPr>
          <w:color w:val="auto"/>
          <w:lang w:eastAsia="zh-CN"/>
        </w:rPr>
      </w:pPr>
      <w:bookmarkStart w:id="66" w:name="OLE_LINK16"/>
      <w:r>
        <w:rPr>
          <w:rFonts w:hint="eastAsia"/>
          <w:color w:val="auto"/>
          <w:lang w:eastAsia="zh-CN"/>
        </w:rPr>
        <w:t>通州区森林消防综合应急救援队伍以区级专业力量为核心、乡镇基础力量为支撑，构建了层次分明、响应高效的组织体系。区级层面设有</w:t>
      </w:r>
      <w:r>
        <w:rPr>
          <w:color w:val="auto"/>
          <w:lang w:eastAsia="zh-CN"/>
        </w:rPr>
        <w:t>2</w:t>
      </w:r>
      <w:r>
        <w:rPr>
          <w:rFonts w:hint="eastAsia"/>
          <w:color w:val="auto"/>
          <w:lang w:eastAsia="zh-CN"/>
        </w:rPr>
        <w:t>支专业化队伍（台湖一中队和潞城二中队），每队配备</w:t>
      </w:r>
      <w:r>
        <w:rPr>
          <w:color w:val="auto"/>
          <w:lang w:eastAsia="zh-CN"/>
        </w:rPr>
        <w:t>40</w:t>
      </w:r>
      <w:r>
        <w:rPr>
          <w:rFonts w:hint="eastAsia"/>
          <w:color w:val="auto"/>
          <w:lang w:eastAsia="zh-CN"/>
        </w:rPr>
        <w:t>余名指战员，实行标准化管理，是全区扑救森林火灾的骨干力量；乡镇层面则依托集体林场组建兼职扑火队伍及半专业消防队伍，覆盖所有涉林乡镇，以兼职队伍为主，其中张家湾和马驹桥镇成立了半专业消防队伍。</w:t>
      </w:r>
    </w:p>
    <w:bookmarkEnd w:id="66"/>
    <w:p>
      <w:pPr>
        <w:pStyle w:val="13"/>
      </w:pPr>
      <w:r>
        <w:rPr>
          <w:rFonts w:hint="eastAsia"/>
        </w:rPr>
        <w:t>表</w:t>
      </w:r>
      <w:r>
        <w:t xml:space="preserve">3-4 </w:t>
      </w:r>
      <w:r>
        <w:rPr>
          <w:rFonts w:hint="eastAsia"/>
        </w:rPr>
        <w:t>乡镇级森防队伍信息表</w:t>
      </w:r>
    </w:p>
    <w:tbl>
      <w:tblPr>
        <w:tblStyle w:val="28"/>
        <w:tblW w:w="5131" w:type="pct"/>
        <w:tblInd w:w="0" w:type="dxa"/>
        <w:tblLayout w:type="fixed"/>
        <w:tblCellMar>
          <w:top w:w="0" w:type="dxa"/>
          <w:left w:w="0" w:type="dxa"/>
          <w:bottom w:w="0" w:type="dxa"/>
          <w:right w:w="0" w:type="dxa"/>
        </w:tblCellMar>
      </w:tblPr>
      <w:tblGrid>
        <w:gridCol w:w="586"/>
        <w:gridCol w:w="1969"/>
        <w:gridCol w:w="2992"/>
        <w:gridCol w:w="1282"/>
        <w:gridCol w:w="1245"/>
        <w:gridCol w:w="1031"/>
      </w:tblGrid>
      <w:tr>
        <w:tblPrEx>
          <w:tblCellMar>
            <w:top w:w="0" w:type="dxa"/>
            <w:left w:w="0" w:type="dxa"/>
            <w:bottom w:w="0" w:type="dxa"/>
            <w:right w:w="0" w:type="dxa"/>
          </w:tblCellMar>
        </w:tblPrEx>
        <w:trPr>
          <w:trHeight w:val="23" w:hRule="atLeast"/>
          <w:tblHeader/>
        </w:trPr>
        <w:tc>
          <w:tcPr>
            <w:tcW w:w="322" w:type="pct"/>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b/>
                <w:sz w:val="22"/>
                <w:szCs w:val="22"/>
              </w:rPr>
            </w:pPr>
            <w:r>
              <w:rPr>
                <w:rFonts w:hint="eastAsia" w:eastAsia="仿宋_GB2312" w:cs="仿宋"/>
                <w:b/>
                <w:sz w:val="22"/>
                <w:szCs w:val="22"/>
                <w:lang w:eastAsia="zh-CN" w:bidi="ar"/>
              </w:rPr>
              <w:t>序号</w:t>
            </w:r>
          </w:p>
        </w:tc>
        <w:tc>
          <w:tcPr>
            <w:tcW w:w="1081" w:type="pct"/>
            <w:tcBorders>
              <w:top w:val="single" w:color="000000" w:sz="8"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b/>
                <w:sz w:val="22"/>
                <w:szCs w:val="22"/>
              </w:rPr>
            </w:pPr>
            <w:r>
              <w:rPr>
                <w:rFonts w:hint="eastAsia" w:eastAsia="仿宋_GB2312" w:cs="仿宋"/>
                <w:b/>
                <w:sz w:val="22"/>
                <w:szCs w:val="22"/>
                <w:lang w:eastAsia="zh-CN" w:bidi="ar"/>
              </w:rPr>
              <w:t>队伍名称</w:t>
            </w:r>
          </w:p>
        </w:tc>
        <w:tc>
          <w:tcPr>
            <w:tcW w:w="1643" w:type="pct"/>
            <w:tcBorders>
              <w:top w:val="single" w:color="000000" w:sz="8"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b/>
                <w:sz w:val="22"/>
                <w:szCs w:val="22"/>
              </w:rPr>
            </w:pPr>
            <w:r>
              <w:rPr>
                <w:rFonts w:hint="eastAsia" w:eastAsia="仿宋_GB2312" w:cs="仿宋"/>
                <w:b/>
                <w:sz w:val="22"/>
                <w:szCs w:val="22"/>
                <w:lang w:eastAsia="zh-CN" w:bidi="ar"/>
              </w:rPr>
              <w:t>队伍驻地</w:t>
            </w:r>
          </w:p>
        </w:tc>
        <w:tc>
          <w:tcPr>
            <w:tcW w:w="704" w:type="pct"/>
            <w:tcBorders>
              <w:top w:val="single" w:color="000000" w:sz="8"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b/>
                <w:sz w:val="22"/>
                <w:szCs w:val="22"/>
              </w:rPr>
            </w:pPr>
            <w:r>
              <w:rPr>
                <w:rFonts w:hint="eastAsia" w:eastAsia="仿宋_GB2312" w:cs="仿宋"/>
                <w:b/>
                <w:sz w:val="22"/>
                <w:szCs w:val="22"/>
                <w:lang w:eastAsia="zh-CN" w:bidi="ar"/>
              </w:rPr>
              <w:t>队伍总人数</w:t>
            </w:r>
          </w:p>
        </w:tc>
        <w:tc>
          <w:tcPr>
            <w:tcW w:w="684" w:type="pct"/>
            <w:tcBorders>
              <w:top w:val="single" w:color="000000" w:sz="8"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b/>
                <w:sz w:val="22"/>
                <w:szCs w:val="22"/>
              </w:rPr>
            </w:pPr>
            <w:r>
              <w:rPr>
                <w:rFonts w:hint="eastAsia" w:eastAsia="仿宋_GB2312" w:cs="仿宋"/>
                <w:b/>
                <w:sz w:val="22"/>
                <w:szCs w:val="22"/>
                <w:lang w:eastAsia="zh-CN" w:bidi="ar"/>
              </w:rPr>
              <w:t>半专业人数</w:t>
            </w:r>
          </w:p>
        </w:tc>
        <w:tc>
          <w:tcPr>
            <w:tcW w:w="566" w:type="pct"/>
            <w:tcBorders>
              <w:top w:val="single" w:color="000000" w:sz="8"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b/>
                <w:sz w:val="22"/>
                <w:szCs w:val="22"/>
              </w:rPr>
            </w:pPr>
            <w:r>
              <w:rPr>
                <w:rFonts w:hint="eastAsia" w:eastAsia="仿宋_GB2312" w:cs="仿宋"/>
                <w:b/>
                <w:sz w:val="22"/>
                <w:szCs w:val="22"/>
                <w:lang w:eastAsia="zh-CN" w:bidi="ar"/>
              </w:rPr>
              <w:t>兼职人数</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1</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潞城镇集体林场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bidi="ar"/>
              </w:rPr>
              <w:t>通州区潞城镇卜落垡村</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70</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0</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70</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2</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微软雅黑" w:cs="微软雅黑"/>
                <w:sz w:val="22"/>
                <w:szCs w:val="22"/>
                <w:lang w:eastAsia="zh-CN" w:bidi="ar"/>
              </w:rPr>
              <w:t>漷</w:t>
            </w:r>
            <w:r>
              <w:rPr>
                <w:rFonts w:hint="eastAsia" w:eastAsia="仿宋_GB2312" w:cs="仿宋_GB2312"/>
                <w:sz w:val="22"/>
                <w:szCs w:val="22"/>
                <w:lang w:eastAsia="zh-CN" w:bidi="ar"/>
              </w:rPr>
              <w:t>县镇集体林场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bidi="ar"/>
              </w:rPr>
              <w:t>通州区</w:t>
            </w:r>
            <w:r>
              <w:rPr>
                <w:rFonts w:hint="eastAsia" w:eastAsia="微软雅黑" w:cs="微软雅黑"/>
                <w:sz w:val="22"/>
                <w:szCs w:val="22"/>
                <w:lang w:eastAsia="zh-CN" w:bidi="ar"/>
              </w:rPr>
              <w:t>漷</w:t>
            </w:r>
            <w:r>
              <w:rPr>
                <w:rFonts w:hint="eastAsia" w:eastAsia="仿宋_GB2312" w:cs="仿宋_GB2312"/>
                <w:sz w:val="22"/>
                <w:szCs w:val="22"/>
                <w:lang w:eastAsia="zh-CN" w:bidi="ar"/>
              </w:rPr>
              <w:t>县镇大柳村</w:t>
            </w:r>
            <w:r>
              <w:rPr>
                <w:rFonts w:eastAsia="仿宋_GB2312" w:cs="仿宋"/>
                <w:sz w:val="22"/>
                <w:szCs w:val="22"/>
                <w:lang w:eastAsia="zh-CN" w:bidi="ar"/>
              </w:rPr>
              <w:t>103</w:t>
            </w:r>
            <w:r>
              <w:rPr>
                <w:rFonts w:hint="eastAsia" w:eastAsia="仿宋_GB2312" w:cs="仿宋"/>
                <w:sz w:val="22"/>
                <w:szCs w:val="22"/>
                <w:lang w:eastAsia="zh-CN" w:bidi="ar"/>
              </w:rPr>
              <w:t>国道</w:t>
            </w:r>
            <w:r>
              <w:rPr>
                <w:rFonts w:eastAsia="仿宋_GB2312" w:cs="仿宋"/>
                <w:sz w:val="22"/>
                <w:szCs w:val="22"/>
                <w:lang w:eastAsia="zh-CN" w:bidi="ar"/>
              </w:rPr>
              <w:t>2</w:t>
            </w:r>
            <w:r>
              <w:rPr>
                <w:rFonts w:hint="eastAsia" w:eastAsia="仿宋_GB2312" w:cs="仿宋"/>
                <w:sz w:val="22"/>
                <w:szCs w:val="22"/>
                <w:lang w:eastAsia="zh-CN" w:bidi="ar"/>
              </w:rPr>
              <w:t>号桥</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11</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0</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11</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3</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马驹桥镇集体林场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bidi="ar"/>
              </w:rPr>
              <w:t>通州区马驹桥镇东田阳村南</w:t>
            </w:r>
            <w:r>
              <w:rPr>
                <w:rFonts w:eastAsia="仿宋_GB2312" w:cs="仿宋"/>
                <w:sz w:val="22"/>
                <w:szCs w:val="22"/>
                <w:lang w:eastAsia="zh-CN" w:bidi="ar"/>
              </w:rPr>
              <w:t>500</w:t>
            </w:r>
            <w:r>
              <w:rPr>
                <w:rFonts w:hint="eastAsia" w:eastAsia="仿宋_GB2312" w:cs="仿宋"/>
                <w:sz w:val="22"/>
                <w:szCs w:val="22"/>
                <w:lang w:eastAsia="zh-CN" w:bidi="ar"/>
              </w:rPr>
              <w:t>米</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16</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16</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0</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4</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宋庄镇集体林场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bidi="ar"/>
              </w:rPr>
              <w:t>通州区宋庄镇徐辛庄村</w:t>
            </w:r>
            <w:r>
              <w:rPr>
                <w:rFonts w:eastAsia="仿宋_GB2312" w:cs="仿宋"/>
                <w:sz w:val="22"/>
                <w:szCs w:val="22"/>
                <w:lang w:eastAsia="zh-CN" w:bidi="ar"/>
              </w:rPr>
              <w:t>X012</w:t>
            </w:r>
            <w:r>
              <w:rPr>
                <w:rFonts w:hint="eastAsia" w:eastAsia="仿宋_GB2312" w:cs="仿宋"/>
                <w:sz w:val="22"/>
                <w:szCs w:val="22"/>
                <w:lang w:eastAsia="zh-CN" w:bidi="ar"/>
              </w:rPr>
              <w:t>与</w:t>
            </w:r>
            <w:r>
              <w:rPr>
                <w:rFonts w:eastAsia="仿宋_GB2312" w:cs="仿宋"/>
                <w:sz w:val="22"/>
                <w:szCs w:val="22"/>
                <w:lang w:eastAsia="zh-CN" w:bidi="ar"/>
              </w:rPr>
              <w:t>X010</w:t>
            </w:r>
            <w:r>
              <w:rPr>
                <w:rFonts w:hint="eastAsia" w:eastAsia="仿宋_GB2312" w:cs="仿宋"/>
                <w:sz w:val="22"/>
                <w:szCs w:val="22"/>
                <w:lang w:eastAsia="zh-CN" w:bidi="ar"/>
              </w:rPr>
              <w:t>交叉口正南方向</w:t>
            </w:r>
            <w:r>
              <w:rPr>
                <w:rFonts w:eastAsia="仿宋_GB2312" w:cs="仿宋"/>
                <w:sz w:val="22"/>
                <w:szCs w:val="22"/>
                <w:lang w:eastAsia="zh-CN" w:bidi="ar"/>
              </w:rPr>
              <w:t>108</w:t>
            </w:r>
            <w:r>
              <w:rPr>
                <w:rFonts w:hint="eastAsia" w:eastAsia="仿宋_GB2312" w:cs="仿宋"/>
                <w:sz w:val="22"/>
                <w:szCs w:val="22"/>
                <w:lang w:eastAsia="zh-CN" w:bidi="ar"/>
              </w:rPr>
              <w:t>米徐辛庄老集贸市场</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20</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0</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20</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5</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台湖镇集体林场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通州区台湖政府大街</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44</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rPr>
              <w:t>0</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44</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6</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西集镇集体林场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bidi="ar"/>
              </w:rPr>
              <w:t>北京市通州区西集镇于辛庄村村民委员会西</w:t>
            </w:r>
            <w:r>
              <w:rPr>
                <w:rFonts w:eastAsia="仿宋_GB2312" w:cs="仿宋"/>
                <w:sz w:val="22"/>
                <w:szCs w:val="22"/>
                <w:lang w:eastAsia="zh-CN" w:bidi="ar"/>
              </w:rPr>
              <w:t>500</w:t>
            </w:r>
            <w:r>
              <w:rPr>
                <w:rFonts w:hint="eastAsia" w:eastAsia="仿宋_GB2312" w:cs="仿宋"/>
                <w:sz w:val="22"/>
                <w:szCs w:val="22"/>
                <w:lang w:eastAsia="zh-CN" w:bidi="ar"/>
              </w:rPr>
              <w:t>米</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47</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rPr>
              <w:t>0</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47</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7</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永乐店镇集体林场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bidi="ar"/>
              </w:rPr>
              <w:t>永乐店镇德仁务后街村</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129</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0</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129</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8</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于家务乡镇集体林场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lang w:eastAsia="zh-CN" w:bidi="ar"/>
              </w:rPr>
            </w:pPr>
            <w:r>
              <w:rPr>
                <w:rFonts w:hint="eastAsia" w:eastAsia="仿宋_GB2312" w:cs="仿宋"/>
                <w:sz w:val="22"/>
                <w:szCs w:val="22"/>
                <w:lang w:eastAsia="zh-CN" w:bidi="ar"/>
              </w:rPr>
              <w:t>于家务乡小海字村桥南</w:t>
            </w:r>
          </w:p>
          <w:p>
            <w:pPr>
              <w:kinsoku/>
              <w:autoSpaceDE/>
              <w:autoSpaceDN/>
              <w:adjustRightInd/>
              <w:snapToGrid/>
              <w:spacing w:before="0" w:after="0" w:line="200" w:lineRule="atLeast"/>
              <w:ind w:firstLine="0" w:firstLineChars="0"/>
              <w:jc w:val="center"/>
              <w:textAlignment w:val="center"/>
              <w:rPr>
                <w:rFonts w:eastAsia="仿宋_GB2312" w:cs="仿宋"/>
                <w:sz w:val="22"/>
                <w:szCs w:val="22"/>
                <w:lang w:eastAsia="zh-CN"/>
              </w:rPr>
            </w:pPr>
            <w:r>
              <w:rPr>
                <w:rFonts w:hint="eastAsia" w:eastAsia="仿宋_GB2312" w:cs="仿宋"/>
                <w:sz w:val="22"/>
                <w:szCs w:val="22"/>
                <w:lang w:eastAsia="zh-CN" w:bidi="ar"/>
              </w:rPr>
              <w:t>于家务集体林场</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47</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0</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47</w:t>
            </w:r>
          </w:p>
        </w:tc>
      </w:tr>
      <w:tr>
        <w:tblPrEx>
          <w:tblCellMar>
            <w:top w:w="0" w:type="dxa"/>
            <w:left w:w="0" w:type="dxa"/>
            <w:bottom w:w="0" w:type="dxa"/>
            <w:right w:w="0" w:type="dxa"/>
          </w:tblCellMar>
        </w:tblPrEx>
        <w:trPr>
          <w:trHeight w:val="23" w:hRule="atLeast"/>
        </w:trPr>
        <w:tc>
          <w:tcPr>
            <w:tcW w:w="32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9</w:t>
            </w:r>
          </w:p>
        </w:tc>
        <w:tc>
          <w:tcPr>
            <w:tcW w:w="10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张家湾镇集体林场</w:t>
            </w:r>
          </w:p>
        </w:tc>
        <w:tc>
          <w:tcPr>
            <w:tcW w:w="1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00" w:lineRule="atLeast"/>
              <w:ind w:firstLine="0" w:firstLineChars="0"/>
              <w:jc w:val="center"/>
              <w:textAlignment w:val="center"/>
              <w:rPr>
                <w:rFonts w:eastAsia="仿宋_GB2312" w:cs="仿宋"/>
                <w:sz w:val="22"/>
                <w:szCs w:val="22"/>
              </w:rPr>
            </w:pPr>
            <w:r>
              <w:rPr>
                <w:rFonts w:hint="eastAsia" w:eastAsia="仿宋_GB2312" w:cs="仿宋"/>
                <w:sz w:val="22"/>
                <w:szCs w:val="22"/>
                <w:lang w:eastAsia="zh-CN" w:bidi="ar"/>
              </w:rPr>
              <w:t>张家湾镇后坨村</w:t>
            </w:r>
            <w:r>
              <w:rPr>
                <w:rFonts w:eastAsia="仿宋_GB2312" w:cs="仿宋"/>
                <w:sz w:val="22"/>
                <w:szCs w:val="22"/>
                <w:lang w:eastAsia="zh-CN" w:bidi="ar"/>
              </w:rPr>
              <w:t>110</w:t>
            </w:r>
            <w:r>
              <w:rPr>
                <w:rFonts w:hint="eastAsia" w:eastAsia="仿宋_GB2312" w:cs="仿宋"/>
                <w:sz w:val="22"/>
                <w:szCs w:val="22"/>
                <w:lang w:eastAsia="zh-CN" w:bidi="ar"/>
              </w:rPr>
              <w:t>号</w:t>
            </w:r>
          </w:p>
        </w:tc>
        <w:tc>
          <w:tcPr>
            <w:tcW w:w="7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25</w:t>
            </w:r>
          </w:p>
        </w:tc>
        <w:tc>
          <w:tcPr>
            <w:tcW w:w="6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25</w:t>
            </w:r>
          </w:p>
        </w:tc>
        <w:tc>
          <w:tcPr>
            <w:tcW w:w="5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utoSpaceDE/>
              <w:autoSpaceDN/>
              <w:spacing w:before="0" w:after="0" w:line="200" w:lineRule="atLeast"/>
              <w:ind w:firstLine="0" w:firstLineChars="0"/>
              <w:jc w:val="center"/>
              <w:textAlignment w:val="center"/>
              <w:rPr>
                <w:rFonts w:eastAsia="仿宋_GB2312" w:cs="仿宋"/>
                <w:sz w:val="22"/>
                <w:szCs w:val="22"/>
              </w:rPr>
            </w:pPr>
            <w:r>
              <w:rPr>
                <w:rFonts w:eastAsia="仿宋_GB2312" w:cs="仿宋"/>
                <w:sz w:val="22"/>
                <w:szCs w:val="22"/>
                <w:lang w:eastAsia="zh-CN" w:bidi="ar"/>
              </w:rPr>
              <w:t>0</w:t>
            </w:r>
          </w:p>
        </w:tc>
      </w:tr>
    </w:tbl>
    <w:p>
      <w:pPr>
        <w:pStyle w:val="6"/>
        <w:spacing w:before="380"/>
        <w:ind w:firstLine="643"/>
      </w:pPr>
      <w:r>
        <w:t>2.</w:t>
      </w:r>
      <w:r>
        <w:rPr>
          <w:rFonts w:hint="eastAsia"/>
        </w:rPr>
        <w:t>森林防火物资储备与扑火装备</w:t>
      </w:r>
    </w:p>
    <w:p>
      <w:pPr>
        <w:ind w:firstLine="640"/>
        <w:rPr>
          <w:color w:val="auto"/>
          <w:lang w:eastAsia="zh-CN"/>
        </w:rPr>
      </w:pPr>
      <w:r>
        <w:rPr>
          <w:rFonts w:hint="eastAsia"/>
          <w:color w:val="auto"/>
          <w:lang w:eastAsia="zh-CN"/>
        </w:rPr>
        <w:t>区级层面，由通州区森林消防综合应急救援支队（含台湖一中队、潞城二中队）构成核心力量，装备体系高度专业化、集成化。两支中队均配备指挥车、运兵车、水罐消防车、装备运输车等</w:t>
      </w:r>
      <w:r>
        <w:rPr>
          <w:color w:val="auto"/>
          <w:lang w:eastAsia="zh-CN"/>
        </w:rPr>
        <w:t>8</w:t>
      </w:r>
      <w:r>
        <w:rPr>
          <w:rFonts w:hint="eastAsia"/>
          <w:color w:val="auto"/>
          <w:lang w:eastAsia="zh-CN"/>
        </w:rPr>
        <w:t>–</w:t>
      </w:r>
      <w:r>
        <w:rPr>
          <w:color w:val="auto"/>
          <w:lang w:eastAsia="zh-CN"/>
        </w:rPr>
        <w:t>9</w:t>
      </w:r>
      <w:r>
        <w:rPr>
          <w:rFonts w:hint="eastAsia"/>
          <w:color w:val="auto"/>
          <w:lang w:eastAsia="zh-CN"/>
        </w:rPr>
        <w:t>台功能车辆，主战装备统一配置风力灭火机、高压细水雾、背负式水泵、高扬程手抬泵、油锯、割灌机等，覆盖“风、水、割、清”全链条扑火手段；同时配备卫星电话、数据传输设备、红外热像仪、风向风速仪等信息化装备，支撑火场态势感知与指挥调度；个人防护装备按人配齐，包括通讯头盔、自救式呼吸器、防噪耳包等，保障作业安全。</w:t>
      </w:r>
    </w:p>
    <w:p>
      <w:pPr>
        <w:pStyle w:val="13"/>
      </w:pPr>
      <w:r>
        <w:rPr>
          <w:rFonts w:hint="eastAsia"/>
        </w:rPr>
        <w:t>表</w:t>
      </w:r>
      <w:r>
        <w:t xml:space="preserve">3-5 </w:t>
      </w:r>
      <w:r>
        <w:rPr>
          <w:rFonts w:hint="eastAsia"/>
        </w:rPr>
        <w:t>通州区区级森防队伍装备表</w:t>
      </w:r>
    </w:p>
    <w:tbl>
      <w:tblPr>
        <w:tblStyle w:val="28"/>
        <w:tblW w:w="0" w:type="auto"/>
        <w:tblInd w:w="0" w:type="dxa"/>
        <w:tblLayout w:type="autofit"/>
        <w:tblCellMar>
          <w:top w:w="0" w:type="dxa"/>
          <w:left w:w="108" w:type="dxa"/>
          <w:bottom w:w="0" w:type="dxa"/>
          <w:right w:w="108" w:type="dxa"/>
        </w:tblCellMar>
      </w:tblPr>
      <w:tblGrid>
        <w:gridCol w:w="1896"/>
        <w:gridCol w:w="2600"/>
        <w:gridCol w:w="2081"/>
        <w:gridCol w:w="1903"/>
      </w:tblGrid>
      <w:tr>
        <w:tblPrEx>
          <w:tblCellMar>
            <w:top w:w="0" w:type="dxa"/>
            <w:left w:w="108" w:type="dxa"/>
            <w:bottom w:w="0" w:type="dxa"/>
            <w:right w:w="108" w:type="dxa"/>
          </w:tblCellMar>
        </w:tblPrEx>
        <w:trPr>
          <w:trHeight w:val="33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b/>
                <w:bCs/>
                <w:sz w:val="24"/>
                <w:szCs w:val="24"/>
              </w:rPr>
            </w:pPr>
            <w:r>
              <w:rPr>
                <w:rFonts w:hint="eastAsia" w:eastAsia="仿宋_GB2312" w:cs="宋体"/>
                <w:b/>
                <w:bCs/>
                <w:sz w:val="24"/>
                <w:szCs w:val="24"/>
                <w:lang w:eastAsia="zh-CN" w:bidi="ar"/>
              </w:rPr>
              <w:t>装备类别</w:t>
            </w: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b/>
                <w:bCs/>
                <w:sz w:val="24"/>
                <w:szCs w:val="24"/>
              </w:rPr>
            </w:pPr>
            <w:r>
              <w:rPr>
                <w:rFonts w:hint="eastAsia" w:eastAsia="仿宋_GB2312" w:cs="宋体"/>
                <w:b/>
                <w:bCs/>
                <w:sz w:val="24"/>
                <w:szCs w:val="24"/>
                <w:lang w:eastAsia="zh-CN" w:bidi="ar"/>
              </w:rPr>
              <w:t>装备名称</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b/>
                <w:bCs/>
                <w:sz w:val="24"/>
                <w:szCs w:val="24"/>
              </w:rPr>
            </w:pPr>
            <w:r>
              <w:rPr>
                <w:rFonts w:hint="eastAsia" w:eastAsia="仿宋_GB2312" w:cs="宋体"/>
                <w:b/>
                <w:bCs/>
                <w:sz w:val="24"/>
                <w:szCs w:val="24"/>
                <w:lang w:eastAsia="zh-CN" w:bidi="ar"/>
              </w:rPr>
              <w:t>台湖一中队数量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b/>
                <w:bCs/>
                <w:sz w:val="24"/>
                <w:szCs w:val="24"/>
              </w:rPr>
            </w:pPr>
            <w:r>
              <w:rPr>
                <w:rFonts w:hint="eastAsia" w:eastAsia="仿宋_GB2312" w:cs="宋体"/>
                <w:b/>
                <w:bCs/>
                <w:sz w:val="24"/>
                <w:szCs w:val="24"/>
                <w:lang w:eastAsia="zh-CN" w:bidi="ar"/>
              </w:rPr>
              <w:t>潞城二中队数量</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车辆装备</w:t>
            </w: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指挥车</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辆</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运兵车</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辆</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消防水车</w:t>
            </w:r>
            <w:r>
              <w:rPr>
                <w:rFonts w:eastAsia="仿宋_GB2312" w:cs="宋体"/>
                <w:sz w:val="24"/>
                <w:szCs w:val="24"/>
                <w:lang w:eastAsia="zh-CN" w:bidi="ar"/>
              </w:rPr>
              <w:t>/</w:t>
            </w:r>
            <w:r>
              <w:rPr>
                <w:rFonts w:hint="eastAsia" w:eastAsia="仿宋_GB2312" w:cs="宋体"/>
                <w:sz w:val="24"/>
                <w:szCs w:val="24"/>
                <w:lang w:eastAsia="zh-CN" w:bidi="ar"/>
              </w:rPr>
              <w:t>水罐车</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辆</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装备车</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3</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辆</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动力与储运设备</w:t>
            </w: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小型发电机</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油桶</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11</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蓄水池</w:t>
            </w:r>
            <w:r>
              <w:rPr>
                <w:rFonts w:eastAsia="仿宋_GB2312" w:cs="宋体"/>
                <w:sz w:val="24"/>
                <w:szCs w:val="24"/>
                <w:lang w:eastAsia="zh-CN" w:bidi="ar"/>
              </w:rPr>
              <w:t>/</w:t>
            </w:r>
            <w:r>
              <w:rPr>
                <w:rFonts w:hint="eastAsia" w:eastAsia="仿宋_GB2312" w:cs="宋体"/>
                <w:sz w:val="24"/>
                <w:szCs w:val="24"/>
                <w:lang w:eastAsia="zh-CN" w:bidi="ar"/>
              </w:rPr>
              <w:t>贮水池</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8</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8</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灭火主战装备</w:t>
            </w: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风力灭火机</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15</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15</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高压细水雾</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20</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20</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二号工具</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40</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油锯</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14</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14</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割灌机</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10</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10</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点火器</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42</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40</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背负式便携式水泵</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12</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12</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手抬式高扬程水泵</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输水器材</w:t>
            </w: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消防水带（单层）</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70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70</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消防水带（双层）</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55</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55</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个人防护装备</w:t>
            </w: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通讯头盔</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40</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消防头盔</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46</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自救式消防呼吸器</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60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60</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呼吸面罩</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30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防护眼罩</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16</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防噪音耳包</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60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60</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辅助与破拆工具</w:t>
            </w: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加油器</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40</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组合工具</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20</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20</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六米拉梯</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单梯</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侦测与通信设备</w:t>
            </w: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红外热像仪</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望远镜</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指北针</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风向风速仪</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强光手电</w:t>
            </w:r>
            <w:r>
              <w:rPr>
                <w:rFonts w:eastAsia="仿宋_GB2312" w:cs="宋体"/>
                <w:sz w:val="24"/>
                <w:szCs w:val="24"/>
                <w:lang w:eastAsia="zh-CN" w:bidi="ar"/>
              </w:rPr>
              <w:t>/</w:t>
            </w:r>
            <w:r>
              <w:rPr>
                <w:rFonts w:hint="eastAsia" w:eastAsia="仿宋_GB2312" w:cs="宋体"/>
                <w:sz w:val="24"/>
                <w:szCs w:val="24"/>
                <w:lang w:eastAsia="zh-CN" w:bidi="ar"/>
              </w:rPr>
              <w:t>手电筒</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个</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卫星电话</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部</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数据传输设备</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1</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lang w:eastAsia="zh-CN"/>
              </w:rPr>
            </w:pPr>
            <w:r>
              <w:rPr>
                <w:rFonts w:hint="eastAsia" w:eastAsia="仿宋_GB2312" w:cs="宋体"/>
                <w:sz w:val="24"/>
                <w:szCs w:val="24"/>
                <w:lang w:eastAsia="zh-CN" w:bidi="ar"/>
              </w:rPr>
              <w:t>摄像机（手持型单兵）</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8</w:t>
            </w:r>
            <w:r>
              <w:rPr>
                <w:rFonts w:hint="eastAsia" w:eastAsia="仿宋_GB2312" w:cs="宋体"/>
                <w:sz w:val="24"/>
                <w:szCs w:val="24"/>
                <w:lang w:eastAsia="zh-CN" w:bidi="ar"/>
              </w:rPr>
              <w:t>台</w:t>
            </w:r>
          </w:p>
        </w:tc>
      </w:tr>
      <w:tr>
        <w:tblPrEx>
          <w:tblCellMar>
            <w:top w:w="0" w:type="dxa"/>
            <w:left w:w="108" w:type="dxa"/>
            <w:bottom w:w="0" w:type="dxa"/>
            <w:right w:w="108" w:type="dxa"/>
          </w:tblCellMar>
        </w:tblPrEx>
        <w:trPr>
          <w:trHeight w:val="33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tLeast"/>
              <w:ind w:firstLine="480"/>
              <w:jc w:val="center"/>
              <w:rPr>
                <w:rFonts w:eastAsia="仿宋_GB2312" w:cs="宋体"/>
                <w:sz w:val="24"/>
                <w:szCs w:val="24"/>
              </w:rPr>
            </w:pPr>
          </w:p>
        </w:tc>
        <w:tc>
          <w:tcPr>
            <w:tcW w:w="2600"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lang w:eastAsia="zh-CN"/>
              </w:rPr>
            </w:pPr>
            <w:r>
              <w:rPr>
                <w:rFonts w:hint="eastAsia" w:eastAsia="仿宋_GB2312" w:cs="宋体"/>
                <w:sz w:val="24"/>
                <w:szCs w:val="24"/>
                <w:lang w:eastAsia="zh-CN" w:bidi="ar"/>
              </w:rPr>
              <w:t>摄像机（台式固定单兵）</w:t>
            </w:r>
          </w:p>
        </w:tc>
        <w:tc>
          <w:tcPr>
            <w:tcW w:w="2081" w:type="dxa"/>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hint="eastAsia" w:eastAsia="仿宋_GB2312" w:cs="宋体"/>
                <w:sz w:val="24"/>
                <w:szCs w:val="24"/>
                <w:lang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before="0" w:after="0" w:line="240" w:lineRule="atLeast"/>
              <w:ind w:firstLine="0" w:firstLineChars="0"/>
              <w:jc w:val="center"/>
              <w:textAlignment w:val="center"/>
              <w:rPr>
                <w:rFonts w:eastAsia="仿宋_GB2312" w:cs="宋体"/>
                <w:sz w:val="24"/>
                <w:szCs w:val="24"/>
              </w:rPr>
            </w:pPr>
            <w:r>
              <w:rPr>
                <w:rFonts w:eastAsia="仿宋_GB2312" w:cs="宋体"/>
                <w:sz w:val="24"/>
                <w:szCs w:val="24"/>
                <w:lang w:eastAsia="zh-CN" w:bidi="ar"/>
              </w:rPr>
              <w:t>2</w:t>
            </w:r>
            <w:r>
              <w:rPr>
                <w:rFonts w:hint="eastAsia" w:eastAsia="仿宋_GB2312" w:cs="宋体"/>
                <w:sz w:val="24"/>
                <w:szCs w:val="24"/>
                <w:lang w:eastAsia="zh-CN" w:bidi="ar"/>
              </w:rPr>
              <w:t>台</w:t>
            </w:r>
          </w:p>
        </w:tc>
      </w:tr>
    </w:tbl>
    <w:p>
      <w:pPr>
        <w:ind w:firstLine="640"/>
        <w:rPr>
          <w:color w:val="auto"/>
          <w:lang w:eastAsia="zh-CN"/>
        </w:rPr>
      </w:pPr>
      <w:r>
        <w:rPr>
          <w:rFonts w:hint="eastAsia"/>
          <w:color w:val="auto"/>
          <w:lang w:eastAsia="zh-CN"/>
        </w:rPr>
        <w:t>乡镇森林防火队伍以集体林场为主体，协同乡镇应急等部门共同组成。设有物资储备库，配备中小型水罐消防车、洒水车及防灭火机具，如风力灭火机、油锯、割灌机等，具备较强的初期火情处置能力。</w:t>
      </w:r>
    </w:p>
    <w:p>
      <w:pPr>
        <w:pStyle w:val="13"/>
      </w:pPr>
      <w:r>
        <w:rPr>
          <w:rFonts w:hint="eastAsia"/>
        </w:rPr>
        <w:t>表</w:t>
      </w:r>
      <w:r>
        <w:t xml:space="preserve">3-6 </w:t>
      </w:r>
      <w:r>
        <w:rPr>
          <w:rFonts w:hint="eastAsia"/>
        </w:rPr>
        <w:t>通州区乡镇级森防队伍装备表</w:t>
      </w:r>
    </w:p>
    <w:tbl>
      <w:tblPr>
        <w:tblStyle w:val="28"/>
        <w:tblW w:w="4997" w:type="pct"/>
        <w:tblInd w:w="0" w:type="dxa"/>
        <w:tblLayout w:type="autofit"/>
        <w:tblCellMar>
          <w:top w:w="0" w:type="dxa"/>
          <w:left w:w="0" w:type="dxa"/>
          <w:bottom w:w="0" w:type="dxa"/>
          <w:right w:w="0" w:type="dxa"/>
        </w:tblCellMar>
      </w:tblPr>
      <w:tblGrid>
        <w:gridCol w:w="2329"/>
        <w:gridCol w:w="2132"/>
        <w:gridCol w:w="2499"/>
        <w:gridCol w:w="969"/>
        <w:gridCol w:w="940"/>
      </w:tblGrid>
      <w:tr>
        <w:tblPrEx>
          <w:tblCellMar>
            <w:top w:w="0" w:type="dxa"/>
            <w:left w:w="0" w:type="dxa"/>
            <w:bottom w:w="0" w:type="dxa"/>
            <w:right w:w="0" w:type="dxa"/>
          </w:tblCellMar>
        </w:tblPrEx>
        <w:trPr>
          <w:trHeight w:val="397" w:hRule="atLeast"/>
          <w:tblHeader/>
        </w:trPr>
        <w:tc>
          <w:tcPr>
            <w:tcW w:w="1312"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b/>
                <w:sz w:val="24"/>
                <w:szCs w:val="24"/>
              </w:rPr>
            </w:pPr>
            <w:r>
              <w:rPr>
                <w:rFonts w:hint="eastAsia" w:eastAsia="仿宋_GB2312" w:cs="仿宋"/>
                <w:b/>
                <w:sz w:val="24"/>
                <w:szCs w:val="24"/>
                <w:lang w:eastAsia="zh-CN" w:bidi="ar"/>
              </w:rPr>
              <w:t>队伍</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b/>
                <w:sz w:val="24"/>
                <w:szCs w:val="24"/>
              </w:rPr>
            </w:pPr>
            <w:r>
              <w:rPr>
                <w:rFonts w:hint="eastAsia" w:eastAsia="仿宋_GB2312" w:cs="仿宋"/>
                <w:b/>
                <w:sz w:val="24"/>
                <w:szCs w:val="24"/>
                <w:lang w:eastAsia="zh-CN" w:bidi="ar"/>
              </w:rPr>
              <w:t>装备类别</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b/>
                <w:sz w:val="24"/>
                <w:szCs w:val="24"/>
              </w:rPr>
            </w:pPr>
            <w:r>
              <w:rPr>
                <w:rFonts w:hint="eastAsia" w:eastAsia="仿宋_GB2312" w:cs="仿宋"/>
                <w:b/>
                <w:sz w:val="24"/>
                <w:szCs w:val="24"/>
                <w:lang w:eastAsia="zh-CN" w:bidi="ar"/>
              </w:rPr>
              <w:t>装备类型</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b/>
                <w:sz w:val="24"/>
                <w:szCs w:val="24"/>
              </w:rPr>
            </w:pPr>
            <w:r>
              <w:rPr>
                <w:rFonts w:hint="eastAsia" w:eastAsia="仿宋_GB2312" w:cs="仿宋"/>
                <w:b/>
                <w:sz w:val="24"/>
                <w:szCs w:val="24"/>
                <w:lang w:eastAsia="zh-CN" w:bidi="ar"/>
              </w:rPr>
              <w:t>套数</w:t>
            </w:r>
          </w:p>
        </w:tc>
        <w:tc>
          <w:tcPr>
            <w:tcW w:w="529" w:type="pct"/>
            <w:tcBorders>
              <w:top w:val="single" w:color="000000" w:sz="4" w:space="0"/>
              <w:left w:val="single" w:color="000000" w:sz="4" w:space="0"/>
              <w:bottom w:val="single" w:color="000000" w:sz="4" w:space="0"/>
              <w:right w:val="single" w:color="000000" w:sz="8"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b/>
                <w:sz w:val="24"/>
                <w:szCs w:val="24"/>
              </w:rPr>
            </w:pPr>
            <w:r>
              <w:rPr>
                <w:rFonts w:hint="eastAsia" w:eastAsia="仿宋_GB2312" w:cs="仿宋"/>
                <w:b/>
                <w:sz w:val="24"/>
                <w:szCs w:val="24"/>
                <w:lang w:eastAsia="zh-CN" w:bidi="ar"/>
              </w:rPr>
              <w:t>状态</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潞城镇集体林场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lang w:eastAsia="zh-CN"/>
              </w:rPr>
            </w:pPr>
            <w:r>
              <w:rPr>
                <w:rFonts w:hint="eastAsia" w:eastAsia="仿宋_GB2312" w:cs="仿宋"/>
                <w:sz w:val="24"/>
                <w:szCs w:val="24"/>
                <w:lang w:eastAsia="zh-CN" w:bidi="ar"/>
              </w:rPr>
              <w:t>大型喷洒车高扬程水泵</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12"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53</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割灌机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192</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风力灭火机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11</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风力灭火机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24</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微软雅黑" w:cs="微软雅黑"/>
                <w:sz w:val="24"/>
                <w:szCs w:val="24"/>
                <w:lang w:eastAsia="zh-CN" w:bidi="ar"/>
              </w:rPr>
              <w:t>漷</w:t>
            </w:r>
            <w:r>
              <w:rPr>
                <w:rFonts w:hint="eastAsia" w:eastAsia="仿宋_GB2312" w:cs="仿宋_GB2312"/>
                <w:sz w:val="24"/>
                <w:szCs w:val="24"/>
                <w:lang w:eastAsia="zh-CN" w:bidi="ar"/>
              </w:rPr>
              <w:t>县镇集体林场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风力灭火机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6</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中小型水罐消防车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3</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个人护具</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12</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斯蒂尔油锯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马驹桥镇集体林场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自救呼吸器</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中小型水罐消防车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割灌机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风力灭火机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水泵</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宋庄镇集体林场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中小型水罐消防车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大油锯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3</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消防防火服</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8</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消防吹风机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急救包</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消防水泵</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割灌机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个人护具安全帽</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个人护具雨鞋</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台湖镇集体林场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风力灭火机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12</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高枝油锯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8</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洒水车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r>
              <w:rPr>
                <w:rFonts w:hint="eastAsia" w:eastAsia="仿宋_GB2312" w:cs="仿宋"/>
                <w:sz w:val="24"/>
                <w:szCs w:val="24"/>
                <w:lang w:eastAsia="zh-CN" w:bidi="ar"/>
              </w:rPr>
              <w:t>干粉灭火器（</w:t>
            </w:r>
            <w:r>
              <w:rPr>
                <w:rFonts w:eastAsia="仿宋_GB2312" w:cs="仿宋"/>
                <w:sz w:val="24"/>
                <w:szCs w:val="24"/>
                <w:lang w:eastAsia="zh-CN" w:bidi="ar"/>
              </w:rPr>
              <w:t>5kg</w:t>
            </w:r>
            <w:r>
              <w:rPr>
                <w:rFonts w:hint="eastAsia" w:eastAsia="仿宋_GB2312" w:cs="仿宋"/>
                <w:sz w:val="24"/>
                <w:szCs w:val="24"/>
                <w:lang w:eastAsia="zh-CN" w:bidi="ar"/>
              </w:rPr>
              <w:t>）</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155</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r>
              <w:rPr>
                <w:rFonts w:hint="eastAsia" w:eastAsia="仿宋_GB2312" w:cs="仿宋"/>
                <w:sz w:val="24"/>
                <w:szCs w:val="24"/>
                <w:lang w:eastAsia="zh-CN" w:bidi="ar"/>
              </w:rPr>
              <w:t>干粉灭火器（</w:t>
            </w:r>
            <w:r>
              <w:rPr>
                <w:rFonts w:eastAsia="仿宋_GB2312" w:cs="仿宋"/>
                <w:sz w:val="24"/>
                <w:szCs w:val="24"/>
                <w:lang w:eastAsia="zh-CN" w:bidi="ar"/>
              </w:rPr>
              <w:t>5kg</w:t>
            </w:r>
            <w:r>
              <w:rPr>
                <w:rFonts w:hint="eastAsia" w:eastAsia="仿宋_GB2312" w:cs="仿宋"/>
                <w:sz w:val="24"/>
                <w:szCs w:val="24"/>
                <w:lang w:eastAsia="zh-CN" w:bidi="ar"/>
              </w:rPr>
              <w:t>）</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140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r>
              <w:rPr>
                <w:rFonts w:eastAsia="仿宋_GB2312" w:cs="仿宋"/>
                <w:sz w:val="24"/>
                <w:szCs w:val="24"/>
                <w:lang w:eastAsia="zh-CN" w:bidi="ar"/>
              </w:rPr>
              <w:t>2</w:t>
            </w:r>
            <w:r>
              <w:rPr>
                <w:rFonts w:hint="eastAsia" w:eastAsia="仿宋_GB2312" w:cs="仿宋"/>
                <w:sz w:val="24"/>
                <w:szCs w:val="24"/>
                <w:lang w:eastAsia="zh-CN" w:bidi="ar"/>
              </w:rPr>
              <w:t>号工具</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30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西集镇集体林场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个人护具消防服</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个人护具消防鞋</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个人护具安全帽</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个人护具安全带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8</w:t>
            </w:r>
            <w:r>
              <w:rPr>
                <w:rFonts w:hint="eastAsia" w:eastAsia="仿宋_GB2312" w:cs="仿宋"/>
                <w:sz w:val="24"/>
                <w:szCs w:val="24"/>
                <w:lang w:eastAsia="zh-CN" w:bidi="ar"/>
              </w:rPr>
              <w:t>吨消防水车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46</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高枝油锯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36</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风力灭火机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38</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高扬程水泵</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33</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永乐店镇集体林场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灭火</w:t>
            </w:r>
            <w:r>
              <w:rPr>
                <w:rFonts w:eastAsia="仿宋_GB2312" w:cs="仿宋"/>
                <w:sz w:val="24"/>
                <w:szCs w:val="24"/>
                <w:lang w:eastAsia="zh-CN" w:bidi="ar"/>
              </w:rPr>
              <w:t>2</w:t>
            </w:r>
            <w:r>
              <w:rPr>
                <w:rFonts w:hint="eastAsia" w:eastAsia="仿宋_GB2312" w:cs="仿宋"/>
                <w:sz w:val="24"/>
                <w:szCs w:val="24"/>
                <w:lang w:eastAsia="zh-CN" w:bidi="ar"/>
              </w:rPr>
              <w:t>号工具</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500</w:t>
            </w:r>
            <w:r>
              <w:rPr>
                <w:rFonts w:hint="eastAsia" w:eastAsia="仿宋_GB2312" w:cs="仿宋"/>
                <w:sz w:val="24"/>
                <w:szCs w:val="24"/>
                <w:lang w:eastAsia="zh-CN" w:bidi="ar"/>
              </w:rPr>
              <w:t>把</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鼓风机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22</w:t>
            </w:r>
            <w:r>
              <w:rPr>
                <w:rFonts w:hint="eastAsia" w:eastAsia="仿宋_GB2312" w:cs="仿宋"/>
                <w:sz w:val="24"/>
                <w:szCs w:val="24"/>
                <w:lang w:eastAsia="zh-CN" w:bidi="ar"/>
              </w:rPr>
              <w:t>台</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灭火器</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57</w:t>
            </w:r>
            <w:r>
              <w:rPr>
                <w:rFonts w:hint="eastAsia" w:eastAsia="仿宋_GB2312" w:cs="仿宋"/>
                <w:sz w:val="24"/>
                <w:szCs w:val="24"/>
                <w:lang w:eastAsia="zh-CN" w:bidi="ar"/>
              </w:rPr>
              <w:t>个</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割灌机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600</w:t>
            </w:r>
            <w:r>
              <w:rPr>
                <w:rFonts w:hint="eastAsia" w:eastAsia="仿宋_GB2312" w:cs="仿宋"/>
                <w:sz w:val="24"/>
                <w:szCs w:val="24"/>
                <w:lang w:eastAsia="zh-CN" w:bidi="ar"/>
              </w:rPr>
              <w:t>台</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铁锹</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1300</w:t>
            </w:r>
            <w:r>
              <w:rPr>
                <w:rFonts w:hint="eastAsia" w:eastAsia="仿宋_GB2312" w:cs="仿宋"/>
                <w:sz w:val="24"/>
                <w:szCs w:val="24"/>
                <w:lang w:eastAsia="zh-CN" w:bidi="ar"/>
              </w:rPr>
              <w:t>把</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水桶</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9</w:t>
            </w:r>
            <w:r>
              <w:rPr>
                <w:rFonts w:hint="eastAsia" w:eastAsia="仿宋_GB2312" w:cs="仿宋"/>
                <w:sz w:val="24"/>
                <w:szCs w:val="24"/>
                <w:lang w:eastAsia="zh-CN" w:bidi="ar"/>
              </w:rPr>
              <w:t>个</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68</w:t>
            </w:r>
            <w:r>
              <w:rPr>
                <w:rFonts w:hint="eastAsia" w:eastAsia="仿宋_GB2312" w:cs="仿宋"/>
                <w:sz w:val="24"/>
                <w:szCs w:val="24"/>
                <w:lang w:eastAsia="zh-CN" w:bidi="ar"/>
              </w:rPr>
              <w:t>台</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灭火车辆</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33</w:t>
            </w:r>
            <w:r>
              <w:rPr>
                <w:rFonts w:hint="eastAsia" w:eastAsia="仿宋_GB2312" w:cs="仿宋"/>
                <w:sz w:val="24"/>
                <w:szCs w:val="24"/>
                <w:lang w:eastAsia="zh-CN" w:bidi="ar"/>
              </w:rPr>
              <w:t>辆</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消防水车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13</w:t>
            </w:r>
            <w:r>
              <w:rPr>
                <w:rFonts w:hint="eastAsia" w:eastAsia="仿宋_GB2312" w:cs="仿宋"/>
                <w:sz w:val="24"/>
                <w:szCs w:val="24"/>
                <w:lang w:eastAsia="zh-CN" w:bidi="ar"/>
              </w:rPr>
              <w:t>辆</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于家务乡镇集体林场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风力灭火机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45</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25</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割灌机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400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200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高扬程水泵</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15</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张家湾镇集体林场</w:t>
            </w: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r>
              <w:rPr>
                <w:rFonts w:hint="eastAsia" w:eastAsia="仿宋_GB2312" w:cs="仿宋"/>
                <w:sz w:val="24"/>
                <w:szCs w:val="24"/>
                <w:lang w:eastAsia="zh-CN" w:bidi="ar"/>
              </w:rPr>
              <w:t>灭火器</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80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中小型水罐消防车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3</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r>
              <w:rPr>
                <w:rFonts w:hint="eastAsia" w:eastAsia="仿宋_GB2312" w:cs="仿宋"/>
                <w:sz w:val="24"/>
                <w:szCs w:val="24"/>
                <w:lang w:eastAsia="zh-CN" w:bidi="ar"/>
              </w:rPr>
              <w:t>消防水带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风力灭火机</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自救呼吸器</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救生拉杆</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r>
              <w:rPr>
                <w:rFonts w:hint="eastAsia" w:eastAsia="仿宋_GB2312" w:cs="仿宋"/>
                <w:sz w:val="24"/>
                <w:szCs w:val="24"/>
                <w:lang w:eastAsia="zh-CN" w:bidi="ar"/>
              </w:rPr>
              <w:t>警示带</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10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r>
              <w:rPr>
                <w:rFonts w:hint="eastAsia" w:eastAsia="仿宋_GB2312" w:cs="仿宋"/>
                <w:sz w:val="24"/>
                <w:szCs w:val="24"/>
                <w:lang w:eastAsia="zh-CN" w:bidi="ar"/>
              </w:rPr>
              <w:t>防汛沙袋</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200</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手油锯</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2</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tr>
        <w:tblPrEx>
          <w:tblCellMar>
            <w:top w:w="0" w:type="dxa"/>
            <w:left w:w="0" w:type="dxa"/>
            <w:bottom w:w="0" w:type="dxa"/>
            <w:right w:w="0" w:type="dxa"/>
          </w:tblCellMar>
        </w:tblPrEx>
        <w:trPr>
          <w:trHeight w:val="397" w:hRule="atLeast"/>
        </w:trPr>
        <w:tc>
          <w:tcPr>
            <w:tcW w:w="13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rPr>
                <w:rFonts w:eastAsia="仿宋_GB2312" w:cs="仿宋"/>
                <w:sz w:val="24"/>
                <w:szCs w:val="24"/>
              </w:rPr>
            </w:pPr>
          </w:p>
        </w:tc>
        <w:tc>
          <w:tcPr>
            <w:tcW w:w="12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森林火灾扑救</w:t>
            </w:r>
          </w:p>
        </w:tc>
        <w:tc>
          <w:tcPr>
            <w:tcW w:w="1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水泵</w:t>
            </w:r>
          </w:p>
        </w:tc>
        <w:tc>
          <w:tcPr>
            <w:tcW w:w="5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eastAsia="仿宋_GB2312" w:cs="仿宋"/>
                <w:sz w:val="24"/>
                <w:szCs w:val="24"/>
                <w:lang w:eastAsia="zh-CN" w:bidi="ar"/>
              </w:rPr>
              <w:t>8</w:t>
            </w:r>
          </w:p>
        </w:tc>
        <w:tc>
          <w:tcPr>
            <w:tcW w:w="52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insoku/>
              <w:autoSpaceDE/>
              <w:autoSpaceDN/>
              <w:adjustRightInd/>
              <w:snapToGrid/>
              <w:spacing w:before="0" w:after="0" w:line="240" w:lineRule="atLeast"/>
              <w:ind w:firstLine="0" w:firstLineChars="0"/>
              <w:jc w:val="center"/>
              <w:textAlignment w:val="center"/>
              <w:rPr>
                <w:rFonts w:eastAsia="仿宋_GB2312" w:cs="仿宋"/>
                <w:sz w:val="24"/>
                <w:szCs w:val="24"/>
              </w:rPr>
            </w:pPr>
            <w:r>
              <w:rPr>
                <w:rFonts w:hint="eastAsia" w:eastAsia="仿宋_GB2312" w:cs="仿宋"/>
                <w:sz w:val="24"/>
                <w:szCs w:val="24"/>
                <w:lang w:eastAsia="zh-CN" w:bidi="ar"/>
              </w:rPr>
              <w:t>完好</w:t>
            </w:r>
          </w:p>
        </w:tc>
      </w:tr>
      <w:bookmarkEnd w:id="61"/>
    </w:tbl>
    <w:p>
      <w:pPr>
        <w:pStyle w:val="5"/>
        <w:ind w:firstLine="643"/>
      </w:pPr>
      <w:bookmarkStart w:id="67" w:name="_Toc209952514"/>
      <w:bookmarkStart w:id="68" w:name="_Toc213072495"/>
      <w:r>
        <w:rPr>
          <w:rFonts w:hint="eastAsia"/>
        </w:rPr>
        <w:t>（五）森林防火宣传教育</w:t>
      </w:r>
      <w:bookmarkEnd w:id="67"/>
      <w:bookmarkEnd w:id="68"/>
    </w:p>
    <w:p>
      <w:pPr>
        <w:ind w:firstLine="64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州区通过“森林防火进社区”、播放防火宣传片、加强重点时段和重点人群宣传教育等多种形式，普及森林防火知识，强化公众“不在林区吸烟、不乱扔烟头”等行为规范。密集开展森林防火联动宣传活动，各行业部门结合本行业特点，通过官方媒体不定期的发布群众喜闻乐见的森林防火工作宣传作品；各乡镇（街道）通过社区干部、护林员、网格员等组成的宣传队伍，对涉林村庄和林缘村庄逐户开展入户宣传告知。</w:t>
      </w:r>
    </w:p>
    <w:p>
      <w:pPr>
        <w:ind w:firstLine="64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过组织森林火灾扑救综合演练等方式，强化公众对防灾减灾以及自防、自救、互救基本常识的掌握。将宣传教育纳入全区生态文明建设和污染防治攻坚战的整体部署中，成为提升区域生态安全韧性的重要组成部分。</w:t>
      </w:r>
    </w:p>
    <w:p>
      <w:pPr>
        <w:ind w:firstLine="64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现阶段仍以传统宣传方式为主，智能化水平低。尚未充分运用大数据、物联网、人工智能等现代技术手段实现动态监测、风险预警与精准推送，难以实现“因人、因时、因地”施策的智能宣教。</w:t>
      </w:r>
    </w:p>
    <w:p>
      <w:pPr>
        <w:pStyle w:val="3"/>
      </w:pPr>
      <w:bookmarkStart w:id="69" w:name="_Toc213072496"/>
      <w:bookmarkStart w:id="70" w:name="_Toc209952515"/>
      <w:r>
        <w:rPr>
          <w:rFonts w:hint="eastAsia"/>
        </w:rPr>
        <w:t>三、存在的主要问题</w:t>
      </w:r>
      <w:bookmarkEnd w:id="69"/>
    </w:p>
    <w:p>
      <w:pPr>
        <w:pStyle w:val="5"/>
        <w:ind w:firstLine="643"/>
      </w:pPr>
      <w:bookmarkStart w:id="71" w:name="_Toc213072497"/>
      <w:r>
        <w:rPr>
          <w:rFonts w:hint="eastAsia"/>
        </w:rPr>
        <w:t>（一）基础设施存在短板，影响防控效能提升</w:t>
      </w:r>
      <w:bookmarkEnd w:id="71"/>
    </w:p>
    <w:p>
      <w:pPr>
        <w:ind w:firstLine="640"/>
        <w:rPr>
          <w:lang w:eastAsia="zh-CN"/>
        </w:rPr>
      </w:pPr>
      <w:r>
        <w:rPr>
          <w:rFonts w:hint="eastAsia"/>
          <w:lang w:eastAsia="zh-CN"/>
        </w:rPr>
        <w:t>当前，通州区森林防火基础设施仍有提升空间，一定程度上制约了防火工作的精细化与高效化。一是林区内部防火道路以土路为主，部分路段存在通行条件不佳、维护不到位的情况，给日常巡查和应急响应带来不便；二是消防水源分布不均，全区消防水鹤数量相对有限，部分乡镇配置偏少，水源保障能力有待加强，尤其在地下水管控趋严背景下，亟需拓展多元化供水方式；三是宣传设施仍以传统形式为主，数量和布局存在差异，智能化手段应用不足，宣教工作的精准性和覆盖面仍有提升潜力。</w:t>
      </w:r>
    </w:p>
    <w:p>
      <w:pPr>
        <w:pStyle w:val="5"/>
        <w:ind w:firstLine="643"/>
      </w:pPr>
      <w:bookmarkStart w:id="72" w:name="_Toc213072498"/>
      <w:r>
        <w:rPr>
          <w:rFonts w:hint="eastAsia"/>
        </w:rPr>
        <w:t>（二）监测预警体系尚不完善，火情发现能力需进一步增强</w:t>
      </w:r>
      <w:bookmarkEnd w:id="72"/>
    </w:p>
    <w:p>
      <w:pPr>
        <w:ind w:firstLine="640"/>
        <w:rPr>
          <w:lang w:eastAsia="zh-CN"/>
        </w:rPr>
      </w:pPr>
      <w:r>
        <w:rPr>
          <w:rFonts w:hint="eastAsia"/>
          <w:lang w:eastAsia="zh-CN"/>
        </w:rPr>
        <w:t>通州区林火监测预警体系建设已初具规模，但在全域覆盖和响应灵敏度方面仍有优化空间。目前视频监控点位主要集中在重点区域，部分林区尚未实现有效覆盖，存在监测盲区；语音提示杆数量不足且分布不均，部分乡镇配置偏少，预警提示的连续性和可达性有待提升。同时，前端感知设备密度不高，数据整合与共享水平仍需加强，火情早期识别和快速响应能力尚有提升潜力。</w:t>
      </w:r>
    </w:p>
    <w:p>
      <w:pPr>
        <w:pStyle w:val="5"/>
        <w:ind w:firstLine="643"/>
      </w:pPr>
      <w:bookmarkStart w:id="73" w:name="_Toc213072499"/>
      <w:r>
        <w:rPr>
          <w:rFonts w:hint="eastAsia"/>
        </w:rPr>
        <w:t>（三）基层队伍力量结构不均，协同响应能力有待强化</w:t>
      </w:r>
      <w:bookmarkEnd w:id="73"/>
    </w:p>
    <w:p>
      <w:pPr>
        <w:ind w:firstLine="640"/>
        <w:rPr>
          <w:lang w:eastAsia="zh-CN"/>
        </w:rPr>
      </w:pPr>
      <w:r>
        <w:rPr>
          <w:rFonts w:hint="eastAsia"/>
          <w:lang w:eastAsia="zh-CN"/>
        </w:rPr>
        <w:t>通州区基层森林防火队伍以兼职为主，整体力量配置尚需优化，特别是在专业训练和装备保障方面仍有提升空间。当前，仅部分乡镇设有半专业队伍，其余多为兼职人员，系统培训和实战演练频次不足，专业素养和应急处置能力参差不齐；部分基层单位缺乏水罐车、高扬程水泵等关键装备，初期火情处置能力相对有限。此外，基层队伍与区级专业力量之间的协同机制尚不健全，信息共享和联动响应效率仍有提升潜力，影响整体扑救合力。</w:t>
      </w:r>
    </w:p>
    <w:p>
      <w:pPr>
        <w:ind w:firstLine="640"/>
        <w:rPr>
          <w:lang w:eastAsia="zh-CN"/>
        </w:rPr>
      </w:pPr>
    </w:p>
    <w:bookmarkEnd w:id="70"/>
    <w:p>
      <w:pPr>
        <w:kinsoku/>
        <w:autoSpaceDE/>
        <w:autoSpaceDN/>
        <w:adjustRightInd/>
        <w:snapToGrid/>
        <w:spacing w:before="0" w:after="0" w:line="240" w:lineRule="auto"/>
        <w:ind w:firstLine="0" w:firstLineChars="0"/>
        <w:jc w:val="left"/>
        <w:textAlignment w:val="auto"/>
        <w:rPr>
          <w:rFonts w:hint="eastAsia" w:ascii="宋体" w:hAnsi="宋体" w:eastAsia="黑体"/>
          <w:bCs/>
          <w:kern w:val="44"/>
          <w:szCs w:val="36"/>
          <w:lang w:eastAsia="zh-CN"/>
        </w:rPr>
      </w:pPr>
      <w:bookmarkStart w:id="74" w:name="_Toc209952523"/>
      <w:r>
        <w:rPr>
          <w:rFonts w:hint="eastAsia"/>
          <w:lang w:eastAsia="zh-CN"/>
        </w:rPr>
        <w:br w:type="page"/>
      </w:r>
    </w:p>
    <w:p>
      <w:pPr>
        <w:pStyle w:val="2"/>
        <w:rPr>
          <w:rFonts w:hint="eastAsia"/>
        </w:rPr>
      </w:pPr>
      <w:bookmarkStart w:id="75" w:name="_Toc213072500"/>
      <w:r>
        <w:rPr>
          <w:rFonts w:hint="eastAsia"/>
        </w:rPr>
        <w:t>第四章</w:t>
      </w:r>
      <w:r>
        <w:t xml:space="preserve">  </w:t>
      </w:r>
      <w:r>
        <w:rPr>
          <w:rFonts w:hint="eastAsia"/>
        </w:rPr>
        <w:t>规划总体思路</w:t>
      </w:r>
      <w:bookmarkEnd w:id="74"/>
      <w:bookmarkEnd w:id="75"/>
    </w:p>
    <w:p>
      <w:pPr>
        <w:pStyle w:val="3"/>
      </w:pPr>
      <w:bookmarkStart w:id="76" w:name="_Toc213072501"/>
      <w:bookmarkStart w:id="77" w:name="_Toc209952524"/>
      <w:r>
        <w:rPr>
          <w:rFonts w:hint="eastAsia"/>
        </w:rPr>
        <w:t>一、指导思想</w:t>
      </w:r>
      <w:bookmarkEnd w:id="76"/>
      <w:bookmarkEnd w:id="77"/>
    </w:p>
    <w:p>
      <w:pPr>
        <w:ind w:firstLine="640"/>
        <w:rPr>
          <w:lang w:eastAsia="zh-CN"/>
        </w:rPr>
      </w:pPr>
      <w:r>
        <w:rPr>
          <w:rFonts w:hint="eastAsia"/>
          <w:lang w:eastAsia="zh-CN"/>
        </w:rPr>
        <w:t>以习近平新时代中国特色社会主义思想为指引，认真贯彻党中央、国务院和北京市委市政府的决策部署，立足副中心建设的高要求，牢固树立绿水青山就是金山银山的理念，坚持“预防为主、积极消灭、生命至上、安全第一”的工作方针，坚持“预防为主、积极消灭、生命至上、安全第一”的工作方针，聚焦森林火灾预防、早期处置、保障三大体系建设，完善森林防火责任体系，加强预警监测系统建设，着力补齐基础设施和队伍力量短板，持续强化野外火源管控、风险隐患整治及宣传教育，加大依法治火工作力度，建立健全森林防火长效机制，推动森林防火工作火险预警响应规范化、基层基础管理信息化、消防队伍建设专业化、装备现代化、野外火源管理法制化，全面提升通州区森林火灾的防控治理能力，最大限度地防范森林火灾的发生，竭力减少因森林火灾造成的灾害损失，为生态文明建设筑牢坚实根基，为建设美丽通州提供有力保障。</w:t>
      </w:r>
    </w:p>
    <w:p>
      <w:pPr>
        <w:pStyle w:val="3"/>
      </w:pPr>
      <w:bookmarkStart w:id="78" w:name="_Toc209952525"/>
      <w:bookmarkStart w:id="79" w:name="_Toc213072502"/>
      <w:r>
        <w:rPr>
          <w:rFonts w:hint="eastAsia"/>
        </w:rPr>
        <w:t>二、基本原则</w:t>
      </w:r>
      <w:bookmarkEnd w:id="78"/>
      <w:bookmarkEnd w:id="79"/>
    </w:p>
    <w:p>
      <w:pPr>
        <w:ind w:firstLine="643"/>
        <w:rPr>
          <w:lang w:eastAsia="zh-CN"/>
        </w:rPr>
      </w:pPr>
      <w:r>
        <w:rPr>
          <w:rFonts w:hint="eastAsia"/>
          <w:b/>
          <w:bCs/>
          <w:lang w:eastAsia="zh-CN"/>
        </w:rPr>
        <w:t>立足首都战略定位，服务国家生态安全大局。</w:t>
      </w:r>
      <w:r>
        <w:rPr>
          <w:rFonts w:hint="eastAsia"/>
          <w:lang w:eastAsia="zh-CN"/>
        </w:rPr>
        <w:t>坚持把森林防火工作置于首都“四个中心”功能建设全局，以守护政治中心生态安全为首要任务，严格落实“森林防火责任重于泰山”要求，确保副中心作为京津冀协同发展桥头堡的生态屏障稳固可靠。</w:t>
      </w:r>
    </w:p>
    <w:p>
      <w:pPr>
        <w:ind w:firstLine="643"/>
        <w:rPr>
          <w:lang w:eastAsia="zh-CN"/>
        </w:rPr>
      </w:pPr>
      <w:r>
        <w:rPr>
          <w:rFonts w:hint="eastAsia"/>
          <w:b/>
          <w:bCs/>
          <w:lang w:eastAsia="zh-CN"/>
        </w:rPr>
        <w:t>突出城市副中心特色，实施分区精准防控。</w:t>
      </w:r>
      <w:r>
        <w:rPr>
          <w:rFonts w:hint="eastAsia"/>
          <w:lang w:eastAsia="zh-CN"/>
        </w:rPr>
        <w:t>针对平原区与城市建成区交错、大运河生态带横跨的地形特征，科学划分城市</w:t>
      </w:r>
      <w:r>
        <w:rPr>
          <w:lang w:eastAsia="zh-CN"/>
        </w:rPr>
        <w:t>-</w:t>
      </w:r>
      <w:r>
        <w:rPr>
          <w:rFonts w:hint="eastAsia"/>
          <w:lang w:eastAsia="zh-CN"/>
        </w:rPr>
        <w:t>森林交界带防火优先区，强化绿心森林公园、潮白河沿岸等重点区域动态监测，实现“一区一策”精准治理。</w:t>
      </w:r>
    </w:p>
    <w:p>
      <w:pPr>
        <w:ind w:firstLine="643"/>
        <w:rPr>
          <w:lang w:eastAsia="zh-CN"/>
        </w:rPr>
      </w:pPr>
      <w:r>
        <w:rPr>
          <w:rFonts w:hint="eastAsia"/>
          <w:b/>
          <w:bCs/>
          <w:lang w:eastAsia="zh-CN"/>
        </w:rPr>
        <w:t>坚持预防为主，积极消灭。</w:t>
      </w:r>
      <w:r>
        <w:rPr>
          <w:rFonts w:hint="eastAsia"/>
          <w:lang w:eastAsia="zh-CN"/>
        </w:rPr>
        <w:t>防范胜于救灾，坚持把森林火灾预防工作放在首要位置，筑牢森林防火安全屏障，防患于未然。全力抓好森林防火宣传教育，提高全民森林防火意识；加强森林火灾预警监测，建立完善森林火险预警监测系统和森林防火通信和信息指挥系统；加大林火阻隔系统建设力度，加强森林火灾风险隐患排查整治和野外火源管控；全面提升森林火灾防控能力，实现科学预防、早发现、早扑救的目标。牢固树立生命至上、人民至上理念。</w:t>
      </w:r>
    </w:p>
    <w:p>
      <w:pPr>
        <w:ind w:firstLine="643"/>
        <w:rPr>
          <w:lang w:eastAsia="zh-CN"/>
        </w:rPr>
      </w:pPr>
      <w:r>
        <w:rPr>
          <w:rFonts w:hint="eastAsia"/>
          <w:b/>
          <w:bCs/>
          <w:lang w:eastAsia="zh-CN"/>
        </w:rPr>
        <w:t>坚持科技预防优先，加强培训和宣传工作。</w:t>
      </w:r>
      <w:r>
        <w:rPr>
          <w:rFonts w:hint="eastAsia"/>
          <w:lang w:eastAsia="zh-CN"/>
        </w:rPr>
        <w:t>加强森林防火理论研究，引进、推广先进、实用的森林防火技术和装备，充分利用现代科技手段防控森林火灾。充分利用信息化手段，不断提高森林防火科技含量。注重森林防火业务与技术培训，进一步提高森林防火队伍综合素质，不断提高森林防火管理现代化水平。</w:t>
      </w:r>
    </w:p>
    <w:p>
      <w:pPr>
        <w:pStyle w:val="3"/>
      </w:pPr>
      <w:bookmarkStart w:id="80" w:name="_Toc209952526"/>
      <w:bookmarkStart w:id="81" w:name="_Toc213072503"/>
      <w:r>
        <w:rPr>
          <w:rFonts w:hint="eastAsia"/>
        </w:rPr>
        <w:t>三、规划依据</w:t>
      </w:r>
      <w:bookmarkEnd w:id="80"/>
      <w:bookmarkEnd w:id="81"/>
    </w:p>
    <w:p>
      <w:pPr>
        <w:pStyle w:val="5"/>
        <w:ind w:firstLine="643"/>
      </w:pPr>
      <w:bookmarkStart w:id="82" w:name="_Toc213072504"/>
      <w:bookmarkStart w:id="83" w:name="_Toc209952527"/>
      <w:r>
        <w:rPr>
          <w:rFonts w:hint="eastAsia"/>
        </w:rPr>
        <w:t>（一）法律法规</w:t>
      </w:r>
      <w:bookmarkEnd w:id="82"/>
      <w:bookmarkEnd w:id="83"/>
    </w:p>
    <w:p>
      <w:pPr>
        <w:ind w:firstLine="640"/>
        <w:rPr>
          <w:lang w:eastAsia="zh-CN"/>
        </w:rPr>
      </w:pPr>
      <w:r>
        <w:rPr>
          <w:rFonts w:hint="eastAsia"/>
          <w:lang w:eastAsia="zh-CN"/>
        </w:rPr>
        <w:t>（</w:t>
      </w:r>
      <w:r>
        <w:rPr>
          <w:lang w:eastAsia="zh-CN"/>
        </w:rPr>
        <w:t>1</w:t>
      </w:r>
      <w:r>
        <w:rPr>
          <w:rFonts w:hint="eastAsia"/>
          <w:lang w:eastAsia="zh-CN"/>
        </w:rPr>
        <w:t>）《中华人民共和国森林法》（</w:t>
      </w:r>
      <w:r>
        <w:rPr>
          <w:lang w:eastAsia="zh-CN"/>
        </w:rPr>
        <w:t>2019</w:t>
      </w:r>
      <w:r>
        <w:rPr>
          <w:rFonts w:hint="eastAsia"/>
          <w:lang w:eastAsia="zh-CN"/>
        </w:rPr>
        <w:t>年修订）；</w:t>
      </w:r>
    </w:p>
    <w:p>
      <w:pPr>
        <w:kinsoku/>
        <w:ind w:firstLine="640"/>
        <w:rPr>
          <w:lang w:eastAsia="zh-CN"/>
        </w:rPr>
      </w:pPr>
      <w:r>
        <w:rPr>
          <w:rFonts w:hint="eastAsia"/>
          <w:lang w:eastAsia="zh-CN"/>
        </w:rPr>
        <w:t>（</w:t>
      </w:r>
      <w:r>
        <w:rPr>
          <w:lang w:eastAsia="zh-CN"/>
        </w:rPr>
        <w:t>2</w:t>
      </w:r>
      <w:r>
        <w:rPr>
          <w:rFonts w:hint="eastAsia"/>
          <w:lang w:eastAsia="zh-CN"/>
        </w:rPr>
        <w:t>）《中华人民共和国森林法实施条例》（</w:t>
      </w:r>
      <w:r>
        <w:rPr>
          <w:lang w:eastAsia="zh-CN"/>
        </w:rPr>
        <w:t>2018</w:t>
      </w:r>
      <w:r>
        <w:rPr>
          <w:rFonts w:hint="eastAsia"/>
          <w:lang w:eastAsia="zh-CN"/>
        </w:rPr>
        <w:t>年修订）；</w:t>
      </w:r>
    </w:p>
    <w:p>
      <w:pPr>
        <w:ind w:firstLine="640"/>
        <w:rPr>
          <w:lang w:eastAsia="zh-CN"/>
        </w:rPr>
      </w:pPr>
      <w:r>
        <w:rPr>
          <w:rFonts w:hint="eastAsia"/>
          <w:lang w:eastAsia="zh-CN"/>
        </w:rPr>
        <w:t>（</w:t>
      </w:r>
      <w:r>
        <w:rPr>
          <w:lang w:eastAsia="zh-CN"/>
        </w:rPr>
        <w:t>3</w:t>
      </w:r>
      <w:r>
        <w:rPr>
          <w:rFonts w:hint="eastAsia"/>
          <w:lang w:eastAsia="zh-CN"/>
        </w:rPr>
        <w:t>）《森林防火条例》（</w:t>
      </w:r>
      <w:r>
        <w:rPr>
          <w:lang w:eastAsia="zh-CN"/>
        </w:rPr>
        <w:t>2008</w:t>
      </w:r>
      <w:r>
        <w:rPr>
          <w:rFonts w:hint="eastAsia"/>
          <w:lang w:eastAsia="zh-CN"/>
        </w:rPr>
        <w:t>年修订）；</w:t>
      </w:r>
    </w:p>
    <w:p>
      <w:pPr>
        <w:ind w:firstLine="640"/>
        <w:rPr>
          <w:lang w:eastAsia="zh-CN"/>
        </w:rPr>
      </w:pPr>
      <w:r>
        <w:rPr>
          <w:rFonts w:hint="eastAsia"/>
          <w:lang w:eastAsia="zh-CN"/>
        </w:rPr>
        <w:t>（</w:t>
      </w:r>
      <w:r>
        <w:rPr>
          <w:lang w:eastAsia="zh-CN"/>
        </w:rPr>
        <w:t>4</w:t>
      </w:r>
      <w:r>
        <w:rPr>
          <w:rFonts w:hint="eastAsia"/>
          <w:lang w:eastAsia="zh-CN"/>
        </w:rPr>
        <w:t>）《北京市森林资源保护管理条例》（</w:t>
      </w:r>
      <w:r>
        <w:rPr>
          <w:lang w:eastAsia="zh-CN"/>
        </w:rPr>
        <w:t>2018</w:t>
      </w:r>
      <w:r>
        <w:rPr>
          <w:rFonts w:hint="eastAsia"/>
          <w:lang w:eastAsia="zh-CN"/>
        </w:rPr>
        <w:t>年修订）；</w:t>
      </w:r>
    </w:p>
    <w:p>
      <w:pPr>
        <w:ind w:firstLine="640"/>
        <w:rPr>
          <w:lang w:eastAsia="zh-CN"/>
        </w:rPr>
      </w:pPr>
      <w:r>
        <w:rPr>
          <w:rFonts w:hint="eastAsia"/>
          <w:lang w:eastAsia="zh-CN"/>
        </w:rPr>
        <w:t>（</w:t>
      </w:r>
      <w:r>
        <w:rPr>
          <w:lang w:eastAsia="zh-CN"/>
        </w:rPr>
        <w:t>5</w:t>
      </w:r>
      <w:r>
        <w:rPr>
          <w:rFonts w:hint="eastAsia"/>
          <w:lang w:eastAsia="zh-CN"/>
        </w:rPr>
        <w:t>）《北京市森林防火办法》（</w:t>
      </w:r>
      <w:r>
        <w:rPr>
          <w:lang w:eastAsia="zh-CN"/>
        </w:rPr>
        <w:t>2011</w:t>
      </w:r>
      <w:r>
        <w:rPr>
          <w:rFonts w:hint="eastAsia"/>
          <w:lang w:eastAsia="zh-CN"/>
        </w:rPr>
        <w:t>年）；</w:t>
      </w:r>
    </w:p>
    <w:p>
      <w:pPr>
        <w:ind w:firstLine="640"/>
        <w:rPr>
          <w:lang w:eastAsia="zh-CN"/>
        </w:rPr>
      </w:pPr>
      <w:r>
        <w:rPr>
          <w:rFonts w:hint="eastAsia"/>
          <w:lang w:eastAsia="zh-CN"/>
        </w:rPr>
        <w:t>（</w:t>
      </w:r>
      <w:r>
        <w:rPr>
          <w:lang w:eastAsia="zh-CN"/>
        </w:rPr>
        <w:t>6</w:t>
      </w:r>
      <w:r>
        <w:rPr>
          <w:rFonts w:hint="eastAsia"/>
          <w:lang w:eastAsia="zh-CN"/>
        </w:rPr>
        <w:t>）《北京市实施</w:t>
      </w:r>
      <w:r>
        <w:rPr>
          <w:lang w:eastAsia="zh-CN"/>
        </w:rPr>
        <w:t>&lt;</w:t>
      </w:r>
      <w:r>
        <w:rPr>
          <w:rFonts w:hint="eastAsia"/>
          <w:lang w:eastAsia="zh-CN"/>
        </w:rPr>
        <w:t>中华人民共和国森林法</w:t>
      </w:r>
      <w:r>
        <w:rPr>
          <w:lang w:eastAsia="zh-CN"/>
        </w:rPr>
        <w:t>&gt;</w:t>
      </w:r>
      <w:r>
        <w:rPr>
          <w:rFonts w:hint="eastAsia"/>
          <w:lang w:eastAsia="zh-CN"/>
        </w:rPr>
        <w:t>办法》（</w:t>
      </w:r>
      <w:r>
        <w:rPr>
          <w:lang w:eastAsia="zh-CN"/>
        </w:rPr>
        <w:t>2025</w:t>
      </w:r>
      <w:r>
        <w:rPr>
          <w:rFonts w:hint="eastAsia"/>
          <w:lang w:eastAsia="zh-CN"/>
        </w:rPr>
        <w:t>年）。</w:t>
      </w:r>
    </w:p>
    <w:p>
      <w:pPr>
        <w:pStyle w:val="5"/>
        <w:ind w:firstLine="643"/>
      </w:pPr>
      <w:bookmarkStart w:id="84" w:name="_Toc209952528"/>
      <w:bookmarkStart w:id="85" w:name="_Toc213072505"/>
      <w:r>
        <w:rPr>
          <w:rFonts w:hint="eastAsia"/>
        </w:rPr>
        <w:t>（二）政策文件</w:t>
      </w:r>
      <w:bookmarkEnd w:id="84"/>
      <w:bookmarkEnd w:id="85"/>
    </w:p>
    <w:p>
      <w:pPr>
        <w:ind w:firstLine="640"/>
        <w:rPr>
          <w:lang w:eastAsia="zh-CN"/>
        </w:rPr>
      </w:pPr>
      <w:r>
        <w:rPr>
          <w:rFonts w:hint="eastAsia"/>
          <w:lang w:eastAsia="zh-CN"/>
        </w:rPr>
        <w:t>（</w:t>
      </w:r>
      <w:r>
        <w:rPr>
          <w:lang w:eastAsia="zh-CN"/>
        </w:rPr>
        <w:t>1</w:t>
      </w:r>
      <w:r>
        <w:rPr>
          <w:rFonts w:hint="eastAsia"/>
          <w:lang w:eastAsia="zh-CN"/>
        </w:rPr>
        <w:t>）《中共中央办公厅</w:t>
      </w:r>
      <w:r>
        <w:rPr>
          <w:lang w:eastAsia="zh-CN"/>
        </w:rPr>
        <w:t xml:space="preserve"> </w:t>
      </w:r>
      <w:r>
        <w:rPr>
          <w:rFonts w:hint="eastAsia"/>
          <w:lang w:eastAsia="zh-CN"/>
        </w:rPr>
        <w:t>国务院办公厅印发</w:t>
      </w:r>
      <w:r>
        <w:rPr>
          <w:lang w:eastAsia="zh-CN"/>
        </w:rPr>
        <w:t>&lt;</w:t>
      </w:r>
      <w:r>
        <w:rPr>
          <w:rFonts w:hint="eastAsia"/>
          <w:lang w:eastAsia="zh-CN"/>
        </w:rPr>
        <w:t>关于全面推行林长制的意见</w:t>
      </w:r>
      <w:r>
        <w:rPr>
          <w:lang w:eastAsia="zh-CN"/>
        </w:rPr>
        <w:t>&gt;</w:t>
      </w:r>
      <w:r>
        <w:rPr>
          <w:rFonts w:hint="eastAsia"/>
          <w:lang w:eastAsia="zh-CN"/>
        </w:rPr>
        <w:t>的通知》（厅字〔</w:t>
      </w:r>
      <w:r>
        <w:rPr>
          <w:lang w:eastAsia="zh-CN"/>
        </w:rPr>
        <w:t>2020</w:t>
      </w:r>
      <w:r>
        <w:rPr>
          <w:rFonts w:hint="eastAsia"/>
          <w:lang w:eastAsia="zh-CN"/>
        </w:rPr>
        <w:t>〕</w:t>
      </w:r>
      <w:r>
        <w:rPr>
          <w:lang w:eastAsia="zh-CN"/>
        </w:rPr>
        <w:t>34</w:t>
      </w:r>
      <w:r>
        <w:rPr>
          <w:rFonts w:hint="eastAsia"/>
          <w:lang w:eastAsia="zh-CN"/>
        </w:rPr>
        <w:t>号）；</w:t>
      </w:r>
    </w:p>
    <w:p>
      <w:pPr>
        <w:ind w:firstLine="640"/>
        <w:rPr>
          <w:lang w:eastAsia="zh-CN"/>
        </w:rPr>
      </w:pPr>
      <w:r>
        <w:rPr>
          <w:rFonts w:hint="eastAsia"/>
          <w:lang w:eastAsia="zh-CN"/>
        </w:rPr>
        <w:t>（</w:t>
      </w:r>
      <w:r>
        <w:rPr>
          <w:lang w:eastAsia="zh-CN"/>
        </w:rPr>
        <w:t>2</w:t>
      </w:r>
      <w:r>
        <w:rPr>
          <w:rFonts w:hint="eastAsia"/>
          <w:lang w:eastAsia="zh-CN"/>
        </w:rPr>
        <w:t>）《国务院办公厅关于开展第一次全国自然灾害综合风险普查的通知》（国办发〔</w:t>
      </w:r>
      <w:r>
        <w:rPr>
          <w:lang w:eastAsia="zh-CN"/>
        </w:rPr>
        <w:t>2020</w:t>
      </w:r>
      <w:r>
        <w:rPr>
          <w:rFonts w:hint="eastAsia"/>
          <w:lang w:eastAsia="zh-CN"/>
        </w:rPr>
        <w:t>〕</w:t>
      </w:r>
      <w:r>
        <w:rPr>
          <w:lang w:eastAsia="zh-CN"/>
        </w:rPr>
        <w:t>12</w:t>
      </w:r>
      <w:r>
        <w:rPr>
          <w:rFonts w:hint="eastAsia"/>
          <w:lang w:eastAsia="zh-CN"/>
        </w:rPr>
        <w:t>号）；</w:t>
      </w:r>
    </w:p>
    <w:p>
      <w:pPr>
        <w:ind w:firstLine="640"/>
        <w:rPr>
          <w:lang w:eastAsia="zh-CN"/>
        </w:rPr>
      </w:pPr>
      <w:r>
        <w:rPr>
          <w:rFonts w:hint="eastAsia"/>
          <w:lang w:eastAsia="zh-CN"/>
        </w:rPr>
        <w:t>（</w:t>
      </w:r>
      <w:r>
        <w:rPr>
          <w:lang w:eastAsia="zh-CN"/>
        </w:rPr>
        <w:t>3</w:t>
      </w:r>
      <w:r>
        <w:rPr>
          <w:rFonts w:hint="eastAsia"/>
          <w:lang w:eastAsia="zh-CN"/>
        </w:rPr>
        <w:t>）《国务院办公厅关于印发国家森林草原火灾应急预案的通知》（国办函〔</w:t>
      </w:r>
      <w:r>
        <w:rPr>
          <w:lang w:eastAsia="zh-CN"/>
        </w:rPr>
        <w:t>2020</w:t>
      </w:r>
      <w:r>
        <w:rPr>
          <w:rFonts w:hint="eastAsia"/>
          <w:lang w:eastAsia="zh-CN"/>
        </w:rPr>
        <w:t>〕</w:t>
      </w:r>
      <w:r>
        <w:rPr>
          <w:lang w:eastAsia="zh-CN"/>
        </w:rPr>
        <w:t>99</w:t>
      </w:r>
      <w:r>
        <w:rPr>
          <w:rFonts w:hint="eastAsia"/>
          <w:lang w:eastAsia="zh-CN"/>
        </w:rPr>
        <w:t>号）；</w:t>
      </w:r>
    </w:p>
    <w:p>
      <w:pPr>
        <w:ind w:firstLine="640"/>
        <w:rPr>
          <w:lang w:eastAsia="zh-CN"/>
        </w:rPr>
      </w:pPr>
      <w:r>
        <w:rPr>
          <w:rFonts w:hint="eastAsia"/>
          <w:lang w:eastAsia="zh-CN"/>
        </w:rPr>
        <w:t>（</w:t>
      </w:r>
      <w:r>
        <w:rPr>
          <w:lang w:eastAsia="zh-CN"/>
        </w:rPr>
        <w:t>4</w:t>
      </w:r>
      <w:r>
        <w:rPr>
          <w:rFonts w:hint="eastAsia"/>
          <w:lang w:eastAsia="zh-CN"/>
        </w:rPr>
        <w:t>）《国务院关于印发“十四五”国家应急体系规划的通知》（国发〔</w:t>
      </w:r>
      <w:r>
        <w:rPr>
          <w:lang w:eastAsia="zh-CN"/>
        </w:rPr>
        <w:t>2021</w:t>
      </w:r>
      <w:r>
        <w:rPr>
          <w:rFonts w:hint="eastAsia"/>
          <w:lang w:eastAsia="zh-CN"/>
        </w:rPr>
        <w:t>〕</w:t>
      </w:r>
      <w:r>
        <w:rPr>
          <w:lang w:eastAsia="zh-CN"/>
        </w:rPr>
        <w:t>36</w:t>
      </w:r>
      <w:r>
        <w:rPr>
          <w:rFonts w:hint="eastAsia"/>
          <w:lang w:eastAsia="zh-CN"/>
        </w:rPr>
        <w:t>号）；</w:t>
      </w:r>
    </w:p>
    <w:p>
      <w:pPr>
        <w:ind w:firstLine="640"/>
        <w:rPr>
          <w:lang w:eastAsia="zh-CN"/>
        </w:rPr>
      </w:pPr>
      <w:r>
        <w:rPr>
          <w:rFonts w:hint="eastAsia"/>
          <w:lang w:eastAsia="zh-CN"/>
        </w:rPr>
        <w:t>（</w:t>
      </w:r>
      <w:r>
        <w:rPr>
          <w:lang w:eastAsia="zh-CN"/>
        </w:rPr>
        <w:t>5</w:t>
      </w:r>
      <w:r>
        <w:rPr>
          <w:rFonts w:hint="eastAsia"/>
          <w:lang w:eastAsia="zh-CN"/>
        </w:rPr>
        <w:t>）《中共中央办公厅</w:t>
      </w:r>
      <w:r>
        <w:rPr>
          <w:lang w:eastAsia="zh-CN"/>
        </w:rPr>
        <w:t xml:space="preserve"> </w:t>
      </w:r>
      <w:r>
        <w:rPr>
          <w:rFonts w:hint="eastAsia"/>
          <w:lang w:eastAsia="zh-CN"/>
        </w:rPr>
        <w:t>国务院办公厅印发</w:t>
      </w:r>
      <w:r>
        <w:rPr>
          <w:lang w:eastAsia="zh-CN"/>
        </w:rPr>
        <w:t>&lt;</w:t>
      </w:r>
      <w:r>
        <w:rPr>
          <w:rFonts w:hint="eastAsia"/>
          <w:lang w:eastAsia="zh-CN"/>
        </w:rPr>
        <w:t>关于全面加强新形势下森林草原防灭火工作的意见</w:t>
      </w:r>
      <w:r>
        <w:rPr>
          <w:lang w:eastAsia="zh-CN"/>
        </w:rPr>
        <w:t>&gt;</w:t>
      </w:r>
      <w:r>
        <w:rPr>
          <w:rFonts w:hint="eastAsia"/>
          <w:lang w:eastAsia="zh-CN"/>
        </w:rPr>
        <w:t>的通知》（中办发〔</w:t>
      </w:r>
      <w:r>
        <w:rPr>
          <w:lang w:eastAsia="zh-CN"/>
        </w:rPr>
        <w:t>2022</w:t>
      </w:r>
      <w:r>
        <w:rPr>
          <w:rFonts w:hint="eastAsia"/>
          <w:lang w:eastAsia="zh-CN"/>
        </w:rPr>
        <w:t>〕</w:t>
      </w:r>
      <w:r>
        <w:rPr>
          <w:lang w:eastAsia="zh-CN"/>
        </w:rPr>
        <w:t>60</w:t>
      </w:r>
      <w:r>
        <w:rPr>
          <w:rFonts w:hint="eastAsia"/>
          <w:lang w:eastAsia="zh-CN"/>
        </w:rPr>
        <w:t>号）；</w:t>
      </w:r>
    </w:p>
    <w:p>
      <w:pPr>
        <w:ind w:firstLine="640"/>
        <w:rPr>
          <w:lang w:eastAsia="zh-CN"/>
        </w:rPr>
      </w:pPr>
      <w:r>
        <w:rPr>
          <w:rFonts w:hint="eastAsia"/>
          <w:lang w:eastAsia="zh-CN"/>
        </w:rPr>
        <w:t>（</w:t>
      </w:r>
      <w:r>
        <w:rPr>
          <w:lang w:eastAsia="zh-CN"/>
        </w:rPr>
        <w:t>6</w:t>
      </w:r>
      <w:r>
        <w:rPr>
          <w:rFonts w:hint="eastAsia"/>
          <w:lang w:eastAsia="zh-CN"/>
        </w:rPr>
        <w:t>）《北京市园林绿化局关于印发</w:t>
      </w:r>
      <w:r>
        <w:rPr>
          <w:lang w:eastAsia="zh-CN"/>
        </w:rPr>
        <w:t>&lt;</w:t>
      </w:r>
      <w:r>
        <w:rPr>
          <w:rFonts w:hint="eastAsia"/>
          <w:lang w:eastAsia="zh-CN"/>
        </w:rPr>
        <w:t>北京市加强森林资源管理工作的意见</w:t>
      </w:r>
      <w:r>
        <w:rPr>
          <w:lang w:eastAsia="zh-CN"/>
        </w:rPr>
        <w:t>&gt;</w:t>
      </w:r>
      <w:r>
        <w:rPr>
          <w:rFonts w:hint="eastAsia"/>
          <w:lang w:eastAsia="zh-CN"/>
        </w:rPr>
        <w:t>的通知》（京绿办发〔</w:t>
      </w:r>
      <w:r>
        <w:rPr>
          <w:lang w:eastAsia="zh-CN"/>
        </w:rPr>
        <w:t>2020</w:t>
      </w:r>
      <w:r>
        <w:rPr>
          <w:rFonts w:hint="eastAsia"/>
          <w:lang w:eastAsia="zh-CN"/>
        </w:rPr>
        <w:t>〕</w:t>
      </w:r>
      <w:r>
        <w:rPr>
          <w:lang w:eastAsia="zh-CN"/>
        </w:rPr>
        <w:t>224</w:t>
      </w:r>
      <w:r>
        <w:rPr>
          <w:rFonts w:hint="eastAsia"/>
          <w:lang w:eastAsia="zh-CN"/>
        </w:rPr>
        <w:t>号）；</w:t>
      </w:r>
    </w:p>
    <w:p>
      <w:pPr>
        <w:ind w:firstLine="640"/>
        <w:rPr>
          <w:lang w:eastAsia="zh-CN"/>
        </w:rPr>
      </w:pPr>
      <w:r>
        <w:rPr>
          <w:rFonts w:hint="eastAsia"/>
          <w:lang w:eastAsia="zh-CN"/>
        </w:rPr>
        <w:t>（</w:t>
      </w:r>
      <w:r>
        <w:rPr>
          <w:lang w:eastAsia="zh-CN"/>
        </w:rPr>
        <w:t>7</w:t>
      </w:r>
      <w:r>
        <w:rPr>
          <w:rFonts w:hint="eastAsia"/>
          <w:lang w:eastAsia="zh-CN"/>
        </w:rPr>
        <w:t>）《中共北京市委办公厅</w:t>
      </w:r>
      <w:r>
        <w:rPr>
          <w:lang w:eastAsia="zh-CN"/>
        </w:rPr>
        <w:t xml:space="preserve"> </w:t>
      </w:r>
      <w:r>
        <w:rPr>
          <w:rFonts w:hint="eastAsia"/>
          <w:lang w:eastAsia="zh-CN"/>
        </w:rPr>
        <w:t>北京市人民政府办公厅印发</w:t>
      </w:r>
      <w:r>
        <w:rPr>
          <w:lang w:eastAsia="zh-CN"/>
        </w:rPr>
        <w:t>&lt;</w:t>
      </w:r>
      <w:r>
        <w:rPr>
          <w:rFonts w:hint="eastAsia"/>
          <w:lang w:eastAsia="zh-CN"/>
        </w:rPr>
        <w:t>关于全面建立林长制的实施意见</w:t>
      </w:r>
      <w:r>
        <w:rPr>
          <w:lang w:eastAsia="zh-CN"/>
        </w:rPr>
        <w:t>&gt;</w:t>
      </w:r>
      <w:r>
        <w:rPr>
          <w:rFonts w:hint="eastAsia"/>
          <w:lang w:eastAsia="zh-CN"/>
        </w:rPr>
        <w:t>的通知》（京办字〔</w:t>
      </w:r>
      <w:r>
        <w:rPr>
          <w:lang w:eastAsia="zh-CN"/>
        </w:rPr>
        <w:t>2021</w:t>
      </w:r>
      <w:r>
        <w:rPr>
          <w:rFonts w:hint="eastAsia"/>
          <w:lang w:eastAsia="zh-CN"/>
        </w:rPr>
        <w:t>〕</w:t>
      </w:r>
      <w:r>
        <w:rPr>
          <w:lang w:eastAsia="zh-CN"/>
        </w:rPr>
        <w:t>4</w:t>
      </w:r>
      <w:r>
        <w:rPr>
          <w:rFonts w:hint="eastAsia"/>
          <w:lang w:eastAsia="zh-CN"/>
        </w:rPr>
        <w:t>号）；</w:t>
      </w:r>
    </w:p>
    <w:p>
      <w:pPr>
        <w:kinsoku/>
        <w:ind w:firstLine="640"/>
        <w:rPr>
          <w:lang w:eastAsia="zh-CN"/>
        </w:rPr>
      </w:pPr>
      <w:r>
        <w:rPr>
          <w:rFonts w:hint="eastAsia"/>
          <w:lang w:eastAsia="zh-CN"/>
        </w:rPr>
        <w:t>（</w:t>
      </w:r>
      <w:r>
        <w:rPr>
          <w:lang w:eastAsia="zh-CN"/>
        </w:rPr>
        <w:t>8</w:t>
      </w:r>
      <w:r>
        <w:rPr>
          <w:rFonts w:hint="eastAsia"/>
          <w:lang w:eastAsia="zh-CN"/>
        </w:rPr>
        <w:t>）《北京市人民政府办公厅印发</w:t>
      </w:r>
      <w:r>
        <w:rPr>
          <w:lang w:eastAsia="zh-CN"/>
        </w:rPr>
        <w:t>&lt;</w:t>
      </w:r>
      <w:r>
        <w:rPr>
          <w:rFonts w:hint="eastAsia"/>
          <w:lang w:eastAsia="zh-CN"/>
        </w:rPr>
        <w:t>关于加强极端天气风险防范应对工作的若干措施</w:t>
      </w:r>
      <w:r>
        <w:rPr>
          <w:lang w:eastAsia="zh-CN"/>
        </w:rPr>
        <w:t>&gt;</w:t>
      </w:r>
      <w:r>
        <w:rPr>
          <w:rFonts w:hint="eastAsia"/>
          <w:lang w:eastAsia="zh-CN"/>
        </w:rPr>
        <w:t>的通知》（京政办发〔</w:t>
      </w:r>
      <w:r>
        <w:rPr>
          <w:lang w:eastAsia="zh-CN"/>
        </w:rPr>
        <w:t>2021</w:t>
      </w:r>
      <w:r>
        <w:rPr>
          <w:rFonts w:hint="eastAsia"/>
          <w:lang w:eastAsia="zh-CN"/>
        </w:rPr>
        <w:t>〕</w:t>
      </w:r>
      <w:r>
        <w:rPr>
          <w:lang w:eastAsia="zh-CN"/>
        </w:rPr>
        <w:t>19</w:t>
      </w:r>
      <w:r>
        <w:rPr>
          <w:rFonts w:hint="eastAsia"/>
          <w:lang w:eastAsia="zh-CN"/>
        </w:rPr>
        <w:t>号）；</w:t>
      </w:r>
    </w:p>
    <w:p>
      <w:pPr>
        <w:ind w:firstLine="640"/>
        <w:rPr>
          <w:lang w:eastAsia="zh-CN"/>
        </w:rPr>
      </w:pPr>
      <w:r>
        <w:rPr>
          <w:rFonts w:hint="eastAsia"/>
          <w:lang w:eastAsia="zh-CN"/>
        </w:rPr>
        <w:t>（</w:t>
      </w:r>
      <w:r>
        <w:rPr>
          <w:lang w:eastAsia="zh-CN"/>
        </w:rPr>
        <w:t>9</w:t>
      </w:r>
      <w:r>
        <w:rPr>
          <w:rFonts w:hint="eastAsia"/>
          <w:lang w:eastAsia="zh-CN"/>
        </w:rPr>
        <w:t>）《北京市人民政府关于印发</w:t>
      </w:r>
      <w:r>
        <w:rPr>
          <w:lang w:eastAsia="zh-CN"/>
        </w:rPr>
        <w:t>&lt;</w:t>
      </w:r>
      <w:r>
        <w:rPr>
          <w:rFonts w:hint="eastAsia"/>
          <w:lang w:eastAsia="zh-CN"/>
        </w:rPr>
        <w:t>北京市突发事件总体应急预案（</w:t>
      </w:r>
      <w:r>
        <w:rPr>
          <w:lang w:eastAsia="zh-CN"/>
        </w:rPr>
        <w:t>2021</w:t>
      </w:r>
      <w:r>
        <w:rPr>
          <w:rFonts w:hint="eastAsia"/>
          <w:lang w:eastAsia="zh-CN"/>
        </w:rPr>
        <w:t>年修订）</w:t>
      </w:r>
      <w:r>
        <w:rPr>
          <w:lang w:eastAsia="zh-CN"/>
        </w:rPr>
        <w:t>&gt;</w:t>
      </w:r>
      <w:r>
        <w:rPr>
          <w:rFonts w:hint="eastAsia"/>
          <w:lang w:eastAsia="zh-CN"/>
        </w:rPr>
        <w:t>的通知》（京政发〔</w:t>
      </w:r>
      <w:r>
        <w:rPr>
          <w:lang w:eastAsia="zh-CN"/>
        </w:rPr>
        <w:t>2021</w:t>
      </w:r>
      <w:r>
        <w:rPr>
          <w:rFonts w:hint="eastAsia"/>
          <w:lang w:eastAsia="zh-CN"/>
        </w:rPr>
        <w:t>〕</w:t>
      </w:r>
      <w:r>
        <w:rPr>
          <w:lang w:eastAsia="zh-CN"/>
        </w:rPr>
        <w:t>19</w:t>
      </w:r>
      <w:r>
        <w:rPr>
          <w:rFonts w:hint="eastAsia"/>
          <w:lang w:eastAsia="zh-CN"/>
        </w:rPr>
        <w:t>号）；</w:t>
      </w:r>
    </w:p>
    <w:p>
      <w:pPr>
        <w:ind w:firstLine="640"/>
        <w:rPr>
          <w:lang w:eastAsia="zh-CN"/>
        </w:rPr>
      </w:pPr>
      <w:r>
        <w:rPr>
          <w:rFonts w:hint="eastAsia"/>
          <w:lang w:eastAsia="zh-CN"/>
        </w:rPr>
        <w:t>（</w:t>
      </w:r>
      <w:r>
        <w:rPr>
          <w:lang w:eastAsia="zh-CN"/>
        </w:rPr>
        <w:t>10</w:t>
      </w:r>
      <w:r>
        <w:rPr>
          <w:rFonts w:hint="eastAsia"/>
          <w:lang w:eastAsia="zh-CN"/>
        </w:rPr>
        <w:t>）《北京市大数据工作推进小组关于印发</w:t>
      </w:r>
      <w:r>
        <w:rPr>
          <w:lang w:eastAsia="zh-CN"/>
        </w:rPr>
        <w:t>&lt;</w:t>
      </w:r>
      <w:r>
        <w:rPr>
          <w:rFonts w:hint="eastAsia"/>
          <w:lang w:eastAsia="zh-CN"/>
        </w:rPr>
        <w:t>北京市“十四五”时期智慧城市发展行动纲要</w:t>
      </w:r>
      <w:r>
        <w:rPr>
          <w:lang w:eastAsia="zh-CN"/>
        </w:rPr>
        <w:t>&gt;</w:t>
      </w:r>
      <w:r>
        <w:rPr>
          <w:rFonts w:hint="eastAsia"/>
          <w:lang w:eastAsia="zh-CN"/>
        </w:rPr>
        <w:t>的通知》（京大数据发〔</w:t>
      </w:r>
      <w:r>
        <w:rPr>
          <w:lang w:eastAsia="zh-CN"/>
        </w:rPr>
        <w:t>2021</w:t>
      </w:r>
      <w:r>
        <w:rPr>
          <w:rFonts w:hint="eastAsia"/>
          <w:lang w:eastAsia="zh-CN"/>
        </w:rPr>
        <w:t>〕</w:t>
      </w:r>
      <w:r>
        <w:rPr>
          <w:lang w:eastAsia="zh-CN"/>
        </w:rPr>
        <w:t>1</w:t>
      </w:r>
      <w:r>
        <w:rPr>
          <w:rFonts w:hint="eastAsia"/>
          <w:lang w:eastAsia="zh-CN"/>
        </w:rPr>
        <w:t>号）；</w:t>
      </w:r>
    </w:p>
    <w:p>
      <w:pPr>
        <w:ind w:firstLine="640"/>
        <w:rPr>
          <w:lang w:eastAsia="zh-CN"/>
        </w:rPr>
      </w:pPr>
      <w:r>
        <w:rPr>
          <w:rFonts w:hint="eastAsia"/>
          <w:lang w:eastAsia="zh-CN"/>
        </w:rPr>
        <w:t>（</w:t>
      </w:r>
      <w:r>
        <w:rPr>
          <w:lang w:eastAsia="zh-CN"/>
        </w:rPr>
        <w:t>11</w:t>
      </w:r>
      <w:r>
        <w:rPr>
          <w:rFonts w:hint="eastAsia"/>
          <w:lang w:eastAsia="zh-CN"/>
        </w:rPr>
        <w:t>）《中共北京市委办公厅</w:t>
      </w:r>
      <w:r>
        <w:rPr>
          <w:lang w:eastAsia="zh-CN"/>
        </w:rPr>
        <w:t xml:space="preserve"> </w:t>
      </w:r>
      <w:r>
        <w:rPr>
          <w:rFonts w:hint="eastAsia"/>
          <w:lang w:eastAsia="zh-CN"/>
        </w:rPr>
        <w:t>北京市人民政府办公厅印发</w:t>
      </w:r>
      <w:r>
        <w:rPr>
          <w:lang w:eastAsia="zh-CN"/>
        </w:rPr>
        <w:t>&lt;</w:t>
      </w:r>
      <w:r>
        <w:rPr>
          <w:rFonts w:hint="eastAsia"/>
          <w:lang w:eastAsia="zh-CN"/>
        </w:rPr>
        <w:t>关于加快推进韧性城市建设的指导意见</w:t>
      </w:r>
      <w:r>
        <w:rPr>
          <w:lang w:eastAsia="zh-CN"/>
        </w:rPr>
        <w:t>&gt;</w:t>
      </w:r>
      <w:r>
        <w:rPr>
          <w:rFonts w:hint="eastAsia"/>
          <w:lang w:eastAsia="zh-CN"/>
        </w:rPr>
        <w:t>的通知》（京办发〔</w:t>
      </w:r>
      <w:r>
        <w:rPr>
          <w:lang w:eastAsia="zh-CN"/>
        </w:rPr>
        <w:t>2021</w:t>
      </w:r>
      <w:r>
        <w:rPr>
          <w:rFonts w:hint="eastAsia"/>
          <w:lang w:eastAsia="zh-CN"/>
        </w:rPr>
        <w:t>〕</w:t>
      </w:r>
      <w:r>
        <w:rPr>
          <w:lang w:eastAsia="zh-CN"/>
        </w:rPr>
        <w:t>27</w:t>
      </w:r>
      <w:r>
        <w:rPr>
          <w:rFonts w:hint="eastAsia"/>
          <w:lang w:eastAsia="zh-CN"/>
        </w:rPr>
        <w:t>号）；</w:t>
      </w:r>
    </w:p>
    <w:p>
      <w:pPr>
        <w:ind w:firstLine="640"/>
        <w:rPr>
          <w:lang w:eastAsia="zh-CN"/>
        </w:rPr>
      </w:pPr>
      <w:r>
        <w:rPr>
          <w:rFonts w:hint="eastAsia"/>
          <w:lang w:eastAsia="zh-CN"/>
        </w:rPr>
        <w:t>（</w:t>
      </w:r>
      <w:r>
        <w:rPr>
          <w:lang w:eastAsia="zh-CN"/>
        </w:rPr>
        <w:t>12</w:t>
      </w:r>
      <w:r>
        <w:rPr>
          <w:rFonts w:hint="eastAsia"/>
          <w:lang w:eastAsia="zh-CN"/>
        </w:rPr>
        <w:t>）《北京市园林绿化局关于印发</w:t>
      </w:r>
      <w:r>
        <w:rPr>
          <w:lang w:eastAsia="zh-CN"/>
        </w:rPr>
        <w:t>&lt;2022</w:t>
      </w:r>
      <w:r>
        <w:rPr>
          <w:rFonts w:hint="eastAsia"/>
          <w:lang w:eastAsia="zh-CN"/>
        </w:rPr>
        <w:t>年安全生产和应急管理工作要点</w:t>
      </w:r>
      <w:r>
        <w:rPr>
          <w:lang w:eastAsia="zh-CN"/>
        </w:rPr>
        <w:t>&gt;</w:t>
      </w:r>
      <w:r>
        <w:rPr>
          <w:rFonts w:hint="eastAsia"/>
          <w:lang w:eastAsia="zh-CN"/>
        </w:rPr>
        <w:t>的通知》（京绿办发〔</w:t>
      </w:r>
      <w:r>
        <w:rPr>
          <w:lang w:eastAsia="zh-CN"/>
        </w:rPr>
        <w:t>2022</w:t>
      </w:r>
      <w:r>
        <w:rPr>
          <w:rFonts w:hint="eastAsia"/>
          <w:lang w:eastAsia="zh-CN"/>
        </w:rPr>
        <w:t>〕</w:t>
      </w:r>
      <w:r>
        <w:rPr>
          <w:lang w:eastAsia="zh-CN"/>
        </w:rPr>
        <w:t>56</w:t>
      </w:r>
      <w:r>
        <w:rPr>
          <w:rFonts w:hint="eastAsia"/>
          <w:lang w:eastAsia="zh-CN"/>
        </w:rPr>
        <w:t>号）；</w:t>
      </w:r>
    </w:p>
    <w:p>
      <w:pPr>
        <w:ind w:firstLine="640"/>
        <w:rPr>
          <w:lang w:eastAsia="zh-CN"/>
        </w:rPr>
      </w:pPr>
      <w:r>
        <w:rPr>
          <w:rFonts w:hint="eastAsia"/>
          <w:lang w:eastAsia="zh-CN"/>
        </w:rPr>
        <w:t>（</w:t>
      </w:r>
      <w:r>
        <w:rPr>
          <w:lang w:eastAsia="zh-CN"/>
        </w:rPr>
        <w:t>13</w:t>
      </w:r>
      <w:r>
        <w:rPr>
          <w:rFonts w:hint="eastAsia"/>
          <w:lang w:eastAsia="zh-CN"/>
        </w:rPr>
        <w:t>）《关于全面加强新形势下森林草原防灭火工作的意见》；</w:t>
      </w:r>
    </w:p>
    <w:p>
      <w:pPr>
        <w:kinsoku/>
        <w:ind w:firstLine="640"/>
        <w:rPr>
          <w:lang w:eastAsia="zh-CN"/>
        </w:rPr>
      </w:pPr>
      <w:r>
        <w:rPr>
          <w:rFonts w:hint="eastAsia"/>
          <w:lang w:eastAsia="zh-CN"/>
        </w:rPr>
        <w:t>（</w:t>
      </w:r>
      <w:r>
        <w:rPr>
          <w:lang w:eastAsia="zh-CN"/>
        </w:rPr>
        <w:t>14</w:t>
      </w:r>
      <w:r>
        <w:rPr>
          <w:rFonts w:hint="eastAsia"/>
          <w:lang w:eastAsia="zh-CN"/>
        </w:rPr>
        <w:t>）《国家林业和草原局办公室关于进一步加强当前森林草原防火暨安全生产工作的通知》（办防字〔</w:t>
      </w:r>
      <w:r>
        <w:rPr>
          <w:lang w:eastAsia="zh-CN"/>
        </w:rPr>
        <w:t>2024</w:t>
      </w:r>
      <w:r>
        <w:rPr>
          <w:rFonts w:hint="eastAsia"/>
          <w:lang w:eastAsia="zh-CN"/>
        </w:rPr>
        <w:t>〕</w:t>
      </w:r>
      <w:r>
        <w:rPr>
          <w:lang w:eastAsia="zh-CN"/>
        </w:rPr>
        <w:t>220</w:t>
      </w:r>
      <w:r>
        <w:rPr>
          <w:rFonts w:hint="eastAsia"/>
          <w:lang w:eastAsia="zh-CN"/>
        </w:rPr>
        <w:t>号）。</w:t>
      </w:r>
    </w:p>
    <w:p>
      <w:pPr>
        <w:pStyle w:val="5"/>
        <w:ind w:firstLine="643"/>
      </w:pPr>
      <w:bookmarkStart w:id="86" w:name="_Toc213072506"/>
      <w:bookmarkStart w:id="87" w:name="_Toc209952529"/>
      <w:r>
        <w:rPr>
          <w:rFonts w:hint="eastAsia"/>
        </w:rPr>
        <w:t>（三）行业标准与技术规程</w:t>
      </w:r>
      <w:bookmarkEnd w:id="86"/>
      <w:bookmarkEnd w:id="87"/>
    </w:p>
    <w:p>
      <w:pPr>
        <w:ind w:firstLine="640"/>
        <w:rPr>
          <w:lang w:eastAsia="zh-CN"/>
        </w:rPr>
      </w:pPr>
      <w:r>
        <w:rPr>
          <w:rFonts w:hint="eastAsia"/>
          <w:lang w:eastAsia="zh-CN"/>
        </w:rPr>
        <w:t>（</w:t>
      </w:r>
      <w:r>
        <w:rPr>
          <w:lang w:eastAsia="zh-CN"/>
        </w:rPr>
        <w:t>1</w:t>
      </w:r>
      <w:r>
        <w:rPr>
          <w:rFonts w:hint="eastAsia"/>
          <w:lang w:eastAsia="zh-CN"/>
        </w:rPr>
        <w:t>）《全国森林火险区划等级》（</w:t>
      </w:r>
      <w:r>
        <w:rPr>
          <w:lang w:eastAsia="zh-CN"/>
        </w:rPr>
        <w:t>LY/T 1063-2008</w:t>
      </w:r>
      <w:r>
        <w:rPr>
          <w:rFonts w:hint="eastAsia"/>
          <w:lang w:eastAsia="zh-CN"/>
        </w:rPr>
        <w:t>）；</w:t>
      </w:r>
    </w:p>
    <w:p>
      <w:pPr>
        <w:kinsoku/>
        <w:ind w:firstLine="640"/>
        <w:rPr>
          <w:lang w:eastAsia="zh-CN"/>
        </w:rPr>
      </w:pPr>
      <w:r>
        <w:rPr>
          <w:rFonts w:hint="eastAsia"/>
          <w:lang w:eastAsia="zh-CN"/>
        </w:rPr>
        <w:t>（</w:t>
      </w:r>
      <w:r>
        <w:rPr>
          <w:lang w:eastAsia="zh-CN"/>
        </w:rPr>
        <w:t>2</w:t>
      </w:r>
      <w:r>
        <w:rPr>
          <w:rFonts w:hint="eastAsia"/>
          <w:lang w:eastAsia="zh-CN"/>
        </w:rPr>
        <w:t>）《森林火险区综合治理工程项目建设标准（</w:t>
      </w:r>
      <w:r>
        <w:rPr>
          <w:lang w:eastAsia="zh-CN"/>
        </w:rPr>
        <w:t>2014</w:t>
      </w:r>
      <w:r>
        <w:rPr>
          <w:rFonts w:hint="eastAsia"/>
          <w:lang w:eastAsia="zh-CN"/>
        </w:rPr>
        <w:t>版）》；</w:t>
      </w:r>
    </w:p>
    <w:p>
      <w:pPr>
        <w:ind w:firstLine="640"/>
        <w:rPr>
          <w:lang w:eastAsia="zh-CN"/>
        </w:rPr>
      </w:pPr>
      <w:r>
        <w:rPr>
          <w:rFonts w:hint="eastAsia"/>
          <w:lang w:eastAsia="zh-CN"/>
        </w:rPr>
        <w:t>（</w:t>
      </w:r>
      <w:r>
        <w:rPr>
          <w:lang w:eastAsia="zh-CN"/>
        </w:rPr>
        <w:t>3</w:t>
      </w:r>
      <w:r>
        <w:rPr>
          <w:rFonts w:hint="eastAsia"/>
          <w:lang w:eastAsia="zh-CN"/>
        </w:rPr>
        <w:t>）《森林防火工程技术标准》（</w:t>
      </w:r>
      <w:r>
        <w:rPr>
          <w:lang w:eastAsia="zh-CN"/>
        </w:rPr>
        <w:t>LYJ 127-2012</w:t>
      </w:r>
      <w:r>
        <w:rPr>
          <w:rFonts w:hint="eastAsia"/>
          <w:lang w:eastAsia="zh-CN"/>
        </w:rPr>
        <w:t>）；</w:t>
      </w:r>
    </w:p>
    <w:p>
      <w:pPr>
        <w:ind w:firstLine="640"/>
        <w:rPr>
          <w:lang w:eastAsia="zh-CN"/>
        </w:rPr>
      </w:pPr>
      <w:r>
        <w:rPr>
          <w:rFonts w:hint="eastAsia"/>
          <w:lang w:eastAsia="zh-CN"/>
        </w:rPr>
        <w:t>（</w:t>
      </w:r>
      <w:r>
        <w:rPr>
          <w:lang w:eastAsia="zh-CN"/>
        </w:rPr>
        <w:t>4</w:t>
      </w:r>
      <w:r>
        <w:rPr>
          <w:rFonts w:hint="eastAsia"/>
          <w:lang w:eastAsia="zh-CN"/>
        </w:rPr>
        <w:t>）《森林消防专业队伍建设和管理规范》（</w:t>
      </w:r>
      <w:r>
        <w:rPr>
          <w:lang w:eastAsia="zh-CN"/>
        </w:rPr>
        <w:t>LY/T 2246-2014</w:t>
      </w:r>
      <w:r>
        <w:rPr>
          <w:rFonts w:hint="eastAsia"/>
          <w:lang w:eastAsia="zh-CN"/>
        </w:rPr>
        <w:t>）；</w:t>
      </w:r>
    </w:p>
    <w:p>
      <w:pPr>
        <w:ind w:firstLine="640"/>
        <w:rPr>
          <w:lang w:eastAsia="zh-CN"/>
        </w:rPr>
      </w:pPr>
      <w:r>
        <w:rPr>
          <w:rFonts w:hint="eastAsia"/>
          <w:lang w:eastAsia="zh-CN"/>
        </w:rPr>
        <w:t>（</w:t>
      </w:r>
      <w:r>
        <w:rPr>
          <w:lang w:eastAsia="zh-CN"/>
        </w:rPr>
        <w:t>5</w:t>
      </w:r>
      <w:r>
        <w:rPr>
          <w:rFonts w:hint="eastAsia"/>
          <w:lang w:eastAsia="zh-CN"/>
        </w:rPr>
        <w:t>）《森林防火宣传设施设置规范》（</w:t>
      </w:r>
      <w:r>
        <w:rPr>
          <w:lang w:eastAsia="zh-CN"/>
        </w:rPr>
        <w:t>LY/T 2798-2017</w:t>
      </w:r>
      <w:r>
        <w:rPr>
          <w:rFonts w:hint="eastAsia"/>
          <w:lang w:eastAsia="zh-CN"/>
        </w:rPr>
        <w:t>）；</w:t>
      </w:r>
    </w:p>
    <w:p>
      <w:pPr>
        <w:ind w:firstLine="640"/>
        <w:rPr>
          <w:lang w:eastAsia="zh-CN"/>
        </w:rPr>
      </w:pPr>
      <w:r>
        <w:rPr>
          <w:rFonts w:hint="eastAsia"/>
          <w:lang w:eastAsia="zh-CN"/>
        </w:rPr>
        <w:t>（</w:t>
      </w:r>
      <w:r>
        <w:rPr>
          <w:lang w:eastAsia="zh-CN"/>
        </w:rPr>
        <w:t>6</w:t>
      </w:r>
      <w:r>
        <w:rPr>
          <w:rFonts w:hint="eastAsia"/>
          <w:lang w:eastAsia="zh-CN"/>
        </w:rPr>
        <w:t>）《林火阻隔系统建设标准》（</w:t>
      </w:r>
      <w:r>
        <w:rPr>
          <w:lang w:eastAsia="zh-CN"/>
        </w:rPr>
        <w:t>LY/T 5007-2014</w:t>
      </w:r>
      <w:r>
        <w:rPr>
          <w:rFonts w:hint="eastAsia"/>
          <w:lang w:eastAsia="zh-CN"/>
        </w:rPr>
        <w:t>）；</w:t>
      </w:r>
    </w:p>
    <w:p>
      <w:pPr>
        <w:ind w:firstLine="640"/>
        <w:rPr>
          <w:lang w:eastAsia="zh-CN"/>
        </w:rPr>
      </w:pPr>
      <w:r>
        <w:rPr>
          <w:rFonts w:hint="eastAsia"/>
          <w:lang w:eastAsia="zh-CN"/>
        </w:rPr>
        <w:t>（</w:t>
      </w:r>
      <w:r>
        <w:rPr>
          <w:lang w:eastAsia="zh-CN"/>
        </w:rPr>
        <w:t>7</w:t>
      </w:r>
      <w:r>
        <w:rPr>
          <w:rFonts w:hint="eastAsia"/>
          <w:lang w:eastAsia="zh-CN"/>
        </w:rPr>
        <w:t>）《森林消防综合应急救援基础能力建设规范》（</w:t>
      </w:r>
      <w:r>
        <w:rPr>
          <w:lang w:eastAsia="zh-CN"/>
        </w:rPr>
        <w:t>DB11/T 1825-2021</w:t>
      </w:r>
      <w:r>
        <w:rPr>
          <w:rFonts w:hint="eastAsia"/>
          <w:lang w:eastAsia="zh-CN"/>
        </w:rPr>
        <w:t>）；</w:t>
      </w:r>
    </w:p>
    <w:p>
      <w:pPr>
        <w:kinsoku/>
        <w:ind w:firstLine="640"/>
        <w:rPr>
          <w:lang w:eastAsia="zh-CN"/>
        </w:rPr>
      </w:pPr>
      <w:r>
        <w:rPr>
          <w:rFonts w:hint="eastAsia"/>
          <w:lang w:eastAsia="zh-CN"/>
        </w:rPr>
        <w:t>（</w:t>
      </w:r>
      <w:r>
        <w:rPr>
          <w:lang w:eastAsia="zh-CN"/>
        </w:rPr>
        <w:t>8</w:t>
      </w:r>
      <w:r>
        <w:rPr>
          <w:rFonts w:hint="eastAsia"/>
          <w:lang w:eastAsia="zh-CN"/>
        </w:rPr>
        <w:t>）《森林草原防火队伍建设规范》（</w:t>
      </w:r>
      <w:r>
        <w:rPr>
          <w:lang w:eastAsia="zh-CN"/>
        </w:rPr>
        <w:t>LY/T 3428</w:t>
      </w:r>
      <w:r>
        <w:rPr>
          <w:rFonts w:hint="eastAsia"/>
          <w:lang w:eastAsia="zh-CN"/>
        </w:rPr>
        <w:t>—</w:t>
      </w:r>
      <w:r>
        <w:rPr>
          <w:lang w:eastAsia="zh-CN"/>
        </w:rPr>
        <w:t>2025</w:t>
      </w:r>
      <w:r>
        <w:rPr>
          <w:rFonts w:hint="eastAsia"/>
          <w:lang w:eastAsia="zh-CN"/>
        </w:rPr>
        <w:t>）。</w:t>
      </w:r>
    </w:p>
    <w:p>
      <w:pPr>
        <w:pStyle w:val="5"/>
        <w:ind w:firstLine="643"/>
      </w:pPr>
      <w:bookmarkStart w:id="88" w:name="_Toc209952530"/>
      <w:bookmarkStart w:id="89" w:name="_Toc213072507"/>
      <w:r>
        <w:rPr>
          <w:rFonts w:hint="eastAsia"/>
        </w:rPr>
        <w:t>（四）相关规划</w:t>
      </w:r>
      <w:bookmarkEnd w:id="88"/>
      <w:bookmarkEnd w:id="89"/>
    </w:p>
    <w:p>
      <w:pPr>
        <w:numPr>
          <w:ilvl w:val="0"/>
          <w:numId w:val="1"/>
        </w:numPr>
        <w:ind w:firstLine="640"/>
        <w:rPr>
          <w:lang w:eastAsia="zh-CN"/>
        </w:rPr>
      </w:pPr>
      <w:r>
        <w:rPr>
          <w:rFonts w:hint="eastAsia"/>
          <w:lang w:eastAsia="zh-CN"/>
        </w:rPr>
        <w:t>《全国森林防火规划（</w:t>
      </w:r>
      <w:r>
        <w:rPr>
          <w:lang w:eastAsia="zh-CN"/>
        </w:rPr>
        <w:t>2016</w:t>
      </w:r>
      <w:r>
        <w:rPr>
          <w:rFonts w:hint="eastAsia"/>
          <w:lang w:eastAsia="zh-CN"/>
        </w:rPr>
        <w:t>—</w:t>
      </w:r>
      <w:r>
        <w:rPr>
          <w:lang w:eastAsia="zh-CN"/>
        </w:rPr>
        <w:t>2025</w:t>
      </w:r>
      <w:r>
        <w:rPr>
          <w:rFonts w:hint="eastAsia"/>
          <w:lang w:eastAsia="zh-CN"/>
        </w:rPr>
        <w:t>年）》；</w:t>
      </w:r>
    </w:p>
    <w:p>
      <w:pPr>
        <w:numPr>
          <w:ilvl w:val="0"/>
          <w:numId w:val="1"/>
        </w:numPr>
        <w:kinsoku/>
        <w:ind w:firstLine="640"/>
        <w:rPr>
          <w:lang w:eastAsia="zh-CN"/>
        </w:rPr>
      </w:pPr>
      <w:r>
        <w:rPr>
          <w:rFonts w:hint="eastAsia"/>
          <w:lang w:eastAsia="zh-CN"/>
        </w:rPr>
        <w:t>《北京市通州区林地保护利用规划（</w:t>
      </w:r>
      <w:r>
        <w:rPr>
          <w:lang w:eastAsia="zh-CN"/>
        </w:rPr>
        <w:t>2021</w:t>
      </w:r>
      <w:r>
        <w:rPr>
          <w:rFonts w:hint="eastAsia"/>
          <w:lang w:eastAsia="zh-CN"/>
        </w:rPr>
        <w:t>—</w:t>
      </w:r>
      <w:r>
        <w:rPr>
          <w:lang w:eastAsia="zh-CN"/>
        </w:rPr>
        <w:t>2035</w:t>
      </w:r>
      <w:r>
        <w:rPr>
          <w:rFonts w:hint="eastAsia"/>
          <w:lang w:eastAsia="zh-CN"/>
        </w:rPr>
        <w:t>年）》；</w:t>
      </w:r>
    </w:p>
    <w:p>
      <w:pPr>
        <w:numPr>
          <w:ilvl w:val="0"/>
          <w:numId w:val="1"/>
        </w:numPr>
        <w:ind w:firstLine="640"/>
        <w:rPr>
          <w:lang w:eastAsia="zh-CN"/>
        </w:rPr>
      </w:pPr>
      <w:r>
        <w:rPr>
          <w:rFonts w:hint="eastAsia"/>
          <w:lang w:eastAsia="zh-CN"/>
        </w:rPr>
        <w:t>《通州区森林防火区划分方案》；</w:t>
      </w:r>
    </w:p>
    <w:p>
      <w:pPr>
        <w:numPr>
          <w:ilvl w:val="0"/>
          <w:numId w:val="1"/>
        </w:numPr>
        <w:ind w:firstLine="640"/>
        <w:rPr>
          <w:lang w:eastAsia="zh-CN"/>
        </w:rPr>
      </w:pPr>
      <w:r>
        <w:rPr>
          <w:rFonts w:hint="eastAsia"/>
          <w:lang w:eastAsia="zh-CN"/>
        </w:rPr>
        <w:t>《北京城市副中心控制性详细规划（街区层面）（</w:t>
      </w:r>
      <w:r>
        <w:rPr>
          <w:lang w:eastAsia="zh-CN"/>
        </w:rPr>
        <w:t>2016</w:t>
      </w:r>
      <w:r>
        <w:rPr>
          <w:rFonts w:hint="eastAsia"/>
          <w:lang w:eastAsia="zh-CN"/>
        </w:rPr>
        <w:t>年—</w:t>
      </w:r>
      <w:r>
        <w:rPr>
          <w:lang w:eastAsia="zh-CN"/>
        </w:rPr>
        <w:t>2035</w:t>
      </w:r>
      <w:r>
        <w:rPr>
          <w:rFonts w:hint="eastAsia"/>
          <w:lang w:eastAsia="zh-CN"/>
        </w:rPr>
        <w:t>年）》；</w:t>
      </w:r>
    </w:p>
    <w:p>
      <w:pPr>
        <w:numPr>
          <w:ilvl w:val="0"/>
          <w:numId w:val="1"/>
        </w:numPr>
        <w:ind w:firstLine="640"/>
        <w:rPr>
          <w:lang w:eastAsia="zh-CN"/>
        </w:rPr>
      </w:pPr>
      <w:r>
        <w:rPr>
          <w:rFonts w:hint="eastAsia"/>
          <w:lang w:eastAsia="zh-CN"/>
        </w:rPr>
        <w:t>《北京城市副中心建设花园城市实施方案》；</w:t>
      </w:r>
    </w:p>
    <w:p>
      <w:pPr>
        <w:ind w:firstLine="640"/>
        <w:rPr>
          <w:lang w:eastAsia="zh-CN"/>
        </w:rPr>
      </w:pPr>
      <w:r>
        <w:rPr>
          <w:rFonts w:hint="eastAsia"/>
          <w:lang w:eastAsia="zh-CN"/>
        </w:rPr>
        <w:t>（</w:t>
      </w:r>
      <w:r>
        <w:rPr>
          <w:lang w:eastAsia="zh-CN"/>
        </w:rPr>
        <w:t>6</w:t>
      </w:r>
      <w:r>
        <w:rPr>
          <w:rFonts w:hint="eastAsia"/>
          <w:lang w:eastAsia="zh-CN"/>
        </w:rPr>
        <w:t>）《“十四五”林业草原保护发展规划纲要》；</w:t>
      </w:r>
    </w:p>
    <w:p>
      <w:pPr>
        <w:ind w:firstLine="640"/>
        <w:rPr>
          <w:lang w:eastAsia="zh-CN"/>
        </w:rPr>
      </w:pPr>
      <w:r>
        <w:rPr>
          <w:rFonts w:hint="eastAsia"/>
          <w:lang w:eastAsia="zh-CN"/>
        </w:rPr>
        <w:t>（</w:t>
      </w:r>
      <w:r>
        <w:rPr>
          <w:lang w:eastAsia="zh-CN"/>
        </w:rPr>
        <w:t>7</w:t>
      </w:r>
      <w:r>
        <w:rPr>
          <w:rFonts w:hint="eastAsia"/>
          <w:lang w:eastAsia="zh-CN"/>
        </w:rPr>
        <w:t>）《北京市生态安全格局规划（</w:t>
      </w:r>
      <w:r>
        <w:rPr>
          <w:lang w:eastAsia="zh-CN"/>
        </w:rPr>
        <w:t>2021</w:t>
      </w:r>
      <w:r>
        <w:rPr>
          <w:rFonts w:hint="eastAsia"/>
          <w:lang w:eastAsia="zh-CN"/>
        </w:rPr>
        <w:t>—</w:t>
      </w:r>
      <w:r>
        <w:rPr>
          <w:lang w:eastAsia="zh-CN"/>
        </w:rPr>
        <w:t>2035</w:t>
      </w:r>
      <w:r>
        <w:rPr>
          <w:rFonts w:hint="eastAsia"/>
          <w:lang w:eastAsia="zh-CN"/>
        </w:rPr>
        <w:t>年）》；</w:t>
      </w:r>
    </w:p>
    <w:p>
      <w:pPr>
        <w:ind w:firstLine="640"/>
        <w:rPr>
          <w:lang w:eastAsia="zh-CN"/>
        </w:rPr>
      </w:pPr>
      <w:r>
        <w:rPr>
          <w:rFonts w:hint="eastAsia"/>
          <w:lang w:eastAsia="zh-CN"/>
        </w:rPr>
        <w:t>（</w:t>
      </w:r>
      <w:r>
        <w:rPr>
          <w:lang w:eastAsia="zh-CN"/>
        </w:rPr>
        <w:t>8</w:t>
      </w:r>
      <w:r>
        <w:rPr>
          <w:rFonts w:hint="eastAsia"/>
          <w:lang w:eastAsia="zh-CN"/>
        </w:rPr>
        <w:t>）《北京市森林防火五年行动计划（</w:t>
      </w:r>
      <w:r>
        <w:rPr>
          <w:lang w:eastAsia="zh-CN"/>
        </w:rPr>
        <w:t>2023-2027</w:t>
      </w:r>
      <w:r>
        <w:rPr>
          <w:rFonts w:hint="eastAsia"/>
          <w:lang w:eastAsia="zh-CN"/>
        </w:rPr>
        <w:t>年）》。</w:t>
      </w:r>
    </w:p>
    <w:p>
      <w:pPr>
        <w:pStyle w:val="3"/>
      </w:pPr>
      <w:bookmarkStart w:id="90" w:name="_Toc213072508"/>
      <w:bookmarkStart w:id="91" w:name="_Toc209952531"/>
      <w:r>
        <w:rPr>
          <w:rFonts w:hint="eastAsia"/>
        </w:rPr>
        <w:t>四、规划范围</w:t>
      </w:r>
      <w:bookmarkEnd w:id="90"/>
      <w:bookmarkEnd w:id="91"/>
    </w:p>
    <w:p>
      <w:pPr>
        <w:ind w:firstLine="640"/>
        <w:rPr>
          <w:lang w:eastAsia="zh-CN"/>
        </w:rPr>
      </w:pPr>
      <w:r>
        <w:rPr>
          <w:rFonts w:hint="eastAsia"/>
          <w:lang w:eastAsia="zh-CN"/>
        </w:rPr>
        <w:t>规划范围为通州区全域的有林地范围。</w:t>
      </w:r>
    </w:p>
    <w:p>
      <w:pPr>
        <w:pStyle w:val="3"/>
      </w:pPr>
      <w:bookmarkStart w:id="92" w:name="_Toc213072509"/>
      <w:bookmarkStart w:id="93" w:name="_Toc209952532"/>
      <w:r>
        <w:rPr>
          <w:rFonts w:hint="eastAsia"/>
        </w:rPr>
        <w:t>五、规划期限</w:t>
      </w:r>
      <w:bookmarkEnd w:id="92"/>
      <w:bookmarkEnd w:id="93"/>
    </w:p>
    <w:p>
      <w:pPr>
        <w:ind w:firstLine="640"/>
        <w:rPr>
          <w:lang w:eastAsia="zh-CN"/>
        </w:rPr>
      </w:pPr>
      <w:r>
        <w:rPr>
          <w:rFonts w:hint="eastAsia"/>
          <w:lang w:eastAsia="zh-CN"/>
        </w:rPr>
        <w:t>规划期限为</w:t>
      </w:r>
      <w:r>
        <w:rPr>
          <w:lang w:eastAsia="zh-CN"/>
        </w:rPr>
        <w:t>202</w:t>
      </w:r>
      <w:r>
        <w:rPr>
          <w:rFonts w:hint="eastAsia"/>
          <w:lang w:eastAsia="zh-CN"/>
        </w:rPr>
        <w:t>5年—</w:t>
      </w:r>
      <w:r>
        <w:rPr>
          <w:lang w:eastAsia="zh-CN"/>
        </w:rPr>
        <w:t>2035</w:t>
      </w:r>
      <w:r>
        <w:rPr>
          <w:rFonts w:hint="eastAsia"/>
          <w:lang w:eastAsia="zh-CN"/>
        </w:rPr>
        <w:t>年，其中，近期为</w:t>
      </w:r>
      <w:r>
        <w:rPr>
          <w:lang w:eastAsia="zh-CN"/>
        </w:rPr>
        <w:t>202</w:t>
      </w:r>
      <w:r>
        <w:rPr>
          <w:rFonts w:hint="eastAsia"/>
          <w:lang w:eastAsia="zh-CN"/>
        </w:rPr>
        <w:t>5年—</w:t>
      </w:r>
      <w:r>
        <w:rPr>
          <w:lang w:eastAsia="zh-CN"/>
        </w:rPr>
        <w:t>2030</w:t>
      </w:r>
      <w:r>
        <w:rPr>
          <w:rFonts w:hint="eastAsia"/>
          <w:lang w:eastAsia="zh-CN"/>
        </w:rPr>
        <w:t>年，远期为</w:t>
      </w:r>
      <w:r>
        <w:rPr>
          <w:lang w:eastAsia="zh-CN"/>
        </w:rPr>
        <w:t>2031</w:t>
      </w:r>
      <w:r>
        <w:rPr>
          <w:rFonts w:hint="eastAsia"/>
          <w:lang w:eastAsia="zh-CN"/>
        </w:rPr>
        <w:t>年—</w:t>
      </w:r>
      <w:r>
        <w:rPr>
          <w:lang w:eastAsia="zh-CN"/>
        </w:rPr>
        <w:t>2035</w:t>
      </w:r>
      <w:r>
        <w:rPr>
          <w:rFonts w:hint="eastAsia"/>
          <w:lang w:eastAsia="zh-CN"/>
        </w:rPr>
        <w:t>年。</w:t>
      </w:r>
    </w:p>
    <w:p>
      <w:pPr>
        <w:pStyle w:val="3"/>
      </w:pPr>
      <w:bookmarkStart w:id="94" w:name="_Toc213072510"/>
      <w:bookmarkStart w:id="95" w:name="_Toc209952533"/>
      <w:r>
        <w:rPr>
          <w:rFonts w:hint="eastAsia"/>
        </w:rPr>
        <w:t>六、规划目标</w:t>
      </w:r>
      <w:bookmarkEnd w:id="94"/>
      <w:bookmarkEnd w:id="95"/>
    </w:p>
    <w:p>
      <w:pPr>
        <w:pStyle w:val="5"/>
        <w:ind w:firstLine="643"/>
      </w:pPr>
      <w:bookmarkStart w:id="96" w:name="_Toc209952534"/>
      <w:bookmarkStart w:id="97" w:name="_Toc213072511"/>
      <w:r>
        <w:rPr>
          <w:rFonts w:hint="eastAsia"/>
        </w:rPr>
        <w:t>（一）总体目标（</w:t>
      </w:r>
      <w:r>
        <w:t>202</w:t>
      </w:r>
      <w:r>
        <w:rPr>
          <w:rFonts w:hint="eastAsia"/>
        </w:rPr>
        <w:t>5–</w:t>
      </w:r>
      <w:r>
        <w:t>2035</w:t>
      </w:r>
      <w:r>
        <w:rPr>
          <w:rFonts w:hint="eastAsia"/>
        </w:rPr>
        <w:t>年）</w:t>
      </w:r>
      <w:bookmarkEnd w:id="96"/>
      <w:bookmarkEnd w:id="97"/>
    </w:p>
    <w:p>
      <w:pPr>
        <w:ind w:firstLine="640"/>
        <w:rPr>
          <w:lang w:eastAsia="zh-CN"/>
        </w:rPr>
      </w:pPr>
      <w:r>
        <w:rPr>
          <w:rFonts w:hint="eastAsia"/>
          <w:lang w:eastAsia="zh-CN"/>
        </w:rPr>
        <w:t>到</w:t>
      </w:r>
      <w:r>
        <w:rPr>
          <w:lang w:eastAsia="zh-CN"/>
        </w:rPr>
        <w:t>2035</w:t>
      </w:r>
      <w:r>
        <w:rPr>
          <w:rFonts w:hint="eastAsia"/>
          <w:lang w:eastAsia="zh-CN"/>
        </w:rPr>
        <w:t>年，构建与北京城市副中心战略定位相匹配的现代化森林防火体系，全面形成预防精准、扑救科学、保障有力的三大核心能力，实现预警响应规范化、队伍建设专业化、装备应用机械化与智慧化协同突破，推动人力与机械、传统与科技手段深度融合，基本建立长效治理机制；规划期末，森林火灾受害率稳定控制在</w:t>
      </w:r>
      <w:r>
        <w:rPr>
          <w:lang w:eastAsia="zh-CN"/>
        </w:rPr>
        <w:t>0.7</w:t>
      </w:r>
      <w:r>
        <w:rPr>
          <w:rFonts w:hint="eastAsia"/>
          <w:lang w:eastAsia="zh-CN"/>
        </w:rPr>
        <w:t>‰以下，打造“响应高效、预警智能、扑救精准、全民共治”的全国平原林区森林防火示范标杆。</w:t>
      </w:r>
    </w:p>
    <w:p>
      <w:pPr>
        <w:pStyle w:val="5"/>
        <w:ind w:firstLine="643"/>
      </w:pPr>
      <w:bookmarkStart w:id="98" w:name="_Toc209952535"/>
      <w:bookmarkStart w:id="99" w:name="_Toc213072512"/>
      <w:r>
        <w:rPr>
          <w:rFonts w:hint="eastAsia"/>
        </w:rPr>
        <w:t>（二）近期目标（</w:t>
      </w:r>
      <w:r>
        <w:t>202</w:t>
      </w:r>
      <w:r>
        <w:rPr>
          <w:rFonts w:hint="eastAsia"/>
        </w:rPr>
        <w:t>5–</w:t>
      </w:r>
      <w:r>
        <w:t>2030</w:t>
      </w:r>
      <w:r>
        <w:rPr>
          <w:rFonts w:hint="eastAsia"/>
        </w:rPr>
        <w:t>年）</w:t>
      </w:r>
      <w:bookmarkEnd w:id="98"/>
      <w:bookmarkEnd w:id="99"/>
    </w:p>
    <w:p>
      <w:pPr>
        <w:ind w:firstLine="640"/>
        <w:rPr>
          <w:lang w:eastAsia="zh-CN"/>
        </w:rPr>
      </w:pPr>
      <w:r>
        <w:rPr>
          <w:rFonts w:hint="eastAsia"/>
          <w:lang w:eastAsia="zh-CN"/>
        </w:rPr>
        <w:t>不断健全基础支撑体系，构建协同高效防控格局。聚焦路网联通、通信覆盖、智能监测、队伍建制与宣教机制五大基础能力，推动防火体系从“有”到“优”、从“分散”到“协同”，夯实与副中心战略定位相匹配的实体化、标准化安全底座。</w:t>
      </w:r>
    </w:p>
    <w:p>
      <w:pPr>
        <w:pStyle w:val="5"/>
        <w:ind w:firstLine="643"/>
      </w:pPr>
      <w:bookmarkStart w:id="100" w:name="_Toc213072513"/>
      <w:bookmarkStart w:id="101" w:name="_Toc209952536"/>
      <w:r>
        <w:rPr>
          <w:rFonts w:hint="eastAsia"/>
        </w:rPr>
        <w:t>（三）远期目标（</w:t>
      </w:r>
      <w:r>
        <w:t>2030</w:t>
      </w:r>
      <w:r>
        <w:rPr>
          <w:rFonts w:hint="eastAsia"/>
        </w:rPr>
        <w:t>–</w:t>
      </w:r>
      <w:r>
        <w:t>2035</w:t>
      </w:r>
      <w:r>
        <w:rPr>
          <w:rFonts w:hint="eastAsia"/>
        </w:rPr>
        <w:t>年）</w:t>
      </w:r>
      <w:bookmarkEnd w:id="100"/>
      <w:bookmarkEnd w:id="101"/>
    </w:p>
    <w:p>
      <w:pPr>
        <w:ind w:firstLine="640"/>
        <w:rPr>
          <w:lang w:eastAsia="zh-CN"/>
        </w:rPr>
      </w:pPr>
      <w:r>
        <w:rPr>
          <w:rFonts w:hint="eastAsia"/>
          <w:lang w:eastAsia="zh-CN"/>
        </w:rPr>
        <w:t>推进智慧融合升级，打造韧性共治示范样板。以“空天地”一体化监测、</w:t>
      </w:r>
      <w:r>
        <w:rPr>
          <w:lang w:eastAsia="zh-CN"/>
        </w:rPr>
        <w:t>AI</w:t>
      </w:r>
      <w:r>
        <w:rPr>
          <w:rFonts w:hint="eastAsia"/>
          <w:lang w:eastAsia="zh-CN"/>
        </w:rPr>
        <w:t>智能决策、数字孪生调度、人机协同扑救和全民智慧参与为核心，全面推动森林防火体系向科技化、制度化、韧性化跃升，形成可复制、可推广的超大城市平原林区智慧防火“通州样板”。</w:t>
      </w:r>
    </w:p>
    <w:p>
      <w:pPr>
        <w:pStyle w:val="3"/>
      </w:pPr>
      <w:bookmarkStart w:id="102" w:name="_Toc213072514"/>
      <w:bookmarkStart w:id="103" w:name="_Toc209952537"/>
      <w:r>
        <w:rPr>
          <w:rFonts w:hint="eastAsia"/>
        </w:rPr>
        <w:t>七、防火分区与治理措施</w:t>
      </w:r>
      <w:bookmarkEnd w:id="102"/>
      <w:bookmarkEnd w:id="103"/>
    </w:p>
    <w:p>
      <w:pPr>
        <w:pStyle w:val="5"/>
        <w:ind w:firstLine="643"/>
      </w:pPr>
      <w:bookmarkStart w:id="104" w:name="_Toc213072515"/>
      <w:bookmarkStart w:id="105" w:name="_Toc209952538"/>
      <w:r>
        <w:rPr>
          <w:rFonts w:hint="eastAsia"/>
        </w:rPr>
        <w:t>（一）防火分区</w:t>
      </w:r>
      <w:bookmarkEnd w:id="104"/>
      <w:bookmarkEnd w:id="105"/>
    </w:p>
    <w:p>
      <w:pPr>
        <w:ind w:firstLine="640"/>
        <w:rPr>
          <w:lang w:eastAsia="zh-CN"/>
        </w:rPr>
      </w:pPr>
      <w:bookmarkStart w:id="106" w:name="OLE_LINK4"/>
      <w:r>
        <w:rPr>
          <w:rFonts w:hint="eastAsia"/>
          <w:lang w:eastAsia="zh-CN"/>
        </w:rPr>
        <w:t>为进一步明晰森林防火建设重点，通州区综合考量森林火险等级、林地资源分布、城市拓展边界及生态廊道布局等关键因子，严格依据《北京市森林防火区划分指导意见》和《通州区森林防火区划分方案》，科学划定全区森林防火区总面积为</w:t>
      </w:r>
      <w:r>
        <w:rPr>
          <w:lang w:eastAsia="zh-CN"/>
        </w:rPr>
        <w:t>30763.95</w:t>
      </w:r>
      <w:r>
        <w:rPr>
          <w:rFonts w:hint="eastAsia"/>
          <w:lang w:eastAsia="zh-CN"/>
        </w:rPr>
        <w:t>公顷，其中二级防火区面积为</w:t>
      </w:r>
      <w:r>
        <w:rPr>
          <w:lang w:eastAsia="zh-CN"/>
        </w:rPr>
        <w:t>27718.00</w:t>
      </w:r>
      <w:r>
        <w:rPr>
          <w:rFonts w:hint="eastAsia"/>
          <w:lang w:eastAsia="zh-CN"/>
        </w:rPr>
        <w:t>公顷，占防火区总面积的</w:t>
      </w:r>
      <w:r>
        <w:rPr>
          <w:lang w:eastAsia="zh-CN"/>
        </w:rPr>
        <w:t>90.10%</w:t>
      </w:r>
      <w:r>
        <w:rPr>
          <w:rFonts w:hint="eastAsia"/>
          <w:lang w:eastAsia="zh-CN"/>
        </w:rPr>
        <w:t>，主要涵盖城市绿心森林公园、大运河森林公园、潮白河生态带等生态敏感度高、人林活动频繁的重点区域；三级防火区面积为</w:t>
      </w:r>
      <w:r>
        <w:rPr>
          <w:lang w:eastAsia="zh-CN"/>
        </w:rPr>
        <w:t>3045.95</w:t>
      </w:r>
      <w:r>
        <w:rPr>
          <w:rFonts w:hint="eastAsia"/>
          <w:lang w:eastAsia="zh-CN"/>
        </w:rPr>
        <w:t>公顷，占防火区总面积的</w:t>
      </w:r>
      <w:r>
        <w:rPr>
          <w:lang w:eastAsia="zh-CN"/>
        </w:rPr>
        <w:t>9.90%</w:t>
      </w:r>
      <w:r>
        <w:rPr>
          <w:rFonts w:hint="eastAsia"/>
          <w:lang w:eastAsia="zh-CN"/>
        </w:rPr>
        <w:t>，主要为一般平原生态林、农田防护林及村庄周边林地。</w:t>
      </w:r>
      <w:bookmarkEnd w:id="106"/>
    </w:p>
    <w:p>
      <w:pPr>
        <w:keepNext/>
        <w:spacing w:before="0" w:after="120" w:line="260" w:lineRule="exact"/>
        <w:ind w:firstLine="0" w:firstLineChars="0"/>
        <w:jc w:val="center"/>
        <w:rPr>
          <w:rFonts w:eastAsia="黑体" w:cs="黑体"/>
          <w:b/>
          <w:bCs/>
          <w:sz w:val="24"/>
          <w:szCs w:val="18"/>
          <w:lang w:eastAsia="zh-CN"/>
        </w:rPr>
      </w:pPr>
      <w:r>
        <w:rPr>
          <w:rFonts w:hint="eastAsia" w:eastAsia="黑体" w:cs="黑体"/>
          <w:b/>
          <w:bCs/>
          <w:sz w:val="24"/>
          <w:szCs w:val="18"/>
          <w:lang w:eastAsia="zh-CN"/>
        </w:rPr>
        <w:t>表</w:t>
      </w:r>
      <w:r>
        <w:rPr>
          <w:rFonts w:eastAsia="黑体" w:cs="黑体"/>
          <w:b/>
          <w:bCs/>
          <w:sz w:val="24"/>
          <w:szCs w:val="18"/>
          <w:lang w:eastAsia="zh-CN"/>
        </w:rPr>
        <w:t xml:space="preserve">4-1 </w:t>
      </w:r>
      <w:r>
        <w:rPr>
          <w:rFonts w:hint="eastAsia" w:eastAsia="黑体" w:cs="黑体"/>
          <w:b/>
          <w:bCs/>
          <w:sz w:val="24"/>
          <w:szCs w:val="18"/>
          <w:lang w:eastAsia="zh-CN"/>
        </w:rPr>
        <w:t>通州区森林防火区明细表</w:t>
      </w:r>
    </w:p>
    <w:tbl>
      <w:tblPr>
        <w:tblStyle w:val="28"/>
        <w:tblW w:w="4997" w:type="pct"/>
        <w:tblInd w:w="0" w:type="dxa"/>
        <w:tblLayout w:type="autofit"/>
        <w:tblCellMar>
          <w:top w:w="28" w:type="dxa"/>
          <w:left w:w="108" w:type="dxa"/>
          <w:bottom w:w="28" w:type="dxa"/>
          <w:right w:w="108" w:type="dxa"/>
        </w:tblCellMar>
      </w:tblPr>
      <w:tblGrid>
        <w:gridCol w:w="2028"/>
        <w:gridCol w:w="1748"/>
        <w:gridCol w:w="1324"/>
        <w:gridCol w:w="3955"/>
      </w:tblGrid>
      <w:tr>
        <w:tblPrEx>
          <w:tblCellMar>
            <w:top w:w="28" w:type="dxa"/>
            <w:left w:w="108" w:type="dxa"/>
            <w:bottom w:w="28" w:type="dxa"/>
            <w:right w:w="108" w:type="dxa"/>
          </w:tblCellMar>
        </w:tblPrEx>
        <w:trPr>
          <w:trHeight w:val="300" w:hRule="atLeast"/>
          <w:tblHeader/>
        </w:trPr>
        <w:tc>
          <w:tcPr>
            <w:tcW w:w="1120"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kinsoku/>
              <w:autoSpaceDE/>
              <w:autoSpaceDN/>
              <w:spacing w:before="0" w:after="0" w:line="240" w:lineRule="auto"/>
              <w:ind w:firstLine="0" w:firstLineChars="0"/>
              <w:jc w:val="center"/>
              <w:textAlignment w:val="center"/>
              <w:rPr>
                <w:rFonts w:eastAsia="仿宋_GB2312" w:cs="仿宋"/>
                <w:b/>
                <w:sz w:val="24"/>
                <w:szCs w:val="24"/>
                <w:lang w:eastAsia="zh-CN" w:bidi="ar"/>
              </w:rPr>
            </w:pPr>
            <w:r>
              <w:rPr>
                <w:rFonts w:hint="eastAsia" w:eastAsia="仿宋_GB2312" w:cs="仿宋"/>
                <w:b/>
                <w:sz w:val="24"/>
                <w:szCs w:val="24"/>
                <w:lang w:eastAsia="zh-CN" w:bidi="ar"/>
              </w:rPr>
              <w:t>划分级别</w:t>
            </w:r>
          </w:p>
        </w:tc>
        <w:tc>
          <w:tcPr>
            <w:tcW w:w="965" w:type="pct"/>
            <w:tcBorders>
              <w:top w:val="single" w:color="000000" w:sz="8" w:space="0"/>
              <w:left w:val="nil"/>
              <w:bottom w:val="single" w:color="000000" w:sz="8" w:space="0"/>
              <w:right w:val="single" w:color="000000" w:sz="8" w:space="0"/>
            </w:tcBorders>
            <w:shd w:val="clear" w:color="auto" w:fill="FFFFFF" w:themeFill="background1"/>
            <w:vAlign w:val="center"/>
          </w:tcPr>
          <w:p>
            <w:pPr>
              <w:kinsoku/>
              <w:autoSpaceDE/>
              <w:autoSpaceDN/>
              <w:spacing w:before="0" w:after="0" w:line="240" w:lineRule="auto"/>
              <w:ind w:firstLine="0" w:firstLineChars="0"/>
              <w:jc w:val="center"/>
              <w:textAlignment w:val="center"/>
              <w:rPr>
                <w:rFonts w:eastAsia="仿宋_GB2312" w:cs="仿宋"/>
                <w:b/>
                <w:sz w:val="24"/>
                <w:szCs w:val="24"/>
                <w:lang w:eastAsia="zh-CN" w:bidi="ar"/>
              </w:rPr>
            </w:pPr>
            <w:r>
              <w:rPr>
                <w:rFonts w:hint="eastAsia" w:eastAsia="仿宋_GB2312" w:cs="仿宋"/>
                <w:b/>
                <w:sz w:val="24"/>
                <w:szCs w:val="24"/>
                <w:lang w:eastAsia="zh-CN" w:bidi="ar"/>
              </w:rPr>
              <w:t>面积（公顷）</w:t>
            </w:r>
          </w:p>
        </w:tc>
        <w:tc>
          <w:tcPr>
            <w:tcW w:w="731" w:type="pct"/>
            <w:tcBorders>
              <w:top w:val="single" w:color="000000" w:sz="8" w:space="0"/>
              <w:left w:val="nil"/>
              <w:bottom w:val="single" w:color="000000" w:sz="8" w:space="0"/>
              <w:right w:val="single" w:color="000000" w:sz="8" w:space="0"/>
            </w:tcBorders>
            <w:shd w:val="clear" w:color="auto" w:fill="FFFFFF" w:themeFill="background1"/>
            <w:vAlign w:val="center"/>
          </w:tcPr>
          <w:p>
            <w:pPr>
              <w:kinsoku/>
              <w:autoSpaceDE/>
              <w:autoSpaceDN/>
              <w:spacing w:before="0" w:after="0" w:line="240" w:lineRule="auto"/>
              <w:ind w:firstLine="0" w:firstLineChars="0"/>
              <w:jc w:val="center"/>
              <w:textAlignment w:val="center"/>
              <w:rPr>
                <w:rFonts w:eastAsia="仿宋_GB2312" w:cs="仿宋"/>
                <w:b/>
                <w:sz w:val="24"/>
                <w:szCs w:val="24"/>
                <w:lang w:eastAsia="zh-CN" w:bidi="ar"/>
              </w:rPr>
            </w:pPr>
            <w:r>
              <w:rPr>
                <w:rFonts w:hint="eastAsia" w:eastAsia="仿宋_GB2312" w:cs="仿宋"/>
                <w:b/>
                <w:sz w:val="24"/>
                <w:szCs w:val="24"/>
                <w:lang w:eastAsia="zh-CN" w:bidi="ar"/>
              </w:rPr>
              <w:t>比例（</w:t>
            </w:r>
            <w:r>
              <w:rPr>
                <w:rFonts w:eastAsia="仿宋_GB2312" w:cs="仿宋"/>
                <w:b/>
                <w:sz w:val="24"/>
                <w:szCs w:val="24"/>
                <w:lang w:eastAsia="zh-CN" w:bidi="ar"/>
              </w:rPr>
              <w:t>%</w:t>
            </w:r>
            <w:r>
              <w:rPr>
                <w:rFonts w:hint="eastAsia" w:eastAsia="仿宋_GB2312" w:cs="仿宋"/>
                <w:b/>
                <w:sz w:val="24"/>
                <w:szCs w:val="24"/>
                <w:lang w:eastAsia="zh-CN" w:bidi="ar"/>
              </w:rPr>
              <w:t>）</w:t>
            </w:r>
          </w:p>
        </w:tc>
        <w:tc>
          <w:tcPr>
            <w:tcW w:w="2184" w:type="pct"/>
            <w:tcBorders>
              <w:top w:val="single" w:color="000000" w:sz="8" w:space="0"/>
              <w:left w:val="nil"/>
              <w:bottom w:val="single" w:color="000000" w:sz="8" w:space="0"/>
              <w:right w:val="single" w:color="000000" w:sz="8" w:space="0"/>
            </w:tcBorders>
            <w:shd w:val="clear" w:color="auto" w:fill="FFFFFF" w:themeFill="background1"/>
            <w:vAlign w:val="center"/>
          </w:tcPr>
          <w:p>
            <w:pPr>
              <w:kinsoku/>
              <w:autoSpaceDE/>
              <w:autoSpaceDN/>
              <w:spacing w:before="0" w:after="0" w:line="240" w:lineRule="auto"/>
              <w:ind w:firstLine="0" w:firstLineChars="0"/>
              <w:jc w:val="center"/>
              <w:textAlignment w:val="center"/>
              <w:rPr>
                <w:rFonts w:eastAsia="仿宋_GB2312" w:cs="仿宋"/>
                <w:b/>
                <w:sz w:val="24"/>
                <w:szCs w:val="24"/>
                <w:lang w:eastAsia="zh-CN" w:bidi="ar"/>
              </w:rPr>
            </w:pPr>
            <w:r>
              <w:rPr>
                <w:rFonts w:hint="eastAsia" w:eastAsia="仿宋_GB2312" w:cs="仿宋"/>
                <w:b/>
                <w:sz w:val="24"/>
                <w:szCs w:val="24"/>
                <w:lang w:eastAsia="zh-CN" w:bidi="ar"/>
              </w:rPr>
              <w:t>备注</w:t>
            </w:r>
          </w:p>
        </w:tc>
      </w:tr>
      <w:tr>
        <w:tblPrEx>
          <w:tblCellMar>
            <w:top w:w="28" w:type="dxa"/>
            <w:left w:w="108" w:type="dxa"/>
            <w:bottom w:w="28" w:type="dxa"/>
            <w:right w:w="108" w:type="dxa"/>
          </w:tblCellMar>
        </w:tblPrEx>
        <w:trPr>
          <w:trHeight w:val="615" w:hRule="atLeast"/>
        </w:trPr>
        <w:tc>
          <w:tcPr>
            <w:tcW w:w="1120" w:type="pc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center"/>
              <w:rPr>
                <w:rFonts w:eastAsia="仿宋_GB2312" w:cs="仿宋"/>
                <w:b/>
                <w:sz w:val="24"/>
                <w:szCs w:val="18"/>
                <w:lang w:eastAsia="zh-CN" w:bidi="ar"/>
              </w:rPr>
            </w:pPr>
            <w:r>
              <w:rPr>
                <w:rFonts w:hint="eastAsia"/>
                <w:sz w:val="24"/>
                <w:szCs w:val="18"/>
              </w:rPr>
              <w:t>二级防火区</w:t>
            </w:r>
          </w:p>
        </w:tc>
        <w:tc>
          <w:tcPr>
            <w:tcW w:w="96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center"/>
              <w:rPr>
                <w:rFonts w:eastAsia="仿宋_GB2312" w:cs="仿宋"/>
                <w:b/>
                <w:sz w:val="24"/>
                <w:szCs w:val="18"/>
                <w:lang w:eastAsia="zh-CN" w:bidi="ar"/>
              </w:rPr>
            </w:pPr>
            <w:r>
              <w:rPr>
                <w:sz w:val="24"/>
                <w:szCs w:val="18"/>
              </w:rPr>
              <w:t>27718.00</w:t>
            </w:r>
          </w:p>
        </w:tc>
        <w:tc>
          <w:tcPr>
            <w:tcW w:w="731"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center"/>
              <w:rPr>
                <w:rFonts w:eastAsia="仿宋_GB2312" w:cs="仿宋"/>
                <w:b/>
                <w:sz w:val="24"/>
                <w:szCs w:val="18"/>
                <w:lang w:eastAsia="zh-CN" w:bidi="ar"/>
              </w:rPr>
            </w:pPr>
            <w:r>
              <w:rPr>
                <w:sz w:val="24"/>
                <w:szCs w:val="18"/>
              </w:rPr>
              <w:t>90.10</w:t>
            </w:r>
          </w:p>
        </w:tc>
        <w:tc>
          <w:tcPr>
            <w:tcW w:w="2184"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center"/>
              <w:rPr>
                <w:rFonts w:eastAsia="仿宋_GB2312" w:cs="仿宋"/>
                <w:b/>
                <w:sz w:val="24"/>
                <w:szCs w:val="18"/>
                <w:lang w:eastAsia="zh-CN" w:bidi="ar"/>
              </w:rPr>
            </w:pPr>
            <w:r>
              <w:rPr>
                <w:rFonts w:hint="eastAsia"/>
                <w:sz w:val="24"/>
                <w:szCs w:val="18"/>
                <w:lang w:eastAsia="zh-CN"/>
              </w:rPr>
              <w:t>主要分布在永乐店镇、宋庄镇、漷县镇、西集镇、张家湾镇等</w:t>
            </w:r>
            <w:r>
              <w:rPr>
                <w:sz w:val="24"/>
                <w:szCs w:val="18"/>
                <w:lang w:eastAsia="zh-CN"/>
              </w:rPr>
              <w:t>16</w:t>
            </w:r>
            <w:r>
              <w:rPr>
                <w:rFonts w:hint="eastAsia"/>
                <w:sz w:val="24"/>
                <w:szCs w:val="18"/>
                <w:lang w:eastAsia="zh-CN"/>
              </w:rPr>
              <w:t>个乡镇（街道）。</w:t>
            </w:r>
          </w:p>
        </w:tc>
      </w:tr>
      <w:tr>
        <w:tblPrEx>
          <w:tblCellMar>
            <w:top w:w="28" w:type="dxa"/>
            <w:left w:w="108" w:type="dxa"/>
            <w:bottom w:w="28" w:type="dxa"/>
            <w:right w:w="108" w:type="dxa"/>
          </w:tblCellMar>
        </w:tblPrEx>
        <w:trPr>
          <w:trHeight w:val="615" w:hRule="atLeast"/>
        </w:trPr>
        <w:tc>
          <w:tcPr>
            <w:tcW w:w="1120" w:type="pc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center"/>
              <w:rPr>
                <w:rFonts w:eastAsia="仿宋_GB2312" w:cs="仿宋"/>
                <w:b/>
                <w:sz w:val="24"/>
                <w:szCs w:val="18"/>
                <w:lang w:eastAsia="zh-CN" w:bidi="ar"/>
              </w:rPr>
            </w:pPr>
            <w:r>
              <w:rPr>
                <w:rFonts w:hint="eastAsia"/>
                <w:sz w:val="24"/>
                <w:szCs w:val="18"/>
              </w:rPr>
              <w:t>三级防火区</w:t>
            </w:r>
          </w:p>
        </w:tc>
        <w:tc>
          <w:tcPr>
            <w:tcW w:w="96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center"/>
              <w:rPr>
                <w:rFonts w:eastAsia="仿宋_GB2312" w:cs="仿宋"/>
                <w:b/>
                <w:sz w:val="24"/>
                <w:szCs w:val="18"/>
                <w:lang w:eastAsia="zh-CN" w:bidi="ar"/>
              </w:rPr>
            </w:pPr>
            <w:r>
              <w:rPr>
                <w:sz w:val="24"/>
                <w:szCs w:val="18"/>
              </w:rPr>
              <w:t>3045.95</w:t>
            </w:r>
          </w:p>
        </w:tc>
        <w:tc>
          <w:tcPr>
            <w:tcW w:w="731"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center"/>
              <w:rPr>
                <w:rFonts w:eastAsia="仿宋_GB2312" w:cs="仿宋"/>
                <w:b/>
                <w:sz w:val="24"/>
                <w:szCs w:val="18"/>
                <w:lang w:eastAsia="zh-CN" w:bidi="ar"/>
              </w:rPr>
            </w:pPr>
            <w:r>
              <w:rPr>
                <w:sz w:val="24"/>
                <w:szCs w:val="18"/>
              </w:rPr>
              <w:t>9.90</w:t>
            </w:r>
          </w:p>
        </w:tc>
        <w:tc>
          <w:tcPr>
            <w:tcW w:w="2184"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center"/>
              <w:rPr>
                <w:rFonts w:eastAsia="仿宋_GB2312" w:cs="仿宋"/>
                <w:b/>
                <w:sz w:val="24"/>
                <w:szCs w:val="18"/>
                <w:lang w:eastAsia="zh-CN" w:bidi="ar"/>
              </w:rPr>
            </w:pPr>
            <w:r>
              <w:rPr>
                <w:rFonts w:hint="eastAsia"/>
                <w:sz w:val="24"/>
                <w:szCs w:val="18"/>
                <w:lang w:eastAsia="zh-CN"/>
              </w:rPr>
              <w:t>主要分布在宋庄镇、马驹桥镇、永乐店镇、张家湾镇、台湖镇等</w:t>
            </w:r>
            <w:r>
              <w:rPr>
                <w:sz w:val="24"/>
                <w:szCs w:val="18"/>
                <w:lang w:eastAsia="zh-CN"/>
              </w:rPr>
              <w:t>22</w:t>
            </w:r>
            <w:r>
              <w:rPr>
                <w:rFonts w:hint="eastAsia"/>
                <w:sz w:val="24"/>
                <w:szCs w:val="18"/>
                <w:lang w:eastAsia="zh-CN"/>
              </w:rPr>
              <w:t>个乡镇（街道）。</w:t>
            </w:r>
          </w:p>
        </w:tc>
      </w:tr>
    </w:tbl>
    <w:p>
      <w:pPr>
        <w:pStyle w:val="5"/>
        <w:ind w:firstLine="643"/>
      </w:pPr>
      <w:bookmarkStart w:id="107" w:name="_Toc209952539"/>
      <w:bookmarkStart w:id="108" w:name="_Toc213072516"/>
      <w:r>
        <w:rPr>
          <w:rFonts w:hint="eastAsia"/>
        </w:rPr>
        <w:t>（二）治理</w:t>
      </w:r>
      <w:bookmarkEnd w:id="107"/>
      <w:r>
        <w:rPr>
          <w:rFonts w:hint="eastAsia"/>
        </w:rPr>
        <w:t>措施</w:t>
      </w:r>
      <w:bookmarkEnd w:id="108"/>
    </w:p>
    <w:p>
      <w:pPr>
        <w:ind w:firstLine="640"/>
        <w:rPr>
          <w:lang w:eastAsia="zh-CN"/>
        </w:rPr>
      </w:pPr>
      <w:r>
        <w:rPr>
          <w:rFonts w:hint="eastAsia"/>
          <w:lang w:eastAsia="zh-CN"/>
        </w:rPr>
        <w:t>为进一步明确森林防火建设重点，通州区在综合研判森林火险等级、森林资源分布、火灾发生概率、生态功能重要性以及林地集中连片程度等关键因子的基础上，结合现有森林防火建设分区，实施精准化、系统化的综合治理。</w:t>
      </w:r>
    </w:p>
    <w:p>
      <w:pPr>
        <w:ind w:firstLine="640"/>
        <w:rPr>
          <w:lang w:eastAsia="zh-CN"/>
        </w:rPr>
      </w:pPr>
      <w:r>
        <w:rPr>
          <w:rFonts w:hint="eastAsia"/>
          <w:lang w:eastAsia="zh-CN"/>
        </w:rPr>
        <w:t>主要治理措施如下：</w:t>
      </w:r>
    </w:p>
    <w:p>
      <w:pPr>
        <w:ind w:firstLine="640"/>
        <w:rPr>
          <w:lang w:eastAsia="zh-CN"/>
        </w:rPr>
      </w:pPr>
      <w:r>
        <w:rPr>
          <w:rFonts w:hint="eastAsia"/>
          <w:lang w:eastAsia="zh-CN"/>
        </w:rPr>
        <w:t>一是强化森林防火预警监测体系建设，合理加密林火预警监测点位布局，统筹推进林火远程视频监控系统、通信网络系统和应急指挥平台建设；根据实际需求，科学布设森林火险预警监测站，并配备必要的观测与通信联络设备，全面提升火情早期发现与快速响应能力。</w:t>
      </w:r>
    </w:p>
    <w:p>
      <w:pPr>
        <w:ind w:firstLine="640"/>
        <w:rPr>
          <w:color w:val="auto"/>
          <w:lang w:eastAsia="zh-CN"/>
        </w:rPr>
      </w:pPr>
      <w:r>
        <w:rPr>
          <w:rFonts w:hint="eastAsia"/>
          <w:color w:val="auto"/>
          <w:lang w:eastAsia="zh-CN"/>
        </w:rPr>
        <w:t>二是加强森林消防专业队伍能力建设，系统配备风力灭火机、灭火水枪、森林消防水泵等常规扑火装备，以及森林消防车、水罐车、运兵车和后勤保障车辆等大型装备；同步推进队伍营房、训练场地和培训基地等基础设施建设，夯实专业化扑救力量基础。</w:t>
      </w:r>
    </w:p>
    <w:p>
      <w:pPr>
        <w:ind w:firstLine="640"/>
        <w:rPr>
          <w:color w:val="auto"/>
          <w:lang w:eastAsia="zh-CN"/>
        </w:rPr>
      </w:pPr>
      <w:r>
        <w:rPr>
          <w:rFonts w:hint="eastAsia"/>
          <w:color w:val="auto"/>
          <w:lang w:eastAsia="zh-CN"/>
        </w:rPr>
        <w:t>三是健全森林防火队伍体系，完善巡查管理制度，推行网格化、精细化管理机制，为一线巡查队员配备专用车辆、专用防护服装、望远镜及移动巡护终端等必要装备，切实提升日常巡查与火源管控效能。</w:t>
      </w:r>
    </w:p>
    <w:p>
      <w:pPr>
        <w:ind w:firstLine="640"/>
        <w:rPr>
          <w:color w:val="auto"/>
          <w:lang w:eastAsia="zh-CN"/>
        </w:rPr>
      </w:pPr>
      <w:r>
        <w:rPr>
          <w:rFonts w:hint="eastAsia"/>
          <w:color w:val="auto"/>
          <w:lang w:eastAsia="zh-CN"/>
        </w:rPr>
        <w:t>四是完善森林防火物资储备体系，合理布局物资储备库，足额储备扑火机具、防护装备、应急通信等关键物资，构建覆盖全面、调配高效、保障有力的森林防火应急物资支撑网络。</w:t>
      </w:r>
    </w:p>
    <w:p>
      <w:pPr>
        <w:ind w:firstLine="640"/>
        <w:rPr>
          <w:color w:val="auto"/>
          <w:lang w:eastAsia="zh-CN"/>
        </w:rPr>
      </w:pPr>
      <w:r>
        <w:rPr>
          <w:rFonts w:hint="eastAsia"/>
          <w:color w:val="auto"/>
          <w:lang w:eastAsia="zh-CN"/>
        </w:rPr>
        <w:t>五是聚焦自然保护区、旅游景区和国有林场等重点区域，统筹推进防火宣传教育设施建设与常态化巡护体系完善，通过设置宣传标识、开展公众教育、优化巡护路线等方式，增强社会防火意识，筑牢重点区域火灾防控屏障。</w:t>
      </w:r>
    </w:p>
    <w:p>
      <w:pPr>
        <w:kinsoku/>
        <w:autoSpaceDE/>
        <w:autoSpaceDN/>
        <w:adjustRightInd/>
        <w:snapToGrid/>
        <w:spacing w:before="0" w:after="0" w:line="240" w:lineRule="auto"/>
        <w:ind w:firstLine="0" w:firstLineChars="0"/>
        <w:jc w:val="left"/>
        <w:textAlignment w:val="auto"/>
        <w:rPr>
          <w:color w:val="auto"/>
          <w:lang w:eastAsia="zh-CN"/>
        </w:rPr>
      </w:pPr>
      <w:r>
        <w:rPr>
          <w:color w:val="auto"/>
          <w:lang w:eastAsia="zh-CN"/>
        </w:rPr>
        <w:br w:type="page"/>
      </w:r>
    </w:p>
    <w:p>
      <w:pPr>
        <w:pStyle w:val="2"/>
        <w:rPr>
          <w:rFonts w:hint="eastAsia"/>
        </w:rPr>
      </w:pPr>
      <w:bookmarkStart w:id="109" w:name="_Toc209952540"/>
      <w:bookmarkStart w:id="110" w:name="_Toc213072517"/>
      <w:r>
        <w:rPr>
          <w:rFonts w:hint="eastAsia"/>
        </w:rPr>
        <w:t>第五章</w:t>
      </w:r>
      <w:r>
        <w:t xml:space="preserve"> </w:t>
      </w:r>
      <w:r>
        <w:rPr>
          <w:rFonts w:hint="eastAsia"/>
        </w:rPr>
        <w:t>重点任务与实施计划</w:t>
      </w:r>
      <w:bookmarkEnd w:id="109"/>
      <w:bookmarkEnd w:id="110"/>
    </w:p>
    <w:p>
      <w:pPr>
        <w:ind w:firstLine="640"/>
        <w:rPr>
          <w:lang w:eastAsia="zh-CN"/>
        </w:rPr>
      </w:pPr>
      <w:bookmarkStart w:id="111" w:name="_Toc209952541"/>
      <w:r>
        <w:rPr>
          <w:rFonts w:hint="eastAsia"/>
          <w:lang w:eastAsia="zh-CN"/>
        </w:rPr>
        <w:t>森林防火规划重点是加强森林火灾预防、早期处置、保障三大体系建设。本次规划结合通州区森林资源分布现状、森林防火建设情况和资金投资概况，明确通州区在规划期内重点建设任务，保障规划期内重点项目的落实。</w:t>
      </w:r>
    </w:p>
    <w:p>
      <w:pPr>
        <w:pStyle w:val="3"/>
        <w:numPr>
          <w:ilvl w:val="0"/>
          <w:numId w:val="2"/>
        </w:numPr>
      </w:pPr>
      <w:bookmarkStart w:id="112" w:name="_Toc213072518"/>
      <w:r>
        <w:rPr>
          <w:rFonts w:hint="eastAsia"/>
        </w:rPr>
        <w:t>预防体系建设</w:t>
      </w:r>
      <w:bookmarkEnd w:id="111"/>
      <w:bookmarkEnd w:id="112"/>
    </w:p>
    <w:p>
      <w:pPr>
        <w:pStyle w:val="5"/>
        <w:ind w:firstLine="643"/>
      </w:pPr>
      <w:bookmarkStart w:id="113" w:name="_Toc213072519"/>
      <w:bookmarkStart w:id="114" w:name="_Toc209952543"/>
      <w:r>
        <w:rPr>
          <w:rFonts w:hint="eastAsia"/>
        </w:rPr>
        <w:t>（一）森林防火预警监测系统建设</w:t>
      </w:r>
      <w:bookmarkEnd w:id="113"/>
    </w:p>
    <w:p>
      <w:pPr>
        <w:pStyle w:val="6"/>
        <w:ind w:firstLineChars="0"/>
      </w:pPr>
      <w:r>
        <w:t>1.</w:t>
      </w:r>
      <w:r>
        <w:rPr>
          <w:rFonts w:hint="eastAsia"/>
        </w:rPr>
        <w:t>森林火险预测预报系统</w:t>
      </w:r>
    </w:p>
    <w:p>
      <w:pPr>
        <w:autoSpaceDE/>
        <w:autoSpaceDN/>
        <w:ind w:firstLine="640"/>
        <w:rPr>
          <w:lang w:eastAsia="zh-CN"/>
        </w:rPr>
      </w:pPr>
      <w:bookmarkStart w:id="115" w:name="OLE_LINK6"/>
      <w:r>
        <w:rPr>
          <w:rFonts w:hint="eastAsia"/>
          <w:lang w:eastAsia="zh-CN"/>
        </w:rPr>
        <w:t>在通州区现有森林火险预警系统建设的基础上，统一开发融合气象、可燃物、地形及人为活动等多源信息的智能预警模型，建设全区森林火险综合预警平台，实现火险等级动态评估与红、橙、黄、蓝四级精准预警。新建森林火险综合监测站</w:t>
      </w:r>
      <w:r>
        <w:rPr>
          <w:lang w:eastAsia="zh-CN"/>
        </w:rPr>
        <w:t>5</w:t>
      </w:r>
      <w:r>
        <w:rPr>
          <w:rFonts w:hint="eastAsia"/>
          <w:lang w:eastAsia="zh-CN"/>
        </w:rPr>
        <w:t>个，深化与气象部门数据共享与业务协同，完善预警发布、响应联动和闭环管理机制，全面提升“早发现、早预警、早处置”能力，支撑森林防火由被动应对向主动防控转型。</w:t>
      </w:r>
      <w:bookmarkEnd w:id="115"/>
    </w:p>
    <w:p>
      <w:pPr>
        <w:autoSpaceDE/>
        <w:autoSpaceDN/>
        <w:ind w:firstLine="640"/>
        <w:rPr>
          <w:lang w:eastAsia="zh-CN"/>
        </w:rPr>
      </w:pPr>
      <w:r>
        <w:rPr>
          <w:rFonts w:hint="eastAsia"/>
          <w:lang w:eastAsia="zh-CN"/>
        </w:rPr>
        <w:t>目标：到2</w:t>
      </w:r>
      <w:r>
        <w:rPr>
          <w:lang w:eastAsia="zh-CN"/>
        </w:rPr>
        <w:t>030</w:t>
      </w:r>
      <w:r>
        <w:rPr>
          <w:rFonts w:hint="eastAsia"/>
          <w:lang w:eastAsia="zh-CN"/>
        </w:rPr>
        <w:t>年建成覆盖全面的火灾预警体系，到2</w:t>
      </w:r>
      <w:r>
        <w:rPr>
          <w:lang w:eastAsia="zh-CN"/>
        </w:rPr>
        <w:t>035</w:t>
      </w:r>
      <w:r>
        <w:rPr>
          <w:rFonts w:hint="eastAsia"/>
          <w:lang w:eastAsia="zh-CN"/>
        </w:rPr>
        <w:t>年，火灾预警体系更加精准，为森林防火预警提供精确提升。</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widowControl w:val="0"/>
              <w:ind w:firstLine="0" w:firstLineChars="0"/>
              <w:jc w:val="center"/>
              <w:rPr>
                <w:b/>
                <w:bCs/>
                <w:lang w:eastAsia="zh-CN"/>
              </w:rPr>
            </w:pPr>
            <w:r>
              <w:rPr>
                <w:rFonts w:hint="eastAsia"/>
                <w:b/>
                <w:bCs/>
                <w:lang w:eastAsia="zh-CN"/>
              </w:rPr>
              <w:t>专栏</w:t>
            </w:r>
            <w:r>
              <w:rPr>
                <w:b/>
                <w:bCs/>
                <w:lang w:eastAsia="zh-CN"/>
              </w:rPr>
              <w:t xml:space="preserve">2  </w:t>
            </w:r>
            <w:r>
              <w:rPr>
                <w:rFonts w:hint="eastAsia"/>
                <w:b/>
                <w:szCs w:val="22"/>
                <w:lang w:eastAsia="zh-CN"/>
              </w:rPr>
              <w:t>森林火险预测预报</w:t>
            </w:r>
            <w:r>
              <w:rPr>
                <w:rFonts w:hint="eastAsia"/>
                <w:b/>
                <w:bCs/>
                <w:lang w:eastAsia="zh-CN"/>
              </w:rPr>
              <w:t>系统重点项目</w:t>
            </w:r>
          </w:p>
          <w:p>
            <w:pPr>
              <w:widowControl w:val="0"/>
              <w:ind w:firstLine="562"/>
              <w:rPr>
                <w:sz w:val="28"/>
                <w:szCs w:val="20"/>
                <w:lang w:eastAsia="zh-CN"/>
              </w:rPr>
            </w:pPr>
            <w:r>
              <w:rPr>
                <w:b/>
                <w:bCs/>
                <w:sz w:val="28"/>
                <w:szCs w:val="20"/>
                <w:lang w:eastAsia="zh-CN"/>
              </w:rPr>
              <w:t>1.</w:t>
            </w:r>
            <w:r>
              <w:rPr>
                <w:rFonts w:hint="eastAsia"/>
                <w:b/>
                <w:bCs/>
                <w:sz w:val="28"/>
                <w:szCs w:val="20"/>
                <w:lang w:eastAsia="zh-CN"/>
              </w:rPr>
              <w:t>森林火险预测预报系统建设工程。</w:t>
            </w:r>
            <w:r>
              <w:rPr>
                <w:rFonts w:hint="eastAsia"/>
                <w:sz w:val="28"/>
                <w:szCs w:val="20"/>
                <w:lang w:eastAsia="zh-CN"/>
              </w:rPr>
              <w:t>建设全区统一的森林火险综合预警平台，融合气象、可燃物、地形及人为活动等多源数据，实现火险等级动态评估与红、橙、黄、蓝四级精准预警。升级改造现有监测站，新建综合监测站</w:t>
            </w:r>
            <w:r>
              <w:rPr>
                <w:sz w:val="28"/>
                <w:szCs w:val="20"/>
                <w:lang w:eastAsia="zh-CN"/>
              </w:rPr>
              <w:t>5</w:t>
            </w:r>
            <w:r>
              <w:rPr>
                <w:rFonts w:hint="eastAsia"/>
                <w:sz w:val="28"/>
                <w:szCs w:val="20"/>
                <w:lang w:eastAsia="zh-CN"/>
              </w:rPr>
              <w:t>个。</w:t>
            </w:r>
          </w:p>
        </w:tc>
      </w:tr>
    </w:tbl>
    <w:p>
      <w:pPr>
        <w:pStyle w:val="6"/>
        <w:ind w:firstLine="643"/>
      </w:pPr>
      <w:r>
        <w:t>2.</w:t>
      </w:r>
      <w:r>
        <w:rPr>
          <w:rFonts w:hint="eastAsia"/>
        </w:rPr>
        <w:t>林火视频监测系统</w:t>
      </w:r>
    </w:p>
    <w:p>
      <w:pPr>
        <w:ind w:firstLine="640"/>
        <w:rPr>
          <w:lang w:eastAsia="zh-CN"/>
        </w:rPr>
      </w:pPr>
      <w:bookmarkStart w:id="116" w:name="OLE_LINK9"/>
      <w:r>
        <w:rPr>
          <w:rFonts w:hint="eastAsia"/>
          <w:lang w:eastAsia="zh-CN"/>
        </w:rPr>
        <w:t>针对当前高点视频监控设备老化、识别错误等现状，在规划期间，结合日常巡查工作，定期对</w:t>
      </w:r>
      <w:r>
        <w:rPr>
          <w:lang w:eastAsia="zh-CN"/>
        </w:rPr>
        <w:t>30</w:t>
      </w:r>
      <w:r>
        <w:rPr>
          <w:rFonts w:hint="eastAsia"/>
          <w:lang w:eastAsia="zh-CN"/>
        </w:rPr>
        <w:t>处监控设备运行环境进行检查，确保无遮挡、异常等情况，每年开展一次全面检查与设备维护；重点改造提升</w:t>
      </w:r>
      <w:r>
        <w:rPr>
          <w:lang w:eastAsia="zh-CN"/>
        </w:rPr>
        <w:t>30</w:t>
      </w:r>
      <w:r>
        <w:rPr>
          <w:rFonts w:hint="eastAsia"/>
          <w:lang w:eastAsia="zh-CN"/>
        </w:rPr>
        <w:t>套原有摄像机，升级为双光谱云台摄像机，切实提升林火预警监测能力，保障森林防火工作高效有序开展。</w:t>
      </w:r>
      <w:bookmarkEnd w:id="116"/>
    </w:p>
    <w:p>
      <w:pPr>
        <w:ind w:firstLine="640"/>
        <w:rPr>
          <w:lang w:eastAsia="zh-CN"/>
        </w:rPr>
      </w:pPr>
      <w:r>
        <w:rPr>
          <w:rFonts w:hint="eastAsia"/>
          <w:lang w:eastAsia="zh-CN"/>
        </w:rPr>
        <w:t>规划期内，结合通州区现有基础条件，聚焦现有监测盲区，科学布局林火预警监测设施。选择地势较高、视野开阔、遮挡物少、瞭望范围广的适宜点位，新建林火智能预警监测系统</w:t>
      </w:r>
      <w:r>
        <w:rPr>
          <w:lang w:eastAsia="zh-CN"/>
        </w:rPr>
        <w:t>15</w:t>
      </w:r>
      <w:r>
        <w:rPr>
          <w:rFonts w:hint="eastAsia"/>
          <w:lang w:eastAsia="zh-CN"/>
        </w:rPr>
        <w:t>套，切实提升火情早期识别与预警能力，进一步织密、织牢林火智能监测网络，全面增强区域森林火灾综合防控水平。到2</w:t>
      </w:r>
      <w:r>
        <w:rPr>
          <w:lang w:eastAsia="zh-CN"/>
        </w:rPr>
        <w:t>030</w:t>
      </w:r>
      <w:r>
        <w:rPr>
          <w:rFonts w:hint="eastAsia"/>
          <w:lang w:eastAsia="zh-CN"/>
        </w:rPr>
        <w:t>年，全域实现高点视频监控全覆盖，林火预警能力全面提升。</w:t>
      </w:r>
    </w:p>
    <w:p>
      <w:pPr>
        <w:keepNext/>
        <w:kinsoku/>
        <w:autoSpaceDE/>
        <w:autoSpaceDN/>
        <w:adjustRightInd/>
        <w:snapToGrid/>
        <w:spacing w:before="0" w:after="0" w:line="240" w:lineRule="auto"/>
        <w:ind w:firstLine="0" w:firstLineChars="0"/>
        <w:jc w:val="center"/>
        <w:textAlignment w:val="auto"/>
        <w:rPr>
          <w:rFonts w:eastAsia="黑体" w:cs="微软雅黑"/>
          <w:sz w:val="24"/>
          <w:szCs w:val="24"/>
          <w:lang w:eastAsia="zh-CN"/>
        </w:rPr>
      </w:pPr>
      <w:r>
        <w:rPr>
          <w:rFonts w:hint="eastAsia" w:eastAsia="黑体" w:cs="微软雅黑"/>
          <w:b/>
          <w:bCs/>
          <w:spacing w:val="4"/>
          <w:sz w:val="24"/>
          <w:szCs w:val="24"/>
          <w:lang w:eastAsia="zh-CN"/>
        </w:rPr>
        <w:t>表</w:t>
      </w:r>
      <w:r>
        <w:rPr>
          <w:rFonts w:eastAsia="黑体"/>
          <w:b/>
          <w:bCs/>
          <w:spacing w:val="4"/>
          <w:sz w:val="24"/>
          <w:szCs w:val="24"/>
          <w:lang w:eastAsia="zh-CN"/>
        </w:rPr>
        <w:t xml:space="preserve"> </w:t>
      </w:r>
      <w:r>
        <w:rPr>
          <w:rFonts w:hint="eastAsia" w:eastAsia="黑体"/>
          <w:b/>
          <w:bCs/>
          <w:spacing w:val="4"/>
          <w:sz w:val="24"/>
          <w:szCs w:val="24"/>
          <w:lang w:eastAsia="zh-CN"/>
        </w:rPr>
        <w:t>林火视频监控</w:t>
      </w:r>
      <w:r>
        <w:rPr>
          <w:rFonts w:hint="eastAsia" w:eastAsia="黑体" w:cs="微软雅黑"/>
          <w:b/>
          <w:bCs/>
          <w:spacing w:val="4"/>
          <w:sz w:val="24"/>
          <w:szCs w:val="24"/>
          <w:lang w:eastAsia="zh-CN"/>
        </w:rPr>
        <w:t>改造提升规划表</w:t>
      </w:r>
    </w:p>
    <w:p>
      <w:pPr>
        <w:spacing w:before="0" w:after="0" w:line="240" w:lineRule="auto"/>
        <w:ind w:firstLine="0" w:firstLineChars="0"/>
        <w:jc w:val="right"/>
        <w:rPr>
          <w:rFonts w:eastAsia="黑体" w:cs="微软雅黑"/>
          <w:sz w:val="24"/>
          <w:szCs w:val="24"/>
        </w:rPr>
      </w:pPr>
      <w:r>
        <w:rPr>
          <w:rFonts w:hint="eastAsia" w:eastAsia="黑体" w:cs="微软雅黑"/>
          <w:b/>
          <w:bCs/>
          <w:sz w:val="24"/>
          <w:szCs w:val="24"/>
        </w:rPr>
        <w:t>单位：处</w:t>
      </w:r>
    </w:p>
    <w:tbl>
      <w:tblPr>
        <w:tblStyle w:val="28"/>
        <w:tblW w:w="5000" w:type="pct"/>
        <w:tblInd w:w="0" w:type="dxa"/>
        <w:tblLayout w:type="autofit"/>
        <w:tblCellMar>
          <w:top w:w="28" w:type="dxa"/>
          <w:left w:w="108" w:type="dxa"/>
          <w:bottom w:w="28" w:type="dxa"/>
          <w:right w:w="108" w:type="dxa"/>
        </w:tblCellMar>
      </w:tblPr>
      <w:tblGrid>
        <w:gridCol w:w="2259"/>
        <w:gridCol w:w="2267"/>
        <w:gridCol w:w="2269"/>
        <w:gridCol w:w="2265"/>
      </w:tblGrid>
      <w:tr>
        <w:tblPrEx>
          <w:tblCellMar>
            <w:top w:w="28" w:type="dxa"/>
            <w:left w:w="108" w:type="dxa"/>
            <w:bottom w:w="28" w:type="dxa"/>
            <w:right w:w="108" w:type="dxa"/>
          </w:tblCellMar>
        </w:tblPrEx>
        <w:trPr>
          <w:trHeight w:val="616" w:hRule="atLeast"/>
          <w:tblHeader/>
        </w:trPr>
        <w:tc>
          <w:tcPr>
            <w:tcW w:w="1247"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b/>
                <w:bCs/>
                <w:snapToGrid/>
                <w:sz w:val="28"/>
                <w:szCs w:val="28"/>
                <w:lang w:eastAsia="zh-CN"/>
              </w:rPr>
            </w:pPr>
            <w:bookmarkStart w:id="117" w:name="OLE_LINK8"/>
            <w:r>
              <w:rPr>
                <w:rFonts w:hint="eastAsia" w:ascii="仿宋_GB2312" w:hAnsi="宋体" w:eastAsia="仿宋_GB2312" w:cs="宋体"/>
                <w:b/>
                <w:bCs/>
                <w:snapToGrid/>
                <w:sz w:val="28"/>
                <w:szCs w:val="28"/>
                <w:lang w:eastAsia="zh-CN"/>
              </w:rPr>
              <w:t>序号</w:t>
            </w:r>
          </w:p>
        </w:tc>
        <w:tc>
          <w:tcPr>
            <w:tcW w:w="1251" w:type="pct"/>
            <w:tcBorders>
              <w:top w:val="single" w:color="000000" w:sz="8" w:space="0"/>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b/>
                <w:bCs/>
                <w:snapToGrid/>
                <w:sz w:val="28"/>
                <w:szCs w:val="28"/>
                <w:lang w:eastAsia="zh-CN"/>
              </w:rPr>
            </w:pPr>
            <w:r>
              <w:rPr>
                <w:rFonts w:hint="eastAsia" w:ascii="仿宋_GB2312" w:hAnsi="宋体" w:eastAsia="仿宋_GB2312" w:cs="宋体"/>
                <w:b/>
                <w:bCs/>
                <w:snapToGrid/>
                <w:sz w:val="28"/>
                <w:szCs w:val="28"/>
                <w:lang w:eastAsia="zh-CN"/>
              </w:rPr>
              <w:t>建设地点</w:t>
            </w:r>
          </w:p>
        </w:tc>
        <w:tc>
          <w:tcPr>
            <w:tcW w:w="1252" w:type="pct"/>
            <w:tcBorders>
              <w:top w:val="single" w:color="000000" w:sz="8" w:space="0"/>
              <w:left w:val="nil"/>
              <w:bottom w:val="single" w:color="000000" w:sz="8" w:space="0"/>
              <w:right w:val="single" w:color="auto"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b/>
                <w:bCs/>
                <w:snapToGrid/>
                <w:sz w:val="28"/>
                <w:szCs w:val="28"/>
                <w:lang w:eastAsia="zh-CN"/>
              </w:rPr>
            </w:pPr>
            <w:r>
              <w:rPr>
                <w:rFonts w:hint="eastAsia" w:ascii="仿宋_GB2312" w:hAnsi="宋体" w:eastAsia="仿宋_GB2312" w:cs="宋体"/>
                <w:b/>
                <w:bCs/>
                <w:snapToGrid/>
                <w:sz w:val="28"/>
                <w:szCs w:val="28"/>
                <w:lang w:eastAsia="zh-CN"/>
              </w:rPr>
              <w:t>建设性质</w:t>
            </w:r>
          </w:p>
        </w:tc>
        <w:tc>
          <w:tcPr>
            <w:tcW w:w="1250" w:type="pct"/>
            <w:tcBorders>
              <w:top w:val="single" w:color="auto" w:sz="8" w:space="0"/>
              <w:left w:val="single" w:color="auto" w:sz="8" w:space="0"/>
              <w:bottom w:val="single" w:color="auto" w:sz="8" w:space="0"/>
              <w:right w:val="single" w:color="auto"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b/>
                <w:bCs/>
                <w:snapToGrid/>
                <w:sz w:val="28"/>
                <w:szCs w:val="28"/>
                <w:lang w:eastAsia="zh-CN"/>
              </w:rPr>
            </w:pPr>
            <w:r>
              <w:rPr>
                <w:rFonts w:hint="eastAsia" w:ascii="仿宋_GB2312" w:hAnsi="宋体" w:eastAsia="仿宋_GB2312" w:cs="宋体"/>
                <w:b/>
                <w:bCs/>
                <w:snapToGrid/>
                <w:sz w:val="28"/>
                <w:szCs w:val="28"/>
                <w:lang w:eastAsia="zh-CN"/>
              </w:rPr>
              <w:t>建设规模</w:t>
            </w:r>
          </w:p>
        </w:tc>
      </w:tr>
      <w:tr>
        <w:tblPrEx>
          <w:tblCellMar>
            <w:top w:w="28" w:type="dxa"/>
            <w:left w:w="108" w:type="dxa"/>
            <w:bottom w:w="28" w:type="dxa"/>
            <w:right w:w="108" w:type="dxa"/>
          </w:tblCellMar>
        </w:tblPrEx>
        <w:trPr>
          <w:trHeight w:val="472"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1</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宋庄镇</w:t>
            </w:r>
          </w:p>
        </w:tc>
        <w:tc>
          <w:tcPr>
            <w:tcW w:w="1252" w:type="pct"/>
            <w:tcBorders>
              <w:top w:val="nil"/>
              <w:left w:val="nil"/>
              <w:bottom w:val="single" w:color="000000" w:sz="8" w:space="0"/>
              <w:right w:val="single" w:color="auto"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single" w:color="auto" w:sz="8" w:space="0"/>
              <w:left w:val="single" w:color="auto" w:sz="8" w:space="0"/>
              <w:bottom w:val="single" w:color="auto" w:sz="8" w:space="0"/>
              <w:right w:val="single" w:color="auto" w:sz="8" w:space="0"/>
            </w:tcBorders>
            <w:vAlign w:val="center"/>
          </w:tcPr>
          <w:p>
            <w:pPr>
              <w:kinsoku/>
              <w:autoSpaceDE/>
              <w:autoSpaceDN/>
              <w:spacing w:before="0" w:after="0" w:line="240" w:lineRule="auto"/>
              <w:ind w:firstLine="0" w:firstLineChars="0"/>
              <w:jc w:val="center"/>
              <w:textAlignment w:val="auto"/>
              <w:rPr>
                <w:rFonts w:ascii="仿宋_GB2312" w:hAnsi="宋体" w:eastAsia="仿宋_GB2312" w:cs="宋体"/>
                <w:b/>
                <w:bCs/>
                <w:snapToGrid/>
                <w:sz w:val="28"/>
                <w:szCs w:val="28"/>
                <w:lang w:eastAsia="zh-CN"/>
              </w:rPr>
            </w:pPr>
            <w:r>
              <w:rPr>
                <w:rFonts w:ascii="仿宋_GB2312" w:hAnsi="宋体" w:eastAsia="仿宋_GB2312" w:cs="宋体"/>
                <w:b/>
                <w:bCs/>
                <w:snapToGrid/>
                <w:sz w:val="28"/>
                <w:szCs w:val="28"/>
                <w:lang w:eastAsia="zh-CN"/>
              </w:rPr>
              <w:t>5</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auto"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single" w:color="auto" w:sz="8" w:space="0"/>
              <w:left w:val="single" w:color="auto" w:sz="8" w:space="0"/>
              <w:bottom w:val="single" w:color="auto" w:sz="8" w:space="0"/>
              <w:right w:val="single" w:color="auto" w:sz="8" w:space="0"/>
            </w:tcBorders>
            <w:vAlign w:val="center"/>
          </w:tcPr>
          <w:p>
            <w:pPr>
              <w:kinsoku/>
              <w:autoSpaceDE/>
              <w:autoSpaceDN/>
              <w:spacing w:before="0" w:after="0" w:line="240" w:lineRule="auto"/>
              <w:ind w:firstLine="0" w:firstLineChars="0"/>
              <w:jc w:val="center"/>
              <w:textAlignment w:val="auto"/>
              <w:rPr>
                <w:rFonts w:ascii="仿宋_GB2312" w:hAnsi="宋体" w:eastAsia="仿宋_GB2312" w:cs="宋体"/>
                <w:b/>
                <w:bCs/>
                <w:snapToGrid/>
                <w:sz w:val="28"/>
                <w:szCs w:val="28"/>
                <w:lang w:eastAsia="zh-CN"/>
              </w:rPr>
            </w:pPr>
            <w:r>
              <w:rPr>
                <w:rFonts w:hint="eastAsia" w:ascii="仿宋_GB2312" w:hAnsi="宋体" w:eastAsia="仿宋_GB2312" w:cs="宋体"/>
                <w:b/>
                <w:bCs/>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2</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潞城镇</w:t>
            </w:r>
          </w:p>
        </w:tc>
        <w:tc>
          <w:tcPr>
            <w:tcW w:w="1252" w:type="pct"/>
            <w:tcBorders>
              <w:top w:val="nil"/>
              <w:left w:val="nil"/>
              <w:bottom w:val="single" w:color="000000" w:sz="8" w:space="0"/>
              <w:right w:val="single" w:color="auto"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single" w:color="auto" w:sz="8" w:space="0"/>
              <w:left w:val="single" w:color="auto" w:sz="8" w:space="0"/>
              <w:bottom w:val="single" w:color="auto" w:sz="8" w:space="0"/>
              <w:right w:val="single" w:color="auto" w:sz="8" w:space="0"/>
            </w:tcBorders>
            <w:vAlign w:val="center"/>
          </w:tcPr>
          <w:p>
            <w:pPr>
              <w:kinsoku/>
              <w:autoSpaceDE/>
              <w:autoSpaceDN/>
              <w:spacing w:before="0" w:after="0" w:line="240" w:lineRule="auto"/>
              <w:ind w:firstLine="0" w:firstLineChars="0"/>
              <w:jc w:val="center"/>
              <w:textAlignment w:val="auto"/>
              <w:rPr>
                <w:rFonts w:ascii="仿宋_GB2312" w:hAnsi="宋体" w:eastAsia="仿宋_GB2312" w:cs="宋体"/>
                <w:b/>
                <w:bCs/>
                <w:snapToGrid/>
                <w:sz w:val="28"/>
                <w:szCs w:val="28"/>
                <w:lang w:eastAsia="zh-CN"/>
              </w:rPr>
            </w:pPr>
            <w:r>
              <w:rPr>
                <w:rFonts w:ascii="仿宋_GB2312" w:hAnsi="宋体" w:eastAsia="仿宋_GB2312" w:cs="宋体"/>
                <w:b/>
                <w:bCs/>
                <w:snapToGrid/>
                <w:sz w:val="28"/>
                <w:szCs w:val="28"/>
                <w:lang w:eastAsia="zh-CN"/>
              </w:rPr>
              <w:t>3</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single" w:color="auto" w:sz="8" w:space="0"/>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1</w:t>
            </w:r>
          </w:p>
        </w:tc>
      </w:tr>
      <w:tr>
        <w:tblPrEx>
          <w:tblCellMar>
            <w:top w:w="28" w:type="dxa"/>
            <w:left w:w="108" w:type="dxa"/>
            <w:bottom w:w="28" w:type="dxa"/>
            <w:right w:w="108" w:type="dxa"/>
          </w:tblCellMar>
        </w:tblPrEx>
        <w:trPr>
          <w:trHeight w:val="170"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3</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西集镇</w:t>
            </w: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3</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hint="eastAsia"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4</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ascii="微软雅黑" w:hAnsi="微软雅黑" w:eastAsia="微软雅黑" w:cs="宋体"/>
                <w:snapToGrid/>
                <w:sz w:val="28"/>
                <w:szCs w:val="28"/>
                <w:lang w:eastAsia="zh-CN"/>
              </w:rPr>
              <w:t>漷</w:t>
            </w:r>
            <w:r>
              <w:rPr>
                <w:rFonts w:ascii="仿宋_GB2312" w:hAnsi="宋体" w:eastAsia="仿宋_GB2312" w:cs="宋体"/>
                <w:snapToGrid/>
                <w:sz w:val="28"/>
                <w:szCs w:val="28"/>
                <w:lang w:eastAsia="zh-CN"/>
              </w:rPr>
              <w:t>县镇</w:t>
            </w: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5</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hint="eastAsia"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5</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张家湾镇</w:t>
            </w: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hint="eastAsia"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6</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于家务镇</w:t>
            </w: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hint="eastAsia"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7</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马驹桥镇</w:t>
            </w: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hint="eastAsia"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8</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台湖镇</w:t>
            </w: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3</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hint="eastAsia" w:eastAsia="宋体" w:cs="Times New Roman"/>
                <w:snapToGrid/>
                <w:sz w:val="28"/>
                <w:szCs w:val="28"/>
                <w:lang w:eastAsia="zh-CN"/>
              </w:rPr>
              <w:t>2</w:t>
            </w:r>
          </w:p>
        </w:tc>
      </w:tr>
      <w:tr>
        <w:tblPrEx>
          <w:tblCellMar>
            <w:top w:w="28" w:type="dxa"/>
            <w:left w:w="108" w:type="dxa"/>
            <w:bottom w:w="28" w:type="dxa"/>
            <w:right w:w="108" w:type="dxa"/>
          </w:tblCellMar>
        </w:tblPrEx>
        <w:trPr>
          <w:trHeight w:val="170" w:hRule="atLeast"/>
        </w:trPr>
        <w:tc>
          <w:tcPr>
            <w:tcW w:w="1247"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9</w:t>
            </w:r>
          </w:p>
        </w:tc>
        <w:tc>
          <w:tcPr>
            <w:tcW w:w="1251" w:type="pct"/>
            <w:vMerge w:val="restar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永乐店镇</w:t>
            </w: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升级</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5</w:t>
            </w:r>
          </w:p>
        </w:tc>
      </w:tr>
      <w:tr>
        <w:tblPrEx>
          <w:tblCellMar>
            <w:top w:w="28" w:type="dxa"/>
            <w:left w:w="108" w:type="dxa"/>
            <w:bottom w:w="28" w:type="dxa"/>
            <w:right w:w="108" w:type="dxa"/>
          </w:tblCellMar>
        </w:tblPrEx>
        <w:trPr>
          <w:trHeight w:val="170" w:hRule="atLeast"/>
        </w:trPr>
        <w:tc>
          <w:tcPr>
            <w:tcW w:w="1247"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p>
        </w:tc>
        <w:tc>
          <w:tcPr>
            <w:tcW w:w="1251" w:type="pct"/>
            <w:vMerge w:val="continue"/>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新建</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p>
        </w:tc>
      </w:tr>
      <w:tr>
        <w:tblPrEx>
          <w:tblCellMar>
            <w:top w:w="28" w:type="dxa"/>
            <w:left w:w="108" w:type="dxa"/>
            <w:bottom w:w="28" w:type="dxa"/>
            <w:right w:w="108" w:type="dxa"/>
          </w:tblCellMar>
        </w:tblPrEx>
        <w:trPr>
          <w:trHeight w:val="170" w:hRule="atLeast"/>
        </w:trPr>
        <w:tc>
          <w:tcPr>
            <w:tcW w:w="1247" w:type="pc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10</w:t>
            </w:r>
          </w:p>
        </w:tc>
        <w:tc>
          <w:tcPr>
            <w:tcW w:w="1251"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snapToGrid/>
                <w:sz w:val="28"/>
                <w:szCs w:val="28"/>
                <w:lang w:eastAsia="zh-CN"/>
              </w:rPr>
            </w:pPr>
            <w:r>
              <w:rPr>
                <w:rFonts w:hint="eastAsia" w:ascii="仿宋_GB2312" w:hAnsi="宋体" w:eastAsia="仿宋_GB2312" w:cs="宋体"/>
                <w:snapToGrid/>
                <w:sz w:val="28"/>
                <w:szCs w:val="28"/>
                <w:lang w:eastAsia="zh-CN"/>
              </w:rPr>
              <w:t>永顺镇</w:t>
            </w:r>
          </w:p>
        </w:tc>
        <w:tc>
          <w:tcPr>
            <w:tcW w:w="125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8"/>
                <w:szCs w:val="28"/>
                <w:lang w:eastAsia="zh-CN"/>
              </w:rPr>
            </w:pPr>
            <w:r>
              <w:rPr>
                <w:rFonts w:eastAsia="宋体" w:cs="Times New Roman"/>
                <w:snapToGrid/>
                <w:sz w:val="28"/>
                <w:szCs w:val="28"/>
                <w:lang w:eastAsia="zh-CN"/>
              </w:rPr>
              <w:t>/</w:t>
            </w:r>
          </w:p>
        </w:tc>
      </w:tr>
      <w:tr>
        <w:tblPrEx>
          <w:tblCellMar>
            <w:top w:w="28" w:type="dxa"/>
            <w:left w:w="108" w:type="dxa"/>
            <w:bottom w:w="28" w:type="dxa"/>
            <w:right w:w="108" w:type="dxa"/>
          </w:tblCellMar>
        </w:tblPrEx>
        <w:trPr>
          <w:trHeight w:val="170" w:hRule="atLeast"/>
        </w:trPr>
        <w:tc>
          <w:tcPr>
            <w:tcW w:w="3750" w:type="pct"/>
            <w:gridSpan w:val="3"/>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仿宋_GB2312" w:hAnsi="宋体" w:eastAsia="仿宋_GB2312" w:cs="宋体"/>
                <w:b/>
                <w:bCs/>
                <w:snapToGrid/>
                <w:sz w:val="28"/>
                <w:szCs w:val="28"/>
                <w:lang w:eastAsia="zh-CN"/>
              </w:rPr>
            </w:pPr>
            <w:r>
              <w:rPr>
                <w:rFonts w:hint="eastAsia" w:ascii="仿宋_GB2312" w:hAnsi="宋体" w:eastAsia="仿宋_GB2312" w:cs="宋体"/>
                <w:b/>
                <w:bCs/>
                <w:snapToGrid/>
                <w:sz w:val="28"/>
                <w:szCs w:val="28"/>
                <w:lang w:eastAsia="zh-CN"/>
              </w:rPr>
              <w:t>合计</w:t>
            </w:r>
          </w:p>
        </w:tc>
        <w:tc>
          <w:tcPr>
            <w:tcW w:w="1250"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8"/>
                <w:szCs w:val="28"/>
                <w:lang w:eastAsia="zh-CN"/>
              </w:rPr>
            </w:pPr>
            <w:r>
              <w:rPr>
                <w:rFonts w:hint="eastAsia" w:eastAsia="宋体" w:cs="Times New Roman"/>
                <w:b/>
                <w:bCs/>
                <w:snapToGrid/>
                <w:sz w:val="28"/>
                <w:szCs w:val="28"/>
                <w:lang w:eastAsia="zh-CN"/>
              </w:rPr>
              <w:t>45</w:t>
            </w:r>
          </w:p>
        </w:tc>
      </w:tr>
      <w:bookmarkEnd w:id="117"/>
    </w:tbl>
    <w:p>
      <w:pPr>
        <w:pStyle w:val="6"/>
        <w:ind w:firstLine="643"/>
      </w:pPr>
      <w:r>
        <w:t>3.</w:t>
      </w:r>
      <w:r>
        <w:rPr>
          <w:rFonts w:hint="eastAsia"/>
        </w:rPr>
        <w:t>多功能防火警示系统</w:t>
      </w:r>
    </w:p>
    <w:p>
      <w:pPr>
        <w:ind w:firstLine="640"/>
        <w:rPr>
          <w:lang w:eastAsia="zh-CN"/>
        </w:rPr>
      </w:pPr>
      <w:bookmarkStart w:id="118" w:name="OLE_LINK11"/>
      <w:r>
        <w:rPr>
          <w:rFonts w:hint="eastAsia"/>
          <w:lang w:eastAsia="zh-CN"/>
        </w:rPr>
        <w:t>针对通州区“人火交织”突出、火源管控压力大的现实问题，规划期间重点布设多功能防火警示系统，优先覆盖林区主要入口及交通节点、火源交汇区和生态重点保护区域等重点区域，切实提升公众防火意识，强化前端劝阻与取证威慑能力。</w:t>
      </w:r>
    </w:p>
    <w:bookmarkEnd w:id="118"/>
    <w:p>
      <w:pPr>
        <w:ind w:firstLine="640"/>
        <w:rPr>
          <w:lang w:eastAsia="zh-CN"/>
        </w:rPr>
      </w:pPr>
      <w:r>
        <w:rPr>
          <w:rFonts w:hint="eastAsia"/>
          <w:lang w:eastAsia="zh-CN"/>
        </w:rPr>
        <w:t>规划分阶段实施防火警示系统建设：</w:t>
      </w:r>
      <w:r>
        <w:rPr>
          <w:lang w:eastAsia="zh-CN"/>
        </w:rPr>
        <w:t>2027</w:t>
      </w:r>
      <w:r>
        <w:rPr>
          <w:rFonts w:hint="eastAsia"/>
          <w:lang w:eastAsia="zh-CN"/>
        </w:rPr>
        <w:t>年前，重点区域新建多功能太阳能防火警示系统</w:t>
      </w:r>
      <w:r>
        <w:rPr>
          <w:lang w:eastAsia="zh-CN"/>
        </w:rPr>
        <w:t>200</w:t>
      </w:r>
      <w:r>
        <w:rPr>
          <w:rFonts w:hint="eastAsia"/>
          <w:lang w:eastAsia="zh-CN"/>
        </w:rPr>
        <w:t>套，改造提升现有点位的多功能防火警示系统；</w:t>
      </w:r>
      <w:r>
        <w:rPr>
          <w:lang w:eastAsia="zh-CN"/>
        </w:rPr>
        <w:t>2028-2035</w:t>
      </w:r>
      <w:r>
        <w:rPr>
          <w:rFonts w:hint="eastAsia"/>
          <w:lang w:eastAsia="zh-CN"/>
        </w:rPr>
        <w:t>年对系统进行持续优化升级。依据各乡镇林地面积、人流量、历史火情及覆盖盲区动态调整，确保重点防火区域实现“入口有警示、风险点有提醒、违规行为可追溯”的闭环管理。</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widowControl w:val="0"/>
              <w:ind w:firstLine="0" w:firstLineChars="0"/>
              <w:jc w:val="center"/>
              <w:rPr>
                <w:b/>
                <w:bCs/>
                <w:lang w:eastAsia="zh-CN"/>
              </w:rPr>
            </w:pPr>
            <w:r>
              <w:rPr>
                <w:rFonts w:hint="eastAsia"/>
                <w:b/>
                <w:bCs/>
                <w:lang w:eastAsia="zh-CN"/>
              </w:rPr>
              <w:t>专栏</w:t>
            </w:r>
            <w:r>
              <w:rPr>
                <w:b/>
                <w:bCs/>
                <w:lang w:eastAsia="zh-CN"/>
              </w:rPr>
              <w:t xml:space="preserve">3  </w:t>
            </w:r>
            <w:r>
              <w:rPr>
                <w:rFonts w:hint="eastAsia"/>
                <w:b/>
                <w:bCs/>
                <w:lang w:eastAsia="zh-CN"/>
              </w:rPr>
              <w:t>多功能防火警示系统重点项目</w:t>
            </w:r>
          </w:p>
          <w:p>
            <w:pPr>
              <w:widowControl w:val="0"/>
              <w:ind w:firstLine="562"/>
              <w:rPr>
                <w:sz w:val="28"/>
                <w:szCs w:val="20"/>
                <w:lang w:eastAsia="zh-CN"/>
              </w:rPr>
            </w:pPr>
            <w:r>
              <w:rPr>
                <w:b/>
                <w:bCs/>
                <w:sz w:val="28"/>
                <w:szCs w:val="20"/>
                <w:lang w:eastAsia="zh-CN"/>
              </w:rPr>
              <w:t>1.</w:t>
            </w:r>
            <w:r>
              <w:rPr>
                <w:rFonts w:hint="eastAsia"/>
                <w:b/>
                <w:bCs/>
                <w:sz w:val="28"/>
                <w:szCs w:val="20"/>
                <w:lang w:eastAsia="zh-CN"/>
              </w:rPr>
              <w:t>多功能防火警示系统建设工程。</w:t>
            </w:r>
            <w:r>
              <w:rPr>
                <w:rFonts w:hint="eastAsia"/>
                <w:sz w:val="28"/>
                <w:szCs w:val="20"/>
                <w:lang w:eastAsia="zh-CN"/>
              </w:rPr>
              <w:t>聚焦重点区域（重要交通节点、火源交汇去、生态敏感区），建设</w:t>
            </w:r>
            <w:r>
              <w:rPr>
                <w:sz w:val="28"/>
                <w:szCs w:val="20"/>
                <w:lang w:eastAsia="zh-CN"/>
              </w:rPr>
              <w:t>200</w:t>
            </w:r>
            <w:r>
              <w:rPr>
                <w:rFonts w:hint="eastAsia"/>
                <w:sz w:val="28"/>
                <w:szCs w:val="20"/>
                <w:lang w:eastAsia="zh-CN"/>
              </w:rPr>
              <w:t>套监控系统、配备太阳能电子语音报警杆。</w:t>
            </w:r>
          </w:p>
          <w:p>
            <w:pPr>
              <w:widowControl w:val="0"/>
              <w:ind w:firstLine="562"/>
              <w:rPr>
                <w:sz w:val="28"/>
                <w:szCs w:val="20"/>
                <w:lang w:eastAsia="zh-CN"/>
              </w:rPr>
            </w:pPr>
            <w:r>
              <w:rPr>
                <w:b/>
                <w:bCs/>
                <w:sz w:val="28"/>
                <w:szCs w:val="20"/>
                <w:lang w:eastAsia="zh-CN"/>
              </w:rPr>
              <w:t>2.</w:t>
            </w:r>
            <w:r>
              <w:rPr>
                <w:rFonts w:hint="eastAsia"/>
                <w:b/>
                <w:bCs/>
                <w:sz w:val="28"/>
                <w:szCs w:val="20"/>
                <w:lang w:eastAsia="zh-CN"/>
              </w:rPr>
              <w:t>多功能防火警示系统提升工程。</w:t>
            </w:r>
            <w:r>
              <w:rPr>
                <w:rFonts w:hint="eastAsia"/>
                <w:sz w:val="28"/>
                <w:szCs w:val="20"/>
                <w:lang w:eastAsia="zh-CN"/>
              </w:rPr>
              <w:t>在现有视频监控点位基础上持续优化升级，动态调整，拓展点位监测功能，增设实时对讲、语音警示等功能，增强防火警示系统监测预警能力。</w:t>
            </w:r>
          </w:p>
        </w:tc>
      </w:tr>
    </w:tbl>
    <w:p>
      <w:pPr>
        <w:pStyle w:val="6"/>
        <w:ind w:firstLine="643"/>
      </w:pPr>
      <w:r>
        <w:t>4.</w:t>
      </w:r>
      <w:bookmarkStart w:id="119" w:name="OLE_LINK5"/>
      <w:r>
        <w:rPr>
          <w:rFonts w:hint="eastAsia"/>
        </w:rPr>
        <w:t>地表火红外监测</w:t>
      </w:r>
      <w:bookmarkEnd w:id="119"/>
      <w:r>
        <w:rPr>
          <w:rFonts w:hint="eastAsia"/>
        </w:rPr>
        <w:t>预警系统</w:t>
      </w:r>
    </w:p>
    <w:p>
      <w:pPr>
        <w:ind w:firstLine="640"/>
        <w:rPr>
          <w:rFonts w:cs="Times New Roman"/>
          <w:szCs w:val="28"/>
          <w:lang w:eastAsia="zh-CN"/>
        </w:rPr>
      </w:pPr>
      <w:bookmarkStart w:id="120" w:name="OLE_LINK12"/>
      <w:bookmarkStart w:id="121" w:name="OLE_LINK13"/>
      <w:bookmarkStart w:id="122" w:name="OLE_LINK10"/>
      <w:r>
        <w:rPr>
          <w:rFonts w:hint="eastAsia" w:cs="Times New Roman"/>
          <w:szCs w:val="28"/>
          <w:lang w:eastAsia="zh-CN"/>
        </w:rPr>
        <w:t>针对通州区平原林区视野开阔但火点隐蔽的监测短板，规划期间将遵循风险导向、科学覆盖、智能组网原则，重点在可燃物高载量林班、视频监控盲区及防火道路沿线关键节点部署地表火红外监测预警系统，布设密度将依据各林场林分类型、历史火险等级、与现有监控及通信设施的距离进行科学优化，确保形成一张“自动感知、秒级报警、精准定位”的地表火智能监测网络，切实提升对初期地表火情的精准、自动、快速识别能力。</w:t>
      </w:r>
      <w:bookmarkEnd w:id="120"/>
      <w:bookmarkEnd w:id="121"/>
    </w:p>
    <w:bookmarkEnd w:id="122"/>
    <w:p>
      <w:pPr>
        <w:ind w:firstLine="640"/>
        <w:rPr>
          <w:rFonts w:cs="Times New Roman"/>
          <w:szCs w:val="28"/>
          <w:lang w:eastAsia="zh-CN"/>
        </w:rPr>
      </w:pPr>
      <w:r>
        <w:rPr>
          <w:rFonts w:hint="eastAsia" w:cs="Times New Roman"/>
          <w:szCs w:val="28"/>
          <w:lang w:eastAsia="zh-CN"/>
        </w:rPr>
        <w:t>考虑到通州区二级防火区面积占比高达</w:t>
      </w:r>
      <w:r>
        <w:rPr>
          <w:rFonts w:cs="Times New Roman"/>
          <w:szCs w:val="28"/>
          <w:lang w:eastAsia="zh-CN"/>
        </w:rPr>
        <w:t>90.10%</w:t>
      </w:r>
      <w:r>
        <w:rPr>
          <w:rFonts w:hint="eastAsia" w:cs="Times New Roman"/>
          <w:szCs w:val="28"/>
          <w:lang w:eastAsia="zh-CN"/>
        </w:rPr>
        <w:t>，且林地分布广、碎片化特征明显，规划在</w:t>
      </w:r>
      <w:r>
        <w:rPr>
          <w:rFonts w:cs="Times New Roman"/>
          <w:szCs w:val="28"/>
          <w:lang w:eastAsia="zh-CN"/>
        </w:rPr>
        <w:t>2030</w:t>
      </w:r>
      <w:r>
        <w:rPr>
          <w:rFonts w:hint="eastAsia" w:cs="Times New Roman"/>
          <w:szCs w:val="28"/>
          <w:lang w:eastAsia="zh-CN"/>
        </w:rPr>
        <w:t>年前，分阶段在全区</w:t>
      </w:r>
      <w:r>
        <w:rPr>
          <w:rFonts w:cs="Times New Roman"/>
          <w:szCs w:val="28"/>
          <w:lang w:eastAsia="zh-CN"/>
        </w:rPr>
        <w:t>10</w:t>
      </w:r>
      <w:r>
        <w:rPr>
          <w:rFonts w:hint="eastAsia" w:cs="Times New Roman"/>
          <w:szCs w:val="28"/>
          <w:lang w:eastAsia="zh-CN"/>
        </w:rPr>
        <w:t>个集体林场的高火险林班内，按照均等布局原则，新建或提升改造地表火红外监测预警终端不少于</w:t>
      </w:r>
      <w:r>
        <w:rPr>
          <w:rFonts w:cs="Times New Roman"/>
          <w:szCs w:val="28"/>
          <w:lang w:eastAsia="zh-CN"/>
        </w:rPr>
        <w:t>80</w:t>
      </w:r>
      <w:r>
        <w:rPr>
          <w:rFonts w:hint="eastAsia" w:cs="Times New Roman"/>
          <w:szCs w:val="28"/>
          <w:lang w:eastAsia="zh-CN"/>
        </w:rPr>
        <w:t>套，充分考虑各林场建设基础，张家湾镇已建成较完善的地表火监测体系，规划新增</w:t>
      </w:r>
      <w:r>
        <w:rPr>
          <w:rFonts w:cs="Times New Roman"/>
          <w:szCs w:val="28"/>
          <w:lang w:eastAsia="zh-CN"/>
        </w:rPr>
        <w:t>3</w:t>
      </w:r>
      <w:r>
        <w:rPr>
          <w:rFonts w:hint="eastAsia" w:cs="Times New Roman"/>
          <w:szCs w:val="28"/>
          <w:lang w:eastAsia="zh-CN"/>
        </w:rPr>
        <w:t>套以补充完善监测网络，其余乡镇林场规划按照管护面积进行划分。</w:t>
      </w:r>
    </w:p>
    <w:p>
      <w:pPr>
        <w:keepNext/>
        <w:kinsoku/>
        <w:autoSpaceDE/>
        <w:autoSpaceDN/>
        <w:adjustRightInd/>
        <w:snapToGrid/>
        <w:spacing w:before="0" w:after="0" w:line="240" w:lineRule="auto"/>
        <w:ind w:firstLine="0" w:firstLineChars="0"/>
        <w:jc w:val="center"/>
        <w:textAlignment w:val="auto"/>
        <w:rPr>
          <w:rFonts w:eastAsia="黑体" w:cs="微软雅黑"/>
          <w:sz w:val="24"/>
          <w:szCs w:val="24"/>
          <w:lang w:eastAsia="zh-CN"/>
        </w:rPr>
      </w:pPr>
      <w:r>
        <w:rPr>
          <w:rFonts w:hint="eastAsia" w:eastAsia="黑体" w:cs="微软雅黑"/>
          <w:b/>
          <w:bCs/>
          <w:spacing w:val="4"/>
          <w:sz w:val="24"/>
          <w:szCs w:val="24"/>
          <w:lang w:eastAsia="zh-CN"/>
        </w:rPr>
        <w:t>表</w:t>
      </w:r>
      <w:r>
        <w:rPr>
          <w:rFonts w:eastAsia="黑体"/>
          <w:b/>
          <w:bCs/>
          <w:spacing w:val="4"/>
          <w:sz w:val="24"/>
          <w:szCs w:val="24"/>
          <w:lang w:eastAsia="zh-CN"/>
        </w:rPr>
        <w:t xml:space="preserve"> </w:t>
      </w:r>
      <w:r>
        <w:rPr>
          <w:rFonts w:hint="eastAsia" w:eastAsia="黑体"/>
          <w:b/>
          <w:bCs/>
          <w:spacing w:val="4"/>
          <w:sz w:val="24"/>
          <w:szCs w:val="24"/>
          <w:lang w:eastAsia="zh-CN"/>
        </w:rPr>
        <w:t>地表火红外监测预警设施</w:t>
      </w:r>
      <w:r>
        <w:rPr>
          <w:rFonts w:hint="eastAsia" w:eastAsia="黑体" w:cs="微软雅黑"/>
          <w:b/>
          <w:bCs/>
          <w:spacing w:val="4"/>
          <w:sz w:val="24"/>
          <w:szCs w:val="24"/>
          <w:lang w:eastAsia="zh-CN"/>
        </w:rPr>
        <w:t>规划表</w:t>
      </w:r>
    </w:p>
    <w:tbl>
      <w:tblPr>
        <w:tblStyle w:val="28"/>
        <w:tblW w:w="5000" w:type="pct"/>
        <w:tblInd w:w="0" w:type="dxa"/>
        <w:tblLayout w:type="autofit"/>
        <w:tblCellMar>
          <w:top w:w="0" w:type="dxa"/>
          <w:left w:w="108" w:type="dxa"/>
          <w:bottom w:w="0" w:type="dxa"/>
          <w:right w:w="108" w:type="dxa"/>
        </w:tblCellMar>
      </w:tblPr>
      <w:tblGrid>
        <w:gridCol w:w="1812"/>
        <w:gridCol w:w="1868"/>
        <w:gridCol w:w="1799"/>
        <w:gridCol w:w="1790"/>
        <w:gridCol w:w="1791"/>
      </w:tblGrid>
      <w:tr>
        <w:tblPrEx>
          <w:tblCellMar>
            <w:top w:w="0" w:type="dxa"/>
            <w:left w:w="108" w:type="dxa"/>
            <w:bottom w:w="0" w:type="dxa"/>
            <w:right w:w="108" w:type="dxa"/>
          </w:tblCellMar>
        </w:tblPrEx>
        <w:trPr>
          <w:trHeight w:val="312" w:hRule="atLeast"/>
        </w:trPr>
        <w:tc>
          <w:tcPr>
            <w:tcW w:w="1000" w:type="pct"/>
            <w:vMerge w:val="restar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序号</w:t>
            </w:r>
          </w:p>
        </w:tc>
        <w:tc>
          <w:tcPr>
            <w:tcW w:w="1031" w:type="pct"/>
            <w:vMerge w:val="restart"/>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建设地点</w:t>
            </w:r>
          </w:p>
        </w:tc>
        <w:tc>
          <w:tcPr>
            <w:tcW w:w="993" w:type="pct"/>
            <w:vMerge w:val="restart"/>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建设性质</w:t>
            </w:r>
          </w:p>
        </w:tc>
        <w:tc>
          <w:tcPr>
            <w:tcW w:w="1977" w:type="pct"/>
            <w:gridSpan w:val="2"/>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建设规模</w:t>
            </w:r>
          </w:p>
        </w:tc>
      </w:tr>
      <w:tr>
        <w:tblPrEx>
          <w:tblCellMar>
            <w:top w:w="0" w:type="dxa"/>
            <w:left w:w="108" w:type="dxa"/>
            <w:bottom w:w="0" w:type="dxa"/>
            <w:right w:w="108" w:type="dxa"/>
          </w:tblCellMar>
        </w:tblPrEx>
        <w:trPr>
          <w:trHeight w:val="312" w:hRule="atLeast"/>
        </w:trPr>
        <w:tc>
          <w:tcPr>
            <w:tcW w:w="1000" w:type="pct"/>
            <w:vMerge w:val="continue"/>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spacing w:before="0" w:after="0" w:line="240" w:lineRule="auto"/>
              <w:ind w:firstLine="0" w:firstLineChars="0"/>
              <w:jc w:val="left"/>
              <w:textAlignment w:val="auto"/>
              <w:rPr>
                <w:rFonts w:hint="eastAsia" w:ascii="仿宋_GB2312" w:hAnsi="仿宋" w:eastAsia="仿宋_GB2312" w:cs="宋体"/>
                <w:b/>
                <w:bCs/>
                <w:snapToGrid/>
                <w:sz w:val="28"/>
                <w:szCs w:val="28"/>
                <w:lang w:eastAsia="zh-CN"/>
              </w:rPr>
            </w:pPr>
          </w:p>
        </w:tc>
        <w:tc>
          <w:tcPr>
            <w:tcW w:w="1031" w:type="pct"/>
            <w:vMerge w:val="continue"/>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spacing w:before="0" w:after="0" w:line="240" w:lineRule="auto"/>
              <w:ind w:firstLine="0" w:firstLineChars="0"/>
              <w:jc w:val="left"/>
              <w:textAlignment w:val="auto"/>
              <w:rPr>
                <w:rFonts w:hint="eastAsia" w:ascii="仿宋_GB2312" w:hAnsi="仿宋" w:eastAsia="仿宋_GB2312" w:cs="宋体"/>
                <w:b/>
                <w:bCs/>
                <w:snapToGrid/>
                <w:sz w:val="28"/>
                <w:szCs w:val="28"/>
                <w:lang w:eastAsia="zh-CN"/>
              </w:rPr>
            </w:pPr>
          </w:p>
        </w:tc>
        <w:tc>
          <w:tcPr>
            <w:tcW w:w="993" w:type="pct"/>
            <w:vMerge w:val="continue"/>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spacing w:before="0" w:after="0" w:line="240" w:lineRule="auto"/>
              <w:ind w:firstLine="0" w:firstLineChars="0"/>
              <w:jc w:val="left"/>
              <w:textAlignment w:val="auto"/>
              <w:rPr>
                <w:rFonts w:hint="eastAsia" w:ascii="仿宋_GB2312" w:hAnsi="仿宋" w:eastAsia="仿宋_GB2312" w:cs="宋体"/>
                <w:b/>
                <w:bCs/>
                <w:snapToGrid/>
                <w:sz w:val="28"/>
                <w:szCs w:val="28"/>
                <w:lang w:eastAsia="zh-CN"/>
              </w:rPr>
            </w:pPr>
          </w:p>
        </w:tc>
        <w:tc>
          <w:tcPr>
            <w:tcW w:w="988" w:type="pct"/>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近期</w:t>
            </w:r>
          </w:p>
        </w:tc>
        <w:tc>
          <w:tcPr>
            <w:tcW w:w="988" w:type="pct"/>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远期</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1</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宋庄镇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5</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3</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2</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潞城镇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4</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3</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3</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西集镇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6</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4</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4</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微软雅黑" w:hAnsi="微软雅黑" w:eastAsia="微软雅黑" w:cs="微软雅黑"/>
                <w:snapToGrid/>
                <w:sz w:val="28"/>
                <w:szCs w:val="28"/>
                <w:lang w:eastAsia="zh-CN"/>
              </w:rPr>
              <w:t>漷</w:t>
            </w:r>
            <w:r>
              <w:rPr>
                <w:rFonts w:hint="eastAsia" w:ascii="仿宋_GB2312" w:hAnsi="仿宋_GB2312" w:eastAsia="仿宋_GB2312" w:cs="仿宋_GB2312"/>
                <w:snapToGrid/>
                <w:sz w:val="28"/>
                <w:szCs w:val="28"/>
                <w:lang w:eastAsia="zh-CN"/>
              </w:rPr>
              <w:t>县镇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5</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4</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5</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张家湾镇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3</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6</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于家务镇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4</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2</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7</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马驹桥镇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7</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5</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8</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台湖镇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6</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4</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9</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永乐店镇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8</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5</w:t>
            </w:r>
          </w:p>
        </w:tc>
      </w:tr>
      <w:tr>
        <w:tblPrEx>
          <w:tblCellMar>
            <w:top w:w="0" w:type="dxa"/>
            <w:left w:w="108" w:type="dxa"/>
            <w:bottom w:w="0" w:type="dxa"/>
            <w:right w:w="108" w:type="dxa"/>
          </w:tblCellMar>
        </w:tblPrEx>
        <w:trPr>
          <w:trHeight w:val="312" w:hRule="atLeast"/>
        </w:trPr>
        <w:tc>
          <w:tcPr>
            <w:tcW w:w="1000"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10</w:t>
            </w:r>
          </w:p>
        </w:tc>
        <w:tc>
          <w:tcPr>
            <w:tcW w:w="1031"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永顺镇</w:t>
            </w:r>
          </w:p>
        </w:tc>
        <w:tc>
          <w:tcPr>
            <w:tcW w:w="993"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新建</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1</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snapToGrid/>
                <w:sz w:val="28"/>
                <w:szCs w:val="28"/>
                <w:lang w:eastAsia="zh-CN"/>
              </w:rPr>
            </w:pPr>
            <w:r>
              <w:rPr>
                <w:rFonts w:hint="eastAsia" w:ascii="仿宋_GB2312" w:hAnsi="仿宋" w:eastAsia="仿宋_GB2312" w:cs="宋体"/>
                <w:snapToGrid/>
                <w:sz w:val="28"/>
                <w:szCs w:val="28"/>
                <w:lang w:eastAsia="zh-CN"/>
              </w:rPr>
              <w:t>1</w:t>
            </w:r>
          </w:p>
        </w:tc>
      </w:tr>
      <w:tr>
        <w:tblPrEx>
          <w:tblCellMar>
            <w:top w:w="0" w:type="dxa"/>
            <w:left w:w="108" w:type="dxa"/>
            <w:bottom w:w="0" w:type="dxa"/>
            <w:right w:w="108" w:type="dxa"/>
          </w:tblCellMar>
        </w:tblPrEx>
        <w:trPr>
          <w:trHeight w:val="312" w:hRule="atLeast"/>
        </w:trPr>
        <w:tc>
          <w:tcPr>
            <w:tcW w:w="3023" w:type="pct"/>
            <w:gridSpan w:val="3"/>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合计</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49</w:t>
            </w:r>
          </w:p>
        </w:tc>
        <w:tc>
          <w:tcPr>
            <w:tcW w:w="988" w:type="pct"/>
            <w:tcBorders>
              <w:top w:val="single" w:color="000000" w:sz="4" w:space="0"/>
              <w:left w:val="single" w:color="000000" w:sz="4" w:space="0"/>
              <w:bottom w:val="single" w:color="000000" w:sz="4" w:space="0"/>
              <w:right w:val="single" w:color="000000" w:sz="4" w:space="0"/>
            </w:tcBorders>
            <w:noWrap/>
            <w:vAlign w:val="center"/>
          </w:tcPr>
          <w:p>
            <w:pPr>
              <w:kinsoku/>
              <w:autoSpaceDE/>
              <w:autoSpaceDN/>
              <w:adjustRightInd/>
              <w:snapToGrid/>
              <w:spacing w:before="0" w:after="0" w:line="240" w:lineRule="auto"/>
              <w:ind w:firstLine="0" w:firstLineChars="0"/>
              <w:jc w:val="center"/>
              <w:textAlignment w:val="auto"/>
              <w:rPr>
                <w:rFonts w:hint="eastAsia" w:ascii="仿宋_GB2312" w:hAnsi="仿宋" w:eastAsia="仿宋_GB2312" w:cs="宋体"/>
                <w:b/>
                <w:bCs/>
                <w:snapToGrid/>
                <w:sz w:val="28"/>
                <w:szCs w:val="28"/>
                <w:lang w:eastAsia="zh-CN"/>
              </w:rPr>
            </w:pPr>
            <w:r>
              <w:rPr>
                <w:rFonts w:hint="eastAsia" w:ascii="仿宋_GB2312" w:hAnsi="仿宋" w:eastAsia="仿宋_GB2312" w:cs="宋体"/>
                <w:b/>
                <w:bCs/>
                <w:snapToGrid/>
                <w:sz w:val="28"/>
                <w:szCs w:val="28"/>
                <w:lang w:eastAsia="zh-CN"/>
              </w:rPr>
              <w:t>31</w:t>
            </w:r>
          </w:p>
        </w:tc>
      </w:tr>
    </w:tbl>
    <w:p>
      <w:pPr>
        <w:pStyle w:val="6"/>
        <w:ind w:firstLine="643"/>
      </w:pPr>
      <w:r>
        <w:t>5.</w:t>
      </w:r>
      <w:r>
        <w:rPr>
          <w:rFonts w:hint="eastAsia"/>
        </w:rPr>
        <w:t>林木智能保护基站</w:t>
      </w:r>
    </w:p>
    <w:p>
      <w:pPr>
        <w:ind w:firstLine="640"/>
        <w:rPr>
          <w:lang w:eastAsia="zh-CN"/>
        </w:rPr>
      </w:pPr>
      <w:bookmarkStart w:id="123" w:name="OLE_LINK14"/>
      <w:r>
        <w:rPr>
          <w:rFonts w:hint="eastAsia"/>
          <w:lang w:eastAsia="zh-CN"/>
        </w:rPr>
        <w:t>在通州区林木智能保护基站建设的基础上，进一步扩大范围，统筹整合森林防火和林木有害生物防治工作。</w:t>
      </w:r>
      <w:r>
        <w:rPr>
          <w:rFonts w:hint="eastAsia"/>
          <w:color w:val="auto"/>
          <w:lang w:eastAsia="zh-CN"/>
        </w:rPr>
        <w:t>按照“科学布设、突出重点、系统集成”原则，</w:t>
      </w:r>
      <w:r>
        <w:rPr>
          <w:rFonts w:hint="eastAsia"/>
          <w:lang w:eastAsia="zh-CN"/>
        </w:rPr>
        <w:t>充分考虑地形地貌、森林资源分布、取水、供电等因素，在重点部位建设林木智能保护基站</w:t>
      </w:r>
      <w:r>
        <w:rPr>
          <w:lang w:eastAsia="zh-CN"/>
        </w:rPr>
        <w:t>10</w:t>
      </w:r>
      <w:r>
        <w:rPr>
          <w:rFonts w:hint="eastAsia"/>
          <w:lang w:eastAsia="zh-CN"/>
        </w:rPr>
        <w:t>个。</w:t>
      </w:r>
      <w:r>
        <w:rPr>
          <w:rFonts w:hint="eastAsia"/>
          <w:color w:val="auto"/>
          <w:lang w:eastAsia="zh-CN"/>
        </w:rPr>
        <w:t>同步实现数据实时接入区级防火指挥平台，与视频监控系统构建立体监测网络，切实提升森林防火科技化、智能化水平。</w:t>
      </w:r>
    </w:p>
    <w:bookmarkEnd w:id="123"/>
    <w:p>
      <w:pPr>
        <w:ind w:firstLine="640"/>
        <w:rPr>
          <w:color w:val="auto"/>
          <w:lang w:eastAsia="zh-CN"/>
        </w:rPr>
      </w:pPr>
      <w:r>
        <w:rPr>
          <w:rFonts w:hint="eastAsia"/>
          <w:color w:val="auto"/>
          <w:lang w:eastAsia="zh-CN"/>
        </w:rPr>
        <w:t>通州区现有林木智能保护基站</w:t>
      </w:r>
      <w:r>
        <w:rPr>
          <w:color w:val="auto"/>
          <w:lang w:eastAsia="zh-CN"/>
        </w:rPr>
        <w:t>22</w:t>
      </w:r>
      <w:r>
        <w:rPr>
          <w:rFonts w:hint="eastAsia"/>
          <w:color w:val="auto"/>
          <w:lang w:eastAsia="zh-CN"/>
        </w:rPr>
        <w:t>座。依据《北京市森林防火五年行动计划（</w:t>
      </w:r>
      <w:r>
        <w:rPr>
          <w:color w:val="auto"/>
          <w:lang w:eastAsia="zh-CN"/>
        </w:rPr>
        <w:t>2023-2027</w:t>
      </w:r>
      <w:r>
        <w:rPr>
          <w:rFonts w:hint="eastAsia"/>
          <w:color w:val="auto"/>
          <w:lang w:eastAsia="zh-CN"/>
        </w:rPr>
        <w:t>年）》，规划期间将统筹建设林木智能保护基站</w:t>
      </w:r>
      <w:r>
        <w:rPr>
          <w:color w:val="auto"/>
          <w:lang w:eastAsia="zh-CN"/>
        </w:rPr>
        <w:t>10</w:t>
      </w:r>
      <w:r>
        <w:rPr>
          <w:rFonts w:hint="eastAsia"/>
          <w:color w:val="auto"/>
          <w:lang w:eastAsia="zh-CN"/>
        </w:rPr>
        <w:t>个，重点向未建设基站的林场和新成立林场倾斜。</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9061" w:type="dxa"/>
          </w:tcPr>
          <w:p>
            <w:pPr>
              <w:widowControl w:val="0"/>
              <w:ind w:firstLine="0" w:firstLineChars="0"/>
              <w:jc w:val="center"/>
              <w:rPr>
                <w:b/>
                <w:bCs/>
                <w:lang w:eastAsia="zh-CN"/>
              </w:rPr>
            </w:pPr>
            <w:r>
              <w:rPr>
                <w:rFonts w:hint="eastAsia"/>
                <w:b/>
                <w:bCs/>
                <w:lang w:eastAsia="zh-CN"/>
              </w:rPr>
              <w:t>专栏</w:t>
            </w:r>
            <w:r>
              <w:rPr>
                <w:b/>
                <w:bCs/>
                <w:lang w:eastAsia="zh-CN"/>
              </w:rPr>
              <w:t xml:space="preserve">4  </w:t>
            </w:r>
            <w:r>
              <w:rPr>
                <w:rFonts w:hint="eastAsia"/>
                <w:b/>
                <w:bCs/>
                <w:lang w:eastAsia="zh-CN"/>
              </w:rPr>
              <w:t>林木智能保护基站重点项目</w:t>
            </w:r>
          </w:p>
          <w:p>
            <w:pPr>
              <w:widowControl w:val="0"/>
              <w:ind w:firstLine="562"/>
              <w:rPr>
                <w:sz w:val="28"/>
                <w:szCs w:val="20"/>
                <w:lang w:eastAsia="zh-CN"/>
              </w:rPr>
            </w:pPr>
            <w:r>
              <w:rPr>
                <w:b/>
                <w:bCs/>
                <w:sz w:val="28"/>
                <w:szCs w:val="20"/>
                <w:lang w:eastAsia="zh-CN"/>
              </w:rPr>
              <w:t>1.</w:t>
            </w:r>
            <w:r>
              <w:rPr>
                <w:rFonts w:hint="eastAsia"/>
                <w:b/>
                <w:bCs/>
                <w:sz w:val="28"/>
                <w:szCs w:val="20"/>
                <w:lang w:eastAsia="zh-CN"/>
              </w:rPr>
              <w:t>林木智能保护基站建设工程。</w:t>
            </w:r>
            <w:r>
              <w:rPr>
                <w:rFonts w:hint="eastAsia"/>
                <w:sz w:val="28"/>
                <w:szCs w:val="20"/>
                <w:lang w:eastAsia="zh-CN"/>
              </w:rPr>
              <w:t>聚焦重点区域（重要交通节点、火源交汇去、生态敏感区），建设10座</w:t>
            </w:r>
            <w:r>
              <w:rPr>
                <w:rFonts w:hint="eastAsia"/>
                <w:lang w:eastAsia="zh-CN"/>
              </w:rPr>
              <w:t>林木智能保护基站</w:t>
            </w:r>
            <w:r>
              <w:rPr>
                <w:rFonts w:hint="eastAsia"/>
                <w:sz w:val="28"/>
                <w:szCs w:val="20"/>
                <w:lang w:eastAsia="zh-CN"/>
              </w:rPr>
              <w:t>、配备太阳能电子语音报警杆。</w:t>
            </w:r>
          </w:p>
          <w:p>
            <w:pPr>
              <w:widowControl w:val="0"/>
              <w:ind w:firstLine="562"/>
              <w:rPr>
                <w:sz w:val="28"/>
                <w:szCs w:val="20"/>
                <w:lang w:eastAsia="zh-CN"/>
              </w:rPr>
            </w:pPr>
            <w:r>
              <w:rPr>
                <w:b/>
                <w:bCs/>
                <w:sz w:val="28"/>
                <w:szCs w:val="20"/>
                <w:lang w:eastAsia="zh-CN"/>
              </w:rPr>
              <w:t>2.</w:t>
            </w:r>
            <w:r>
              <w:rPr>
                <w:rFonts w:hint="eastAsia"/>
                <w:b/>
                <w:bCs/>
                <w:sz w:val="28"/>
                <w:szCs w:val="20"/>
                <w:lang w:eastAsia="zh-CN"/>
              </w:rPr>
              <w:t>林木智能保护基站动态更新工程。</w:t>
            </w:r>
            <w:r>
              <w:rPr>
                <w:rFonts w:hint="eastAsia"/>
                <w:sz w:val="28"/>
                <w:szCs w:val="20"/>
                <w:lang w:eastAsia="zh-CN"/>
              </w:rPr>
              <w:t>针对建设的林木智能保护基站实施动态更新和维护，动态替换掉老化受损设备。</w:t>
            </w:r>
          </w:p>
        </w:tc>
      </w:tr>
    </w:tbl>
    <w:p>
      <w:pPr>
        <w:pStyle w:val="5"/>
        <w:ind w:firstLine="643"/>
      </w:pPr>
      <w:bookmarkStart w:id="124" w:name="_Toc213072520"/>
      <w:r>
        <w:rPr>
          <w:rFonts w:hint="eastAsia"/>
        </w:rPr>
        <w:t>（二）防火宣传教育系统建设</w:t>
      </w:r>
      <w:bookmarkEnd w:id="124"/>
    </w:p>
    <w:p>
      <w:pPr>
        <w:pStyle w:val="6"/>
        <w:ind w:firstLine="643"/>
      </w:pPr>
      <w:r>
        <w:t>1.</w:t>
      </w:r>
      <w:r>
        <w:rPr>
          <w:rFonts w:hint="eastAsia"/>
        </w:rPr>
        <w:t>宣传标识系统建设</w:t>
      </w:r>
    </w:p>
    <w:p>
      <w:pPr>
        <w:ind w:firstLine="640"/>
        <w:rPr>
          <w:lang w:eastAsia="zh-CN"/>
        </w:rPr>
      </w:pPr>
      <w:r>
        <w:rPr>
          <w:rFonts w:hint="eastAsia"/>
          <w:lang w:eastAsia="zh-CN"/>
        </w:rPr>
        <w:t>依据《森林防火宣传设施设置规范》（</w:t>
      </w:r>
      <w:r>
        <w:rPr>
          <w:lang w:eastAsia="zh-CN"/>
        </w:rPr>
        <w:t>LY/T 2798-2017</w:t>
      </w:r>
      <w:r>
        <w:rPr>
          <w:rFonts w:hint="eastAsia"/>
          <w:lang w:eastAsia="zh-CN"/>
        </w:rPr>
        <w:t>），规划优先在高火险区域、林区主要出入口、高速路口、乡镇交界节点及人流密集区新增宣传标识系统，科学加密宣传牌、警示标语和语音提示杆布点密度。根据《森林防火安全标志及设置要求》（</w:t>
      </w:r>
      <w:r>
        <w:rPr>
          <w:lang w:eastAsia="zh-CN"/>
        </w:rPr>
        <w:t>LY/T 2662--2016</w:t>
      </w:r>
      <w:r>
        <w:rPr>
          <w:rFonts w:hint="eastAsia"/>
          <w:lang w:eastAsia="zh-CN"/>
        </w:rPr>
        <w:t>）以及道路网在森林防火区分布状况，每间隔1km~5km路段，科学设置相应的森林防火安全标志。</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widowControl w:val="0"/>
              <w:ind w:firstLine="0" w:firstLineChars="0"/>
              <w:jc w:val="center"/>
              <w:rPr>
                <w:b/>
                <w:bCs/>
                <w:lang w:eastAsia="zh-CN"/>
              </w:rPr>
            </w:pPr>
            <w:r>
              <w:rPr>
                <w:rFonts w:hint="eastAsia"/>
                <w:b/>
                <w:bCs/>
                <w:lang w:eastAsia="zh-CN"/>
              </w:rPr>
              <w:t>专栏</w:t>
            </w:r>
            <w:r>
              <w:rPr>
                <w:b/>
                <w:bCs/>
                <w:lang w:eastAsia="zh-CN"/>
              </w:rPr>
              <w:t xml:space="preserve">5  </w:t>
            </w:r>
            <w:r>
              <w:rPr>
                <w:rFonts w:hint="eastAsia"/>
                <w:b/>
                <w:bCs/>
                <w:lang w:eastAsia="zh-CN"/>
              </w:rPr>
              <w:t>宣传标识系统建设重点项目</w:t>
            </w:r>
          </w:p>
          <w:p>
            <w:pPr>
              <w:widowControl w:val="0"/>
              <w:kinsoku/>
              <w:ind w:firstLine="562"/>
              <w:rPr>
                <w:sz w:val="28"/>
                <w:szCs w:val="20"/>
                <w:lang w:eastAsia="zh-CN"/>
              </w:rPr>
            </w:pPr>
            <w:bookmarkStart w:id="125" w:name="OLE_LINK15"/>
            <w:r>
              <w:rPr>
                <w:rFonts w:hint="eastAsia"/>
                <w:b/>
                <w:bCs/>
                <w:sz w:val="28"/>
                <w:szCs w:val="20"/>
                <w:lang w:eastAsia="zh-CN"/>
              </w:rPr>
              <w:t>宣传标识基础覆盖提升项目。</w:t>
            </w:r>
            <w:r>
              <w:rPr>
                <w:rFonts w:hint="eastAsia"/>
                <w:sz w:val="28"/>
                <w:szCs w:val="20"/>
                <w:lang w:eastAsia="zh-CN"/>
              </w:rPr>
              <w:t>宣传牌按重要节点全覆盖原则布设，主干路每间隔1km-5km路段设置一块，完成</w:t>
            </w:r>
            <w:r>
              <w:rPr>
                <w:sz w:val="28"/>
                <w:szCs w:val="20"/>
                <w:lang w:eastAsia="zh-CN"/>
              </w:rPr>
              <w:t>1</w:t>
            </w:r>
            <w:r>
              <w:rPr>
                <w:rFonts w:hint="eastAsia"/>
                <w:sz w:val="28"/>
                <w:szCs w:val="20"/>
                <w:lang w:eastAsia="zh-CN"/>
              </w:rPr>
              <w:t>8</w:t>
            </w:r>
            <w:r>
              <w:rPr>
                <w:sz w:val="28"/>
                <w:szCs w:val="20"/>
                <w:lang w:eastAsia="zh-CN"/>
              </w:rPr>
              <w:t>0</w:t>
            </w:r>
            <w:r>
              <w:rPr>
                <w:rFonts w:hint="eastAsia"/>
                <w:sz w:val="28"/>
                <w:szCs w:val="20"/>
                <w:lang w:eastAsia="zh-CN"/>
              </w:rPr>
              <w:t>块重点区域建设；语音提示杆按森林二级、三级防火区需求，密度不低于</w:t>
            </w:r>
            <w:r>
              <w:rPr>
                <w:sz w:val="28"/>
                <w:szCs w:val="20"/>
                <w:lang w:eastAsia="zh-CN"/>
              </w:rPr>
              <w:t>2</w:t>
            </w:r>
            <w:r>
              <w:rPr>
                <w:rFonts w:hint="eastAsia"/>
                <w:sz w:val="28"/>
                <w:szCs w:val="20"/>
                <w:lang w:eastAsia="zh-CN"/>
              </w:rPr>
              <w:t>处</w:t>
            </w:r>
            <w:r>
              <w:rPr>
                <w:sz w:val="28"/>
                <w:szCs w:val="20"/>
                <w:lang w:eastAsia="zh-CN"/>
              </w:rPr>
              <w:t>/</w:t>
            </w:r>
            <w:r>
              <w:rPr>
                <w:rFonts w:hint="eastAsia"/>
                <w:sz w:val="28"/>
                <w:szCs w:val="20"/>
                <w:lang w:eastAsia="zh-CN"/>
              </w:rPr>
              <w:t>平方公里，建成200根。每季度动态调整布点，维持标识密度≥</w:t>
            </w:r>
            <w:r>
              <w:rPr>
                <w:sz w:val="28"/>
                <w:szCs w:val="20"/>
                <w:lang w:eastAsia="zh-CN"/>
              </w:rPr>
              <w:t>1.5</w:t>
            </w:r>
            <w:r>
              <w:rPr>
                <w:rFonts w:hint="eastAsia"/>
                <w:sz w:val="28"/>
                <w:szCs w:val="20"/>
                <w:lang w:eastAsia="zh-CN"/>
              </w:rPr>
              <w:t>处</w:t>
            </w:r>
            <w:r>
              <w:rPr>
                <w:sz w:val="28"/>
                <w:szCs w:val="20"/>
                <w:lang w:eastAsia="zh-CN"/>
              </w:rPr>
              <w:t>/</w:t>
            </w:r>
            <w:r>
              <w:rPr>
                <w:rFonts w:hint="eastAsia"/>
                <w:sz w:val="28"/>
                <w:szCs w:val="20"/>
                <w:lang w:eastAsia="zh-CN"/>
              </w:rPr>
              <w:t>平方公里，动态淘汰失效设施；每年更新</w:t>
            </w:r>
            <w:r>
              <w:rPr>
                <w:sz w:val="28"/>
                <w:szCs w:val="20"/>
                <w:lang w:eastAsia="zh-CN"/>
              </w:rPr>
              <w:t>10%-15%</w:t>
            </w:r>
            <w:r>
              <w:rPr>
                <w:rFonts w:hint="eastAsia"/>
                <w:sz w:val="28"/>
                <w:szCs w:val="20"/>
                <w:lang w:eastAsia="zh-CN"/>
              </w:rPr>
              <w:t>宣传内容，强化火险精准推送；实现防火知识全民触达率</w:t>
            </w:r>
            <w:r>
              <w:rPr>
                <w:sz w:val="28"/>
                <w:szCs w:val="20"/>
                <w:lang w:eastAsia="zh-CN"/>
              </w:rPr>
              <w:t>100%</w:t>
            </w:r>
            <w:r>
              <w:rPr>
                <w:rFonts w:hint="eastAsia"/>
                <w:sz w:val="28"/>
                <w:szCs w:val="20"/>
                <w:lang w:eastAsia="zh-CN"/>
              </w:rPr>
              <w:t>，形成常态化生态安全意识。</w:t>
            </w:r>
            <w:bookmarkEnd w:id="125"/>
          </w:p>
        </w:tc>
      </w:tr>
    </w:tbl>
    <w:p>
      <w:pPr>
        <w:pStyle w:val="6"/>
        <w:ind w:firstLine="643"/>
      </w:pPr>
      <w:r>
        <w:t>2.</w:t>
      </w:r>
      <w:r>
        <w:rPr>
          <w:rFonts w:hint="eastAsia"/>
        </w:rPr>
        <w:t>科普宣传教育场所建设</w:t>
      </w:r>
    </w:p>
    <w:p>
      <w:pPr>
        <w:ind w:firstLine="640"/>
        <w:rPr>
          <w:lang w:eastAsia="zh-CN"/>
        </w:rPr>
      </w:pPr>
      <w:r>
        <w:rPr>
          <w:rFonts w:hint="eastAsia"/>
          <w:lang w:eastAsia="zh-CN"/>
        </w:rPr>
        <w:t>聚焦智能化基础设施建设，通州区打造“监测—宣教”一体化实体网络，推动森林防火宣教向智慧化、场景化转型。</w:t>
      </w:r>
    </w:p>
    <w:p>
      <w:pPr>
        <w:ind w:firstLine="640"/>
        <w:rPr>
          <w:lang w:eastAsia="zh-CN"/>
        </w:rPr>
      </w:pPr>
      <w:r>
        <w:rPr>
          <w:rFonts w:hint="eastAsia"/>
          <w:lang w:eastAsia="zh-CN"/>
        </w:rPr>
        <w:t>在市行政办公区周边生态林带、宋庄文创区、台湖演艺小镇等重点区域结合现有宣教场所，布设</w:t>
      </w:r>
      <w:r>
        <w:rPr>
          <w:lang w:eastAsia="zh-CN"/>
        </w:rPr>
        <w:t>25</w:t>
      </w:r>
      <w:r>
        <w:rPr>
          <w:rFonts w:hint="eastAsia"/>
          <w:lang w:eastAsia="zh-CN"/>
        </w:rPr>
        <w:t>个森林防火智能宣教节点，集成红外热成像监测与科普功能。依托现有林火视频监控系统，配套电子沙盘、实时火险显示屏和</w:t>
      </w:r>
      <w:r>
        <w:rPr>
          <w:lang w:eastAsia="zh-CN"/>
        </w:rPr>
        <w:t>4D</w:t>
      </w:r>
      <w:r>
        <w:rPr>
          <w:rFonts w:hint="eastAsia"/>
          <w:lang w:eastAsia="zh-CN"/>
        </w:rPr>
        <w:t>沉浸式灭火模拟系统，实现监测可视化、预警即时化、科普场景化；同步配置智能语音导览与互动查询终端，提升公众参与体验。</w:t>
      </w:r>
    </w:p>
    <w:p>
      <w:pPr>
        <w:ind w:firstLine="640"/>
        <w:rPr>
          <w:lang w:eastAsia="zh-CN"/>
        </w:rPr>
      </w:pPr>
      <w:r>
        <w:rPr>
          <w:rFonts w:hint="eastAsia"/>
          <w:lang w:eastAsia="zh-CN"/>
        </w:rPr>
        <w:t>规划建设潞城、永乐店、西集</w:t>
      </w:r>
      <w:r>
        <w:rPr>
          <w:lang w:eastAsia="zh-CN"/>
        </w:rPr>
        <w:t>3</w:t>
      </w:r>
      <w:r>
        <w:rPr>
          <w:rFonts w:hint="eastAsia"/>
          <w:lang w:eastAsia="zh-CN"/>
        </w:rPr>
        <w:t>处区级科普教育基地，形成“东—中—西”空间布局。基地按人群分设功能区：儿童区以</w:t>
      </w:r>
      <w:r>
        <w:rPr>
          <w:lang w:eastAsia="zh-CN"/>
        </w:rPr>
        <w:t>AR</w:t>
      </w:r>
      <w:r>
        <w:rPr>
          <w:rFonts w:hint="eastAsia"/>
          <w:lang w:eastAsia="zh-CN"/>
        </w:rPr>
        <w:t>游戏、标识认知墙强化安全启蒙；青少年区设灭火模拟与烟雾逃生体验；成人区通过案例警示与应急实训开展情景教学。</w:t>
      </w:r>
    </w:p>
    <w:p>
      <w:pPr>
        <w:ind w:firstLine="640"/>
        <w:rPr>
          <w:lang w:eastAsia="zh-CN"/>
        </w:rPr>
      </w:pPr>
      <w:r>
        <w:rPr>
          <w:rFonts w:hint="eastAsia"/>
          <w:lang w:eastAsia="zh-CN"/>
        </w:rPr>
        <w:t>所有节点和基地可实时联动火险与热点数据，并配备专业解说团队，实行持证上岗与年度进阶培训，确保宣教内容权威、专业、高效。通过智能设施、空间布局与专业支撑协同发力，构建全民可感、平战结合的智慧防火宣教体系。</w:t>
      </w:r>
    </w:p>
    <w:p>
      <w:pPr>
        <w:pStyle w:val="6"/>
        <w:ind w:firstLine="643"/>
      </w:pPr>
      <w:r>
        <w:t>3.</w:t>
      </w:r>
      <w:r>
        <w:rPr>
          <w:rFonts w:hint="eastAsia"/>
        </w:rPr>
        <w:t>森林防火宣教活动</w:t>
      </w:r>
    </w:p>
    <w:p>
      <w:pPr>
        <w:ind w:firstLine="640"/>
        <w:rPr>
          <w:lang w:eastAsia="zh-CN"/>
        </w:rPr>
      </w:pPr>
      <w:r>
        <w:rPr>
          <w:rFonts w:hint="eastAsia"/>
          <w:lang w:eastAsia="zh-CN"/>
        </w:rPr>
        <w:t>规划期间通州区将着力构建系统化、分众化、常态化的森林防火宣传教育体系，科学设计内容、精准覆盖人群、强化协同推进，切实将防火理念转化为社会共识与行动自觉，全面提升全民森林防火意识。</w:t>
      </w:r>
    </w:p>
    <w:p>
      <w:pPr>
        <w:ind w:firstLine="643"/>
        <w:rPr>
          <w:lang w:eastAsia="zh-CN"/>
        </w:rPr>
      </w:pPr>
      <w:r>
        <w:rPr>
          <w:rFonts w:hint="eastAsia"/>
          <w:b/>
          <w:bCs/>
          <w:lang w:eastAsia="zh-CN"/>
        </w:rPr>
        <w:t>健全常态宣教机制，强化协同推进。</w:t>
      </w:r>
      <w:r>
        <w:rPr>
          <w:rFonts w:hint="eastAsia"/>
          <w:lang w:eastAsia="zh-CN"/>
        </w:rPr>
        <w:t>建立“四季有主题、月月有活动”的常态化机制，由区园林绿化局牵头，联合教育、应急等部门制定年度宣教方案，明确覆盖学校、街道、乡镇的任务目标与考核要求。每年组织</w:t>
      </w:r>
      <w:r>
        <w:rPr>
          <w:lang w:eastAsia="zh-CN"/>
        </w:rPr>
        <w:t>3</w:t>
      </w:r>
      <w:r>
        <w:rPr>
          <w:rFonts w:hint="eastAsia"/>
          <w:lang w:eastAsia="zh-CN"/>
        </w:rPr>
        <w:t>次大型综合性活动，面向中小学生、社区居民、林区农户及户外爱好者等重点群体，采用“知识闯关</w:t>
      </w:r>
      <w:r>
        <w:rPr>
          <w:lang w:eastAsia="zh-CN"/>
        </w:rPr>
        <w:t>+</w:t>
      </w:r>
      <w:r>
        <w:rPr>
          <w:rFonts w:hint="eastAsia"/>
          <w:lang w:eastAsia="zh-CN"/>
        </w:rPr>
        <w:t>实操演练”形式，增强参与感与实效性，推动公众从认知向行动转化。</w:t>
      </w:r>
    </w:p>
    <w:p>
      <w:pPr>
        <w:ind w:firstLine="643"/>
        <w:rPr>
          <w:lang w:eastAsia="zh-CN"/>
        </w:rPr>
      </w:pPr>
      <w:r>
        <w:rPr>
          <w:rFonts w:hint="eastAsia"/>
          <w:b/>
          <w:bCs/>
          <w:lang w:eastAsia="zh-CN"/>
        </w:rPr>
        <w:t>深化校园防火教育，夯实青少年安全根基。</w:t>
      </w:r>
      <w:r>
        <w:rPr>
          <w:rFonts w:hint="eastAsia"/>
          <w:lang w:eastAsia="zh-CN"/>
        </w:rPr>
        <w:t>将森林防火纳入学校安全必修内容，实施分学段课程建设，每学年保障</w:t>
      </w:r>
      <w:r>
        <w:rPr>
          <w:lang w:eastAsia="zh-CN"/>
        </w:rPr>
        <w:t>4</w:t>
      </w:r>
      <w:r>
        <w:rPr>
          <w:rFonts w:hint="eastAsia"/>
          <w:lang w:eastAsia="zh-CN"/>
        </w:rPr>
        <w:t>课时教学，配套主题班会、夏令营等实践活动，建立测评机制并将结果纳入学校安全考核，每年评选表彰</w:t>
      </w:r>
      <w:r>
        <w:rPr>
          <w:lang w:eastAsia="zh-CN"/>
        </w:rPr>
        <w:t>100</w:t>
      </w:r>
      <w:r>
        <w:rPr>
          <w:rFonts w:hint="eastAsia"/>
          <w:lang w:eastAsia="zh-CN"/>
        </w:rPr>
        <w:t>名“森林防火小卫士”，发挥示范带动作用。</w:t>
      </w:r>
    </w:p>
    <w:p>
      <w:pPr>
        <w:ind w:firstLine="643"/>
        <w:rPr>
          <w:lang w:eastAsia="zh-CN"/>
        </w:rPr>
      </w:pPr>
      <w:r>
        <w:rPr>
          <w:rFonts w:hint="eastAsia"/>
          <w:b/>
          <w:bCs/>
          <w:lang w:eastAsia="zh-CN"/>
        </w:rPr>
        <w:t>完善志愿服务体系，延伸宣传触角。</w:t>
      </w:r>
      <w:r>
        <w:rPr>
          <w:rFonts w:hint="eastAsia"/>
          <w:lang w:eastAsia="zh-CN"/>
        </w:rPr>
        <w:t>构建区、镇（乡）、村（社区）三级志愿服务网络，组建区级总队及</w:t>
      </w:r>
      <w:r>
        <w:rPr>
          <w:lang w:eastAsia="zh-CN"/>
        </w:rPr>
        <w:t>24</w:t>
      </w:r>
      <w:r>
        <w:rPr>
          <w:rFonts w:hint="eastAsia"/>
          <w:lang w:eastAsia="zh-CN"/>
        </w:rPr>
        <w:t>个基层分队，规范招募、培训与服务标准。日常开展社区宣讲、林区巡查；针对老年人、务工人员等群体，开展方言入户宣传和</w:t>
      </w:r>
      <w:r>
        <w:rPr>
          <w:lang w:eastAsia="zh-CN"/>
        </w:rPr>
        <w:t>“</w:t>
      </w:r>
      <w:r>
        <w:rPr>
          <w:rFonts w:hint="eastAsia"/>
          <w:lang w:eastAsia="zh-CN"/>
        </w:rPr>
        <w:t>火种回收</w:t>
      </w:r>
      <w:r>
        <w:rPr>
          <w:lang w:eastAsia="zh-CN"/>
        </w:rPr>
        <w:t>”</w:t>
      </w:r>
      <w:r>
        <w:rPr>
          <w:rFonts w:hint="eastAsia"/>
          <w:lang w:eastAsia="zh-CN"/>
        </w:rPr>
        <w:t>便民服务；同步组建新媒体志愿团，制作短视频等科普内容，拓展线上传播渠道，提升宣传广度与亲和力。</w:t>
      </w:r>
    </w:p>
    <w:p>
      <w:pPr>
        <w:ind w:firstLine="643"/>
        <w:rPr>
          <w:lang w:eastAsia="zh-CN"/>
        </w:rPr>
      </w:pPr>
      <w:r>
        <w:rPr>
          <w:rFonts w:hint="eastAsia"/>
          <w:b/>
          <w:bCs/>
          <w:lang w:eastAsia="zh-CN"/>
        </w:rPr>
        <w:t>聚焦重点时段，实施精准防控宣传。</w:t>
      </w:r>
      <w:r>
        <w:rPr>
          <w:rFonts w:hint="eastAsia"/>
          <w:lang w:eastAsia="zh-CN"/>
        </w:rPr>
        <w:t>结合火险季节规律动态调整宣传策略：春季防火期强化野外用火管控宣传，清明期间倡导</w:t>
      </w:r>
      <w:r>
        <w:rPr>
          <w:lang w:eastAsia="zh-CN"/>
        </w:rPr>
        <w:t>“</w:t>
      </w:r>
      <w:r>
        <w:rPr>
          <w:rFonts w:hint="eastAsia"/>
          <w:lang w:eastAsia="zh-CN"/>
        </w:rPr>
        <w:t>无烟祭扫</w:t>
      </w:r>
      <w:r>
        <w:rPr>
          <w:lang w:eastAsia="zh-CN"/>
        </w:rPr>
        <w:t>”</w:t>
      </w:r>
      <w:r>
        <w:rPr>
          <w:rFonts w:hint="eastAsia"/>
          <w:lang w:eastAsia="zh-CN"/>
        </w:rPr>
        <w:t>，秋季重点普及农事用火规范，严防秸秆焚烧等风险。通过高风险期高频次、靶向性宣传，确保防火意识入脑入心、行为规范落地见效。</w:t>
      </w:r>
    </w:p>
    <w:p>
      <w:pPr>
        <w:pStyle w:val="6"/>
        <w:ind w:firstLine="643"/>
      </w:pPr>
      <w:r>
        <w:t>4.</w:t>
      </w:r>
      <w:r>
        <w:rPr>
          <w:rFonts w:hint="eastAsia"/>
        </w:rPr>
        <w:t>创新森林防火宣传形式</w:t>
      </w:r>
    </w:p>
    <w:p>
      <w:pPr>
        <w:ind w:firstLine="643"/>
        <w:rPr>
          <w:lang w:eastAsia="zh-CN"/>
        </w:rPr>
      </w:pPr>
      <w:r>
        <w:rPr>
          <w:rFonts w:hint="eastAsia"/>
          <w:b/>
          <w:bCs/>
          <w:lang w:eastAsia="zh-CN"/>
        </w:rPr>
        <w:t>推动防火教育融入国民教育体系。</w:t>
      </w:r>
      <w:r>
        <w:rPr>
          <w:rFonts w:hint="eastAsia"/>
          <w:lang w:eastAsia="zh-CN"/>
        </w:rPr>
        <w:t>分学段推进课程融合：小学低年级开发动画绘本课程，启蒙火灾危害认知；高年级配套灭火器材</w:t>
      </w:r>
      <w:r>
        <w:rPr>
          <w:lang w:eastAsia="zh-CN"/>
        </w:rPr>
        <w:t>AR</w:t>
      </w:r>
      <w:r>
        <w:rPr>
          <w:rFonts w:hint="eastAsia"/>
          <w:lang w:eastAsia="zh-CN"/>
        </w:rPr>
        <w:t>操作指南，强化实践体验；初中阶段引入生态安全跨学科项目式学习，引导学生主动探究森林防火与生态文明的关联，实现知识传递由“被动接收”向“主动建构”转变。</w:t>
      </w:r>
    </w:p>
    <w:p>
      <w:pPr>
        <w:ind w:firstLine="643"/>
        <w:rPr>
          <w:lang w:eastAsia="zh-CN"/>
        </w:rPr>
      </w:pPr>
      <w:r>
        <w:rPr>
          <w:rFonts w:hint="eastAsia"/>
          <w:b/>
          <w:bCs/>
          <w:lang w:eastAsia="zh-CN"/>
        </w:rPr>
        <w:t>构建智能感知与服务平台。</w:t>
      </w:r>
      <w:r>
        <w:rPr>
          <w:rFonts w:hint="eastAsia"/>
          <w:lang w:eastAsia="zh-CN"/>
        </w:rPr>
        <w:t>在森林步道关键节点部署</w:t>
      </w:r>
      <w:r>
        <w:rPr>
          <w:lang w:eastAsia="zh-CN"/>
        </w:rPr>
        <w:t>AI</w:t>
      </w:r>
      <w:r>
        <w:rPr>
          <w:rFonts w:hint="eastAsia"/>
          <w:lang w:eastAsia="zh-CN"/>
        </w:rPr>
        <w:t>语音提示装置，结合人脸识别技术，对</w:t>
      </w:r>
      <w:r>
        <w:rPr>
          <w:lang w:eastAsia="zh-CN"/>
        </w:rPr>
        <w:t>50</w:t>
      </w:r>
      <w:r>
        <w:rPr>
          <w:rFonts w:hint="eastAsia"/>
          <w:lang w:eastAsia="zh-CN"/>
        </w:rPr>
        <w:t>米范围内游客自动触发分级语音提醒，实现“林区禁火”基础警示与携带火种行为的实时劝阻。同步上线“通州森林防火”微信小程序，集成火险预警（对接气象实时数据）、隐患“随手拍”（</w:t>
      </w:r>
      <w:r>
        <w:rPr>
          <w:lang w:eastAsia="zh-CN"/>
        </w:rPr>
        <w:t>30</w:t>
      </w:r>
      <w:r>
        <w:rPr>
          <w:rFonts w:hint="eastAsia"/>
          <w:lang w:eastAsia="zh-CN"/>
        </w:rPr>
        <w:t>分钟闭环响应）、应急导航（智能规划逃生路径）等核心功能，并与“北京通”平台互通，市民上报隐患可兑换生态积分，激发公众参与积极性。</w:t>
      </w:r>
    </w:p>
    <w:p>
      <w:pPr>
        <w:ind w:firstLine="643"/>
        <w:rPr>
          <w:lang w:eastAsia="zh-CN"/>
        </w:rPr>
      </w:pPr>
      <w:r>
        <w:rPr>
          <w:rFonts w:hint="eastAsia"/>
          <w:b/>
          <w:bCs/>
          <w:lang w:eastAsia="zh-CN"/>
        </w:rPr>
        <w:t>打造沉浸式体验传播网络。</w:t>
      </w:r>
      <w:r>
        <w:rPr>
          <w:rFonts w:hint="eastAsia"/>
          <w:lang w:eastAsia="zh-CN"/>
        </w:rPr>
        <w:t>在区级科普基地配置</w:t>
      </w:r>
      <w:r>
        <w:rPr>
          <w:lang w:eastAsia="zh-CN"/>
        </w:rPr>
        <w:t>4K</w:t>
      </w:r>
      <w:r>
        <w:rPr>
          <w:rFonts w:hint="eastAsia"/>
          <w:lang w:eastAsia="zh-CN"/>
        </w:rPr>
        <w:t>级</w:t>
      </w:r>
      <w:r>
        <w:rPr>
          <w:lang w:eastAsia="zh-CN"/>
        </w:rPr>
        <w:t>VR</w:t>
      </w:r>
      <w:r>
        <w:rPr>
          <w:rFonts w:hint="eastAsia"/>
          <w:lang w:eastAsia="zh-CN"/>
        </w:rPr>
        <w:t>体验舱，开发林火演变模拟、灭火战术推演等六大核心场景；调配</w:t>
      </w:r>
      <w:r>
        <w:rPr>
          <w:lang w:eastAsia="zh-CN"/>
        </w:rPr>
        <w:t>3</w:t>
      </w:r>
      <w:r>
        <w:rPr>
          <w:rFonts w:hint="eastAsia"/>
          <w:lang w:eastAsia="zh-CN"/>
        </w:rPr>
        <w:t>台</w:t>
      </w:r>
      <w:r>
        <w:rPr>
          <w:lang w:eastAsia="zh-CN"/>
        </w:rPr>
        <w:t>VR</w:t>
      </w:r>
      <w:r>
        <w:rPr>
          <w:rFonts w:hint="eastAsia"/>
          <w:lang w:eastAsia="zh-CN"/>
        </w:rPr>
        <w:t>宣传车，按“</w:t>
      </w:r>
      <w:r>
        <w:rPr>
          <w:lang w:eastAsia="zh-CN"/>
        </w:rPr>
        <w:t>1</w:t>
      </w:r>
      <w:r>
        <w:rPr>
          <w:rFonts w:hint="eastAsia"/>
          <w:lang w:eastAsia="zh-CN"/>
        </w:rPr>
        <w:t>车覆盖</w:t>
      </w:r>
      <w:r>
        <w:rPr>
          <w:lang w:eastAsia="zh-CN"/>
        </w:rPr>
        <w:t>3</w:t>
      </w:r>
      <w:r>
        <w:rPr>
          <w:rFonts w:hint="eastAsia"/>
          <w:lang w:eastAsia="zh-CN"/>
        </w:rPr>
        <w:t>片”模式巡回</w:t>
      </w:r>
      <w:r>
        <w:rPr>
          <w:lang w:eastAsia="zh-CN"/>
        </w:rPr>
        <w:t>11</w:t>
      </w:r>
      <w:r>
        <w:rPr>
          <w:rFonts w:hint="eastAsia"/>
          <w:lang w:eastAsia="zh-CN"/>
        </w:rPr>
        <w:t>个乡镇，开展“森林安全进社区”活动，单日服务超</w:t>
      </w:r>
      <w:r>
        <w:rPr>
          <w:lang w:eastAsia="zh-CN"/>
        </w:rPr>
        <w:t>500</w:t>
      </w:r>
      <w:r>
        <w:rPr>
          <w:rFonts w:hint="eastAsia"/>
          <w:lang w:eastAsia="zh-CN"/>
        </w:rPr>
        <w:t>人次，推动优质宣教资源下沉基层。</w:t>
      </w:r>
    </w:p>
    <w:p>
      <w:pPr>
        <w:ind w:firstLine="643"/>
        <w:rPr>
          <w:lang w:eastAsia="zh-CN"/>
        </w:rPr>
      </w:pPr>
      <w:r>
        <w:rPr>
          <w:rFonts w:hint="eastAsia"/>
          <w:b/>
          <w:bCs/>
          <w:lang w:eastAsia="zh-CN"/>
        </w:rPr>
        <w:t>构建精准化融媒体传播矩阵。</w:t>
      </w:r>
      <w:r>
        <w:rPr>
          <w:rFonts w:hint="eastAsia"/>
          <w:lang w:eastAsia="zh-CN"/>
        </w:rPr>
        <w:t>实施“</w:t>
      </w:r>
      <w:r>
        <w:rPr>
          <w:lang w:eastAsia="zh-CN"/>
        </w:rPr>
        <w:t>IP</w:t>
      </w:r>
      <w:r>
        <w:rPr>
          <w:rFonts w:hint="eastAsia"/>
          <w:lang w:eastAsia="zh-CN"/>
        </w:rPr>
        <w:t>矩阵工程”，打造“通州森林防火”品牌形象：开展“市民代言”视频接力（年征集超</w:t>
      </w:r>
      <w:r>
        <w:rPr>
          <w:lang w:eastAsia="zh-CN"/>
        </w:rPr>
        <w:t>2000</w:t>
      </w:r>
      <w:r>
        <w:rPr>
          <w:rFonts w:hint="eastAsia"/>
          <w:lang w:eastAsia="zh-CN"/>
        </w:rPr>
        <w:t>条）、“火险监测直播间”实时公开监控画面、抖音防火知识挑战赛等互动活动；依托大数据分析，面向户外爱好者精准推送野外用火警示动画，为老年群体定制广播剧内容，实现宣传内容分众触达、精准有效。</w:t>
      </w:r>
    </w:p>
    <w:p>
      <w:pPr>
        <w:pStyle w:val="5"/>
        <w:ind w:firstLineChars="0"/>
      </w:pPr>
      <w:bookmarkStart w:id="126" w:name="_Toc213072521"/>
      <w:bookmarkStart w:id="127" w:name="_Toc209952542"/>
      <w:r>
        <w:rPr>
          <w:rFonts w:hint="eastAsia"/>
        </w:rPr>
        <w:t>（三）森林防火应急道路提升改造</w:t>
      </w:r>
      <w:bookmarkEnd w:id="126"/>
      <w:bookmarkEnd w:id="127"/>
    </w:p>
    <w:p>
      <w:pPr>
        <w:ind w:firstLine="640"/>
        <w:rPr>
          <w:lang w:eastAsia="zh-CN"/>
        </w:rPr>
      </w:pPr>
      <w:r>
        <w:rPr>
          <w:rFonts w:hint="eastAsia"/>
          <w:lang w:eastAsia="zh-CN"/>
        </w:rPr>
        <w:t>规划期内利用现有防火道路，以完善林区内防火支道为主，优先修复、改造、升级林区废弃的集材路和简易路，适当连通断头路，在各镇林场和火灾易发多发区建设森林防火道路，构建便捷、通达的防火道路网络，实现扑火队半小时到达火场。</w:t>
      </w:r>
    </w:p>
    <w:p>
      <w:pPr>
        <w:kinsoku/>
        <w:autoSpaceDE/>
        <w:autoSpaceDN/>
        <w:adjustRightInd/>
        <w:snapToGrid/>
        <w:spacing w:before="0" w:after="0" w:line="240" w:lineRule="auto"/>
        <w:ind w:firstLine="652" w:firstLineChars="0"/>
        <w:jc w:val="left"/>
        <w:textAlignment w:val="auto"/>
        <w:rPr>
          <w:lang w:eastAsia="zh-CN"/>
        </w:rPr>
      </w:pPr>
      <w:r>
        <w:rPr>
          <w:rFonts w:hint="eastAsia"/>
          <w:lang w:eastAsia="zh-CN"/>
        </w:rPr>
        <w:t>未来</w:t>
      </w:r>
      <w:r>
        <w:rPr>
          <w:lang w:eastAsia="zh-CN"/>
        </w:rPr>
        <w:t>10</w:t>
      </w:r>
      <w:r>
        <w:rPr>
          <w:rFonts w:hint="eastAsia"/>
          <w:lang w:eastAsia="zh-CN"/>
        </w:rPr>
        <w:t>年森林防火道路规划（</w:t>
      </w:r>
      <w:r>
        <w:rPr>
          <w:lang w:eastAsia="zh-CN"/>
        </w:rPr>
        <w:t>202</w:t>
      </w:r>
      <w:r>
        <w:rPr>
          <w:rFonts w:hint="eastAsia"/>
          <w:lang w:eastAsia="zh-CN"/>
        </w:rPr>
        <w:t>5</w:t>
      </w:r>
      <w:r>
        <w:rPr>
          <w:lang w:eastAsia="zh-CN"/>
        </w:rPr>
        <w:t>-2035</w:t>
      </w:r>
      <w:r>
        <w:rPr>
          <w:rFonts w:hint="eastAsia"/>
          <w:lang w:eastAsia="zh-CN"/>
        </w:rPr>
        <w:t>年）以“全域覆盖、智能高效、韧性可靠”为核心目标，分两阶段实施：</w:t>
      </w:r>
    </w:p>
    <w:p>
      <w:pPr>
        <w:kinsoku/>
        <w:autoSpaceDE/>
        <w:autoSpaceDN/>
        <w:adjustRightInd/>
        <w:snapToGrid/>
        <w:spacing w:before="0" w:after="0" w:line="240" w:lineRule="auto"/>
        <w:ind w:firstLine="652" w:firstLineChars="0"/>
        <w:textAlignment w:val="auto"/>
        <w:rPr>
          <w:lang w:eastAsia="zh-CN"/>
        </w:rPr>
      </w:pPr>
      <w:r>
        <w:rPr>
          <w:rFonts w:hint="eastAsia"/>
          <w:lang w:eastAsia="zh-CN"/>
        </w:rPr>
        <w:t>第一阶段（</w:t>
      </w:r>
      <w:r>
        <w:rPr>
          <w:lang w:eastAsia="zh-CN"/>
        </w:rPr>
        <w:t>202</w:t>
      </w:r>
      <w:r>
        <w:rPr>
          <w:rFonts w:hint="eastAsia"/>
          <w:lang w:eastAsia="zh-CN"/>
        </w:rPr>
        <w:t>5</w:t>
      </w:r>
      <w:r>
        <w:rPr>
          <w:lang w:eastAsia="zh-CN"/>
        </w:rPr>
        <w:t>-20</w:t>
      </w:r>
      <w:r>
        <w:rPr>
          <w:rFonts w:hint="eastAsia"/>
          <w:lang w:eastAsia="zh-CN"/>
        </w:rPr>
        <w:t>28年）推进重点防火区域道路提升改造200公里，实现林区内道路完全贯通，建立常态化维护机制；完成新造林区路网延伸，实现与区级主干道无缝衔接。第二阶段（</w:t>
      </w:r>
      <w:r>
        <w:rPr>
          <w:lang w:eastAsia="zh-CN"/>
        </w:rPr>
        <w:t>202</w:t>
      </w:r>
      <w:r>
        <w:rPr>
          <w:rFonts w:hint="eastAsia"/>
          <w:lang w:eastAsia="zh-CN"/>
        </w:rPr>
        <w:t>9</w:t>
      </w:r>
      <w:r>
        <w:rPr>
          <w:lang w:eastAsia="zh-CN"/>
        </w:rPr>
        <w:t>-203</w:t>
      </w:r>
      <w:r>
        <w:rPr>
          <w:rFonts w:hint="eastAsia"/>
          <w:lang w:eastAsia="zh-CN"/>
        </w:rPr>
        <w:t>2年）开发“防火道路</w:t>
      </w:r>
      <w:r>
        <w:rPr>
          <w:lang w:eastAsia="zh-CN"/>
        </w:rPr>
        <w:t>APP</w:t>
      </w:r>
      <w:r>
        <w:rPr>
          <w:rFonts w:hint="eastAsia"/>
          <w:lang w:eastAsia="zh-CN"/>
        </w:rPr>
        <w:t>”，提升巡护与应急调度效率；制定《森林防火道路维护管理办法》，明确管护责任，动态优化路网布局。最终构建“外联国省道、内通林班户”的立体化防火道路体系，全面提升森林火灾综合防控能力。</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widowControl w:val="0"/>
              <w:ind w:firstLine="0" w:firstLineChars="0"/>
              <w:jc w:val="center"/>
              <w:rPr>
                <w:b/>
                <w:bCs/>
                <w:lang w:eastAsia="zh-CN"/>
              </w:rPr>
            </w:pPr>
            <w:bookmarkStart w:id="128" w:name="_Hlk209950535"/>
            <w:r>
              <w:rPr>
                <w:rFonts w:hint="eastAsia"/>
                <w:b/>
                <w:bCs/>
                <w:lang w:eastAsia="zh-CN"/>
              </w:rPr>
              <w:t>专栏</w:t>
            </w:r>
            <w:r>
              <w:rPr>
                <w:b/>
                <w:bCs/>
                <w:lang w:eastAsia="zh-CN"/>
              </w:rPr>
              <w:t xml:space="preserve">1  </w:t>
            </w:r>
            <w:r>
              <w:rPr>
                <w:rFonts w:hint="eastAsia"/>
                <w:b/>
                <w:bCs/>
                <w:lang w:eastAsia="zh-CN"/>
              </w:rPr>
              <w:t>森林防火应急道路建设重点项目</w:t>
            </w:r>
          </w:p>
          <w:p>
            <w:pPr>
              <w:widowControl w:val="0"/>
              <w:ind w:firstLine="562"/>
              <w:rPr>
                <w:sz w:val="28"/>
                <w:szCs w:val="20"/>
                <w:lang w:eastAsia="zh-CN"/>
              </w:rPr>
            </w:pPr>
            <w:r>
              <w:rPr>
                <w:b/>
                <w:bCs/>
                <w:sz w:val="28"/>
                <w:szCs w:val="20"/>
                <w:lang w:eastAsia="zh-CN"/>
              </w:rPr>
              <w:t>1.</w:t>
            </w:r>
            <w:r>
              <w:rPr>
                <w:rFonts w:hint="eastAsia"/>
                <w:b/>
                <w:bCs/>
                <w:sz w:val="28"/>
                <w:szCs w:val="20"/>
                <w:lang w:eastAsia="zh-CN"/>
              </w:rPr>
              <w:t>防火道路通达工程（</w:t>
            </w:r>
            <w:r>
              <w:rPr>
                <w:b/>
                <w:bCs/>
                <w:sz w:val="28"/>
                <w:szCs w:val="20"/>
                <w:lang w:eastAsia="zh-CN"/>
              </w:rPr>
              <w:t>202</w:t>
            </w:r>
            <w:r>
              <w:rPr>
                <w:rFonts w:hint="eastAsia"/>
                <w:b/>
                <w:bCs/>
                <w:sz w:val="28"/>
                <w:szCs w:val="20"/>
                <w:lang w:eastAsia="zh-CN"/>
              </w:rPr>
              <w:t>5–</w:t>
            </w:r>
            <w:r>
              <w:rPr>
                <w:b/>
                <w:bCs/>
                <w:sz w:val="28"/>
                <w:szCs w:val="20"/>
                <w:lang w:eastAsia="zh-CN"/>
              </w:rPr>
              <w:t>202</w:t>
            </w:r>
            <w:r>
              <w:rPr>
                <w:rFonts w:hint="eastAsia"/>
                <w:b/>
                <w:bCs/>
                <w:sz w:val="28"/>
                <w:szCs w:val="20"/>
                <w:lang w:eastAsia="zh-CN"/>
              </w:rPr>
              <w:t>8年）。</w:t>
            </w:r>
            <w:r>
              <w:rPr>
                <w:rFonts w:hint="eastAsia"/>
                <w:sz w:val="28"/>
                <w:szCs w:val="20"/>
                <w:lang w:eastAsia="zh-CN"/>
              </w:rPr>
              <w:t>建成结构合理、通行顺畅的基础路网，并配套建立常态化养护机制。聚焦重点防火区域，系统推进林区防火道路升级改造，全面打通断头路、硬化薄弱路段，实现林区内防火道路100%贯通；同步建设新造林区路网延伸工程，确保新建林区道路与区级主干道无缝衔接。</w:t>
            </w:r>
          </w:p>
          <w:p>
            <w:pPr>
              <w:widowControl w:val="0"/>
              <w:kinsoku/>
              <w:ind w:firstLine="562"/>
              <w:rPr>
                <w:sz w:val="28"/>
                <w:szCs w:val="20"/>
                <w:lang w:eastAsia="zh-CN"/>
              </w:rPr>
            </w:pPr>
            <w:r>
              <w:rPr>
                <w:b/>
                <w:bCs/>
                <w:sz w:val="28"/>
                <w:szCs w:val="20"/>
                <w:lang w:eastAsia="zh-CN"/>
              </w:rPr>
              <w:t>2.</w:t>
            </w:r>
            <w:r>
              <w:rPr>
                <w:rFonts w:hint="eastAsia"/>
                <w:b/>
                <w:bCs/>
                <w:sz w:val="28"/>
                <w:szCs w:val="20"/>
                <w:lang w:eastAsia="zh-CN"/>
              </w:rPr>
              <w:t>智能韧性路网建设工程（</w:t>
            </w:r>
            <w:r>
              <w:rPr>
                <w:b/>
                <w:bCs/>
                <w:sz w:val="28"/>
                <w:szCs w:val="20"/>
                <w:lang w:eastAsia="zh-CN"/>
              </w:rPr>
              <w:t>2028</w:t>
            </w:r>
            <w:r>
              <w:rPr>
                <w:rFonts w:hint="eastAsia"/>
                <w:b/>
                <w:bCs/>
                <w:sz w:val="28"/>
                <w:szCs w:val="20"/>
                <w:lang w:eastAsia="zh-CN"/>
              </w:rPr>
              <w:t>–</w:t>
            </w:r>
            <w:r>
              <w:rPr>
                <w:b/>
                <w:bCs/>
                <w:sz w:val="28"/>
                <w:szCs w:val="20"/>
                <w:lang w:eastAsia="zh-CN"/>
              </w:rPr>
              <w:t>2035</w:t>
            </w:r>
            <w:r>
              <w:rPr>
                <w:rFonts w:hint="eastAsia"/>
                <w:b/>
                <w:bCs/>
                <w:sz w:val="28"/>
                <w:szCs w:val="20"/>
                <w:lang w:eastAsia="zh-CN"/>
              </w:rPr>
              <w:t>年）。</w:t>
            </w:r>
            <w:r>
              <w:rPr>
                <w:rFonts w:hint="eastAsia"/>
                <w:color w:val="000000" w:themeColor="text1"/>
                <w:sz w:val="28"/>
                <w:szCs w:val="20"/>
                <w:lang w:eastAsia="zh-CN"/>
                <w14:textFill>
                  <w14:solidFill>
                    <w14:schemeClr w14:val="tx1"/>
                  </w14:solidFill>
                </w14:textFill>
              </w:rPr>
              <w:t>通过“智慧+制度”双轮驱动，最终构建“外联国省道、内通林班户”的立体化、韧性化森林防火道路体系</w:t>
            </w:r>
            <w:r>
              <w:rPr>
                <w:rFonts w:hint="eastAsia"/>
                <w:sz w:val="28"/>
                <w:szCs w:val="20"/>
                <w:lang w:eastAsia="zh-CN"/>
              </w:rPr>
              <w:t>。开发“防火道路APP”智慧平台，集成道路状态监测、巡护轨迹管理、应急调度导航等功能，显著提升防火巡护效率与应急响应能力；同步制定出台《通州区森林防火道路维护管理办法》。</w:t>
            </w:r>
          </w:p>
        </w:tc>
      </w:tr>
      <w:bookmarkEnd w:id="128"/>
    </w:tbl>
    <w:p>
      <w:pPr>
        <w:pStyle w:val="3"/>
      </w:pPr>
      <w:bookmarkStart w:id="129" w:name="_Toc213072522"/>
      <w:r>
        <w:rPr>
          <w:rFonts w:hint="eastAsia"/>
        </w:rPr>
        <w:t>二、火灾早期处置体系建设</w:t>
      </w:r>
      <w:bookmarkEnd w:id="129"/>
    </w:p>
    <w:bookmarkEnd w:id="114"/>
    <w:p>
      <w:pPr>
        <w:pStyle w:val="5"/>
        <w:ind w:firstLine="643"/>
      </w:pPr>
      <w:bookmarkStart w:id="130" w:name="_Toc213072523"/>
      <w:bookmarkStart w:id="131" w:name="_Toc209952546"/>
      <w:r>
        <w:rPr>
          <w:rFonts w:hint="eastAsia"/>
        </w:rPr>
        <w:t>（一）森林防火通信指挥系统建设工程</w:t>
      </w:r>
      <w:bookmarkEnd w:id="130"/>
      <w:bookmarkEnd w:id="131"/>
    </w:p>
    <w:p>
      <w:pPr>
        <w:pStyle w:val="6"/>
        <w:ind w:firstLine="643"/>
      </w:pPr>
      <w:bookmarkStart w:id="132" w:name="_Toc209952547"/>
      <w:r>
        <w:t>1.</w:t>
      </w:r>
      <w:r>
        <w:rPr>
          <w:rFonts w:hint="eastAsia"/>
        </w:rPr>
        <w:t>建设</w:t>
      </w:r>
      <w:r>
        <w:t>400</w:t>
      </w:r>
      <w:r>
        <w:rPr>
          <w:rFonts w:hint="eastAsia"/>
        </w:rPr>
        <w:t>兆通信基站</w:t>
      </w:r>
      <w:bookmarkEnd w:id="132"/>
    </w:p>
    <w:p>
      <w:pPr>
        <w:ind w:firstLine="640"/>
        <w:rPr>
          <w:lang w:eastAsia="zh-CN"/>
        </w:rPr>
      </w:pPr>
      <w:r>
        <w:rPr>
          <w:rFonts w:hint="eastAsia"/>
          <w:lang w:eastAsia="zh-CN"/>
        </w:rPr>
        <w:t>针对通州区部分林区森林防火通信“最后一公里”覆盖不足的现状，规划期间将立足区域信息化发展基础，完善</w:t>
      </w:r>
      <w:r>
        <w:rPr>
          <w:lang w:eastAsia="zh-CN"/>
        </w:rPr>
        <w:t>400</w:t>
      </w:r>
      <w:r>
        <w:rPr>
          <w:rFonts w:hint="eastAsia"/>
          <w:lang w:eastAsia="zh-CN"/>
        </w:rPr>
        <w:t>兆通信基站网络，深度整合综合信息平台，切实强化全域通信保障能力，确保森林防火指挥调度高效畅通、应急响应精准有力，聚焦高火险区，在于家务林场、漷县湿地公园等区域新建</w:t>
      </w:r>
      <w:r>
        <w:rPr>
          <w:lang w:eastAsia="zh-CN"/>
        </w:rPr>
        <w:t>2</w:t>
      </w:r>
      <w:r>
        <w:rPr>
          <w:rFonts w:hint="eastAsia"/>
          <w:lang w:eastAsia="zh-CN"/>
        </w:rPr>
        <w:t>座基站，实现重点区域基础覆盖并消除主要通信盲区。</w:t>
      </w:r>
    </w:p>
    <w:p>
      <w:pPr>
        <w:pStyle w:val="6"/>
        <w:ind w:firstLine="643"/>
      </w:pPr>
      <w:bookmarkStart w:id="133" w:name="_Toc209952552"/>
      <w:r>
        <w:t>2.</w:t>
      </w:r>
      <w:r>
        <w:rPr>
          <w:rFonts w:hint="eastAsia"/>
        </w:rPr>
        <w:t>信息调度指挥平台</w:t>
      </w:r>
    </w:p>
    <w:p>
      <w:pPr>
        <w:autoSpaceDE/>
        <w:autoSpaceDN/>
        <w:ind w:firstLine="640"/>
        <w:rPr>
          <w:lang w:eastAsia="zh-CN"/>
        </w:rPr>
      </w:pPr>
      <w:r>
        <w:rPr>
          <w:rFonts w:hint="eastAsia"/>
          <w:lang w:eastAsia="zh-CN"/>
        </w:rPr>
        <w:t>规划期内，依托北京市森林防火综合通信系统和全市大数据平台，整合内外部基础地理信息、林区资源数据、气象火险信息及视频监控资源，建设统一高效的信息调度指挥平台。</w:t>
      </w:r>
    </w:p>
    <w:p>
      <w:pPr>
        <w:autoSpaceDE/>
        <w:autoSpaceDN/>
        <w:ind w:firstLine="640"/>
        <w:rPr>
          <w:lang w:eastAsia="zh-CN"/>
        </w:rPr>
      </w:pPr>
      <w:r>
        <w:rPr>
          <w:rFonts w:hint="eastAsia"/>
          <w:lang w:eastAsia="zh-CN"/>
        </w:rPr>
        <w:t>在现有市、区森林防火指挥部基础上，完善硬件支撑体系，规划建设管理信息输出视频会议系统</w:t>
      </w:r>
      <w:r>
        <w:rPr>
          <w:lang w:eastAsia="zh-CN"/>
        </w:rPr>
        <w:t>5</w:t>
      </w:r>
      <w:r>
        <w:rPr>
          <w:rFonts w:hint="eastAsia"/>
          <w:lang w:eastAsia="zh-CN"/>
        </w:rPr>
        <w:t>套、视频监控平台及配套存储服务器、高清解码器、流媒体服务器、管理工作站各</w:t>
      </w:r>
      <w:r>
        <w:rPr>
          <w:lang w:eastAsia="zh-CN"/>
        </w:rPr>
        <w:t>5</w:t>
      </w:r>
      <w:r>
        <w:rPr>
          <w:rFonts w:hint="eastAsia"/>
          <w:lang w:eastAsia="zh-CN"/>
        </w:rPr>
        <w:t>套；同步部署路由器、交换机、防火墙等网络设备，强化系统安全与通信保障，实现与应急、园林、气象、公安等协同单位的高效连通。</w:t>
      </w:r>
    </w:p>
    <w:p>
      <w:pPr>
        <w:autoSpaceDE/>
        <w:autoSpaceDN/>
        <w:ind w:firstLine="640"/>
        <w:rPr>
          <w:lang w:eastAsia="zh-CN"/>
        </w:rPr>
      </w:pPr>
      <w:r>
        <w:rPr>
          <w:rFonts w:hint="eastAsia"/>
          <w:lang w:eastAsia="zh-CN"/>
        </w:rPr>
        <w:t>围绕实战化指挥调度需求，部署大屏显示拼接系统</w:t>
      </w:r>
      <w:r>
        <w:rPr>
          <w:lang w:eastAsia="zh-CN"/>
        </w:rPr>
        <w:t>5</w:t>
      </w:r>
      <w:r>
        <w:rPr>
          <w:rFonts w:hint="eastAsia"/>
          <w:lang w:eastAsia="zh-CN"/>
        </w:rPr>
        <w:t>套，配套建设值班调度指挥台、电话调度系统、无线电台调度系统、录音系统及综合控制系统各</w:t>
      </w:r>
      <w:r>
        <w:rPr>
          <w:lang w:eastAsia="zh-CN"/>
        </w:rPr>
        <w:t>5</w:t>
      </w:r>
      <w:r>
        <w:rPr>
          <w:rFonts w:hint="eastAsia"/>
          <w:lang w:eastAsia="zh-CN"/>
        </w:rPr>
        <w:t>套；同步开发部署火险预警系统和林火地理信息系统，融合遥感、物联网与</w:t>
      </w:r>
      <w:r>
        <w:rPr>
          <w:lang w:eastAsia="zh-CN"/>
        </w:rPr>
        <w:t>GIS</w:t>
      </w:r>
      <w:r>
        <w:rPr>
          <w:rFonts w:hint="eastAsia"/>
          <w:lang w:eastAsia="zh-CN"/>
        </w:rPr>
        <w:t>技术，提升火情研判、路径规划与辅助决策的科学化、实时化水平。</w:t>
      </w:r>
    </w:p>
    <w:p>
      <w:pPr>
        <w:autoSpaceDE/>
        <w:autoSpaceDN/>
        <w:ind w:firstLine="640"/>
        <w:rPr>
          <w:lang w:eastAsia="zh-CN"/>
        </w:rPr>
      </w:pPr>
      <w:r>
        <w:rPr>
          <w:rFonts w:hint="eastAsia"/>
          <w:lang w:eastAsia="zh-CN"/>
        </w:rPr>
        <w:t>依托专业化运维团队，建立覆盖视频监控、指挥设备及业务应用系统的全生命周期运维机制，明确运维责任，安排专项运行维护经费，确保平台长期稳定高效运行。</w:t>
      </w:r>
    </w:p>
    <w:p>
      <w:pPr>
        <w:pStyle w:val="6"/>
        <w:ind w:firstLine="643"/>
      </w:pPr>
      <w:r>
        <w:t>3.</w:t>
      </w:r>
      <w:r>
        <w:rPr>
          <w:rFonts w:hint="eastAsia"/>
        </w:rPr>
        <w:t>卫星遥感监控预警指挥系统建设工程</w:t>
      </w:r>
    </w:p>
    <w:p>
      <w:pPr>
        <w:ind w:firstLine="640"/>
        <w:rPr>
          <w:color w:val="auto"/>
          <w:lang w:eastAsia="zh-CN"/>
        </w:rPr>
      </w:pPr>
      <w:r>
        <w:rPr>
          <w:rFonts w:hint="eastAsia"/>
          <w:color w:val="auto"/>
          <w:lang w:eastAsia="zh-CN"/>
        </w:rPr>
        <w:t>坚持“精准监测、实时响应、多维协同”原则，构建覆盖通州区全域森林资源的智能化卫星遥感监控预警体系。一是高频精准化，依托国家卫星资源实现</w:t>
      </w:r>
      <w:r>
        <w:rPr>
          <w:color w:val="auto"/>
          <w:lang w:eastAsia="zh-CN"/>
        </w:rPr>
        <w:t>10</w:t>
      </w:r>
      <w:r>
        <w:rPr>
          <w:rFonts w:hint="eastAsia"/>
          <w:color w:val="auto"/>
          <w:lang w:eastAsia="zh-CN"/>
        </w:rPr>
        <w:t>分钟</w:t>
      </w:r>
      <w:r>
        <w:rPr>
          <w:color w:val="auto"/>
          <w:lang w:eastAsia="zh-CN"/>
        </w:rPr>
        <w:t>/</w:t>
      </w:r>
      <w:r>
        <w:rPr>
          <w:rFonts w:hint="eastAsia"/>
          <w:color w:val="auto"/>
          <w:lang w:eastAsia="zh-CN"/>
        </w:rPr>
        <w:t>次观测频率，确保火点识别精度达</w:t>
      </w:r>
      <w:r>
        <w:rPr>
          <w:color w:val="auto"/>
          <w:lang w:eastAsia="zh-CN"/>
        </w:rPr>
        <w:t>20m</w:t>
      </w:r>
      <w:r>
        <w:rPr>
          <w:rFonts w:hint="eastAsia"/>
          <w:color w:val="auto"/>
          <w:lang w:eastAsia="zh-CN"/>
        </w:rPr>
        <w:t>×</w:t>
      </w:r>
      <w:r>
        <w:rPr>
          <w:color w:val="auto"/>
          <w:lang w:eastAsia="zh-CN"/>
        </w:rPr>
        <w:t>20m</w:t>
      </w:r>
      <w:r>
        <w:rPr>
          <w:rFonts w:hint="eastAsia"/>
          <w:color w:val="auto"/>
          <w:lang w:eastAsia="zh-CN"/>
        </w:rPr>
        <w:t>，满足早期火情快速捕捉需求；二是全域协同化，与北京市级统一通信指挥平台深度对接，实现“天</w:t>
      </w:r>
      <w:r>
        <w:rPr>
          <w:color w:val="auto"/>
          <w:lang w:eastAsia="zh-CN"/>
        </w:rPr>
        <w:t>-</w:t>
      </w:r>
      <w:r>
        <w:rPr>
          <w:rFonts w:hint="eastAsia"/>
          <w:color w:val="auto"/>
          <w:lang w:eastAsia="zh-CN"/>
        </w:rPr>
        <w:t>空</w:t>
      </w:r>
      <w:r>
        <w:rPr>
          <w:color w:val="auto"/>
          <w:lang w:eastAsia="zh-CN"/>
        </w:rPr>
        <w:t>-</w:t>
      </w:r>
      <w:r>
        <w:rPr>
          <w:rFonts w:hint="eastAsia"/>
          <w:color w:val="auto"/>
          <w:lang w:eastAsia="zh-CN"/>
        </w:rPr>
        <w:t>地”数据融合，重点强化对边远林区、生态保育区的无死角覆盖；三是实战导向化，以扑火决策支持为核心，集成气象、地理信息分析模块，为火场态势推演、资源调度提供动态数据支撑。</w:t>
      </w:r>
    </w:p>
    <w:p>
      <w:pPr>
        <w:ind w:firstLine="640"/>
        <w:rPr>
          <w:color w:val="auto"/>
          <w:lang w:eastAsia="zh-CN"/>
        </w:rPr>
      </w:pPr>
      <w:r>
        <w:rPr>
          <w:rFonts w:hint="eastAsia"/>
          <w:color w:val="auto"/>
          <w:lang w:eastAsia="zh-CN"/>
        </w:rPr>
        <w:t>建设原则突出核心引领与全域覆盖相结合，以区应急管理局指挥中心为主控平台统筹数据处理与决策指挥，重点在永乐店镇东南部生态保育林区、台湖镇环京森林防火屏障带部署监测节点，强化人迹罕至区域的火情捕捉能力。同时在新建设</w:t>
      </w:r>
      <w:r>
        <w:rPr>
          <w:color w:val="auto"/>
          <w:lang w:eastAsia="zh-CN"/>
        </w:rPr>
        <w:t>2</w:t>
      </w:r>
      <w:r>
        <w:rPr>
          <w:rFonts w:hint="eastAsia"/>
          <w:color w:val="auto"/>
          <w:lang w:eastAsia="zh-CN"/>
        </w:rPr>
        <w:t>处地面校验站，配备红外热像仪与移动巡查终端，形成“卫星初判</w:t>
      </w:r>
      <w:r>
        <w:rPr>
          <w:color w:val="auto"/>
          <w:lang w:eastAsia="zh-CN"/>
        </w:rPr>
        <w:t>-</w:t>
      </w:r>
      <w:r>
        <w:rPr>
          <w:rFonts w:hint="eastAsia"/>
          <w:color w:val="auto"/>
          <w:lang w:eastAsia="zh-CN"/>
        </w:rPr>
        <w:t>人工复核</w:t>
      </w:r>
      <w:r>
        <w:rPr>
          <w:color w:val="auto"/>
          <w:lang w:eastAsia="zh-CN"/>
        </w:rPr>
        <w:t>-</w:t>
      </w:r>
      <w:r>
        <w:rPr>
          <w:rFonts w:hint="eastAsia"/>
          <w:color w:val="auto"/>
          <w:lang w:eastAsia="zh-CN"/>
        </w:rPr>
        <w:t>精准处置”的三级响应体系。通过该系统建设，通州区将实现“</w:t>
      </w:r>
      <w:r>
        <w:rPr>
          <w:color w:val="auto"/>
          <w:lang w:eastAsia="zh-CN"/>
        </w:rPr>
        <w:t>10</w:t>
      </w:r>
      <w:r>
        <w:rPr>
          <w:rFonts w:hint="eastAsia"/>
          <w:color w:val="auto"/>
          <w:lang w:eastAsia="zh-CN"/>
        </w:rPr>
        <w:t>分钟发现火情、</w:t>
      </w:r>
      <w:r>
        <w:rPr>
          <w:color w:val="auto"/>
          <w:lang w:eastAsia="zh-CN"/>
        </w:rPr>
        <w:t>30</w:t>
      </w:r>
      <w:r>
        <w:rPr>
          <w:rFonts w:hint="eastAsia"/>
          <w:color w:val="auto"/>
          <w:lang w:eastAsia="zh-CN"/>
        </w:rPr>
        <w:t>分钟生成处置方案”的目标。</w:t>
      </w:r>
    </w:p>
    <w:p>
      <w:pPr>
        <w:pStyle w:val="5"/>
        <w:ind w:firstLine="643"/>
      </w:pPr>
      <w:bookmarkStart w:id="134" w:name="_Toc213072524"/>
      <w:r>
        <w:rPr>
          <w:rFonts w:hint="eastAsia"/>
        </w:rPr>
        <w:t>（二）森林消防队伍能力建设</w:t>
      </w:r>
      <w:bookmarkEnd w:id="133"/>
      <w:bookmarkEnd w:id="134"/>
    </w:p>
    <w:p>
      <w:pPr>
        <w:ind w:firstLine="640"/>
        <w:rPr>
          <w:lang w:eastAsia="zh-CN"/>
        </w:rPr>
      </w:pPr>
      <w:r>
        <w:rPr>
          <w:rFonts w:hint="eastAsia"/>
          <w:lang w:eastAsia="zh-CN"/>
        </w:rPr>
        <w:t>为适应新形势发展的需要，深入贯彻“预防为主、积极消灭”的方针，立足于防大火，救大灾，实现森林火灾“打早、打小、打了”的目标，提升专业队伍身心素质。基于通州区的森林实际情况需求，构建森林消防综合应急救援队伍、基层森林防灭火半专业队伍建设、森林防火巡护队伍三位一体的森林防火队伍体系。全面加强森林防火队伍规范化、标准化建设，提高全区森林火灾早期处置能力，加快形成“保证重点、辐射周边、相互策应、网状覆盖”的队伍布局，守护首都北京生态安全。</w:t>
      </w:r>
    </w:p>
    <w:p>
      <w:pPr>
        <w:pStyle w:val="6"/>
        <w:ind w:firstLine="643"/>
      </w:pPr>
      <w:bookmarkStart w:id="135" w:name="_Toc209952553"/>
      <w:r>
        <w:t>1.</w:t>
      </w:r>
      <w:r>
        <w:rPr>
          <w:rFonts w:hint="eastAsia"/>
        </w:rPr>
        <w:t>森林消防队伍建设</w:t>
      </w:r>
      <w:bookmarkEnd w:id="135"/>
    </w:p>
    <w:p>
      <w:pPr>
        <w:ind w:firstLine="640"/>
        <w:rPr>
          <w:lang w:eastAsia="zh-CN"/>
        </w:rPr>
      </w:pPr>
      <w:r>
        <w:rPr>
          <w:rFonts w:hint="eastAsia"/>
          <w:lang w:eastAsia="zh-CN"/>
        </w:rPr>
        <w:t>根据《北京市森林防火区划分指导意见》，通州区已在森林、林木、林地及其林缘外侧一定范围内科学划分为二、三级森林防火区，为队伍建设提供精准依据。结合通州区实际，二级森林防火区总面积</w:t>
      </w:r>
      <w:r>
        <w:rPr>
          <w:lang w:eastAsia="zh-CN"/>
        </w:rPr>
        <w:t>27718.00</w:t>
      </w:r>
      <w:r>
        <w:rPr>
          <w:rFonts w:hint="eastAsia"/>
          <w:lang w:eastAsia="zh-CN"/>
        </w:rPr>
        <w:t>公顷，占防火区总面积的</w:t>
      </w:r>
      <w:r>
        <w:rPr>
          <w:lang w:eastAsia="zh-CN"/>
        </w:rPr>
        <w:t>90.10%</w:t>
      </w:r>
      <w:r>
        <w:rPr>
          <w:rFonts w:hint="eastAsia"/>
          <w:lang w:eastAsia="zh-CN"/>
        </w:rPr>
        <w:t>，主要分布在永乐店镇、宋庄镇、漷县镇、西集镇、张家湾镇等重点乡镇（街道），这些区域应作为队伍建设的重点保障区域。</w:t>
      </w:r>
    </w:p>
    <w:p>
      <w:pPr>
        <w:ind w:firstLine="643"/>
        <w:rPr>
          <w:lang w:eastAsia="zh-CN"/>
        </w:rPr>
      </w:pPr>
      <w:r>
        <w:rPr>
          <w:rFonts w:hint="eastAsia"/>
          <w:b/>
          <w:bCs/>
          <w:lang w:eastAsia="zh-CN"/>
        </w:rPr>
        <w:t>基层森林防灭火半专业队伍建设。</w:t>
      </w:r>
      <w:r>
        <w:rPr>
          <w:rFonts w:hint="eastAsia"/>
          <w:lang w:eastAsia="zh-CN"/>
        </w:rPr>
        <w:t>在全区各集体林场（除已建较完善队伍的张家湾、马驹桥外），按照“应建尽建、规模适中、重点突出”原则，组建不少于</w:t>
      </w:r>
      <w:r>
        <w:rPr>
          <w:lang w:eastAsia="zh-CN"/>
        </w:rPr>
        <w:t>15</w:t>
      </w:r>
      <w:r>
        <w:rPr>
          <w:rFonts w:hint="eastAsia"/>
          <w:lang w:eastAsia="zh-CN"/>
        </w:rPr>
        <w:t>人的半专业森林消防队，重点覆盖二级防火区边缘地带。强化年轻力量补充与巡护精度提升，优先录用林业、消防相关专业背景人员，实行“属地管理、就近响应”机制，确保火灾发生后</w:t>
      </w:r>
      <w:r>
        <w:rPr>
          <w:lang w:eastAsia="zh-CN"/>
        </w:rPr>
        <w:t>15</w:t>
      </w:r>
      <w:r>
        <w:rPr>
          <w:rFonts w:hint="eastAsia"/>
          <w:lang w:eastAsia="zh-CN"/>
        </w:rPr>
        <w:t>分钟内能到达现场进行初期处置。</w:t>
      </w:r>
    </w:p>
    <w:p>
      <w:pPr>
        <w:ind w:firstLine="643"/>
        <w:rPr>
          <w:lang w:eastAsia="zh-CN"/>
        </w:rPr>
      </w:pPr>
      <w:r>
        <w:rPr>
          <w:rFonts w:hint="eastAsia"/>
          <w:b/>
          <w:bCs/>
          <w:lang w:eastAsia="zh-CN"/>
        </w:rPr>
        <w:t>森林防火巡护队伍建设。</w:t>
      </w:r>
      <w:r>
        <w:rPr>
          <w:rFonts w:hint="eastAsia"/>
          <w:lang w:eastAsia="zh-CN"/>
        </w:rPr>
        <w:t>优化现有乡镇林场巡护队伍，按“数量充足、结构合理、素质优良、装备精良”原则扩编提质</w:t>
      </w:r>
      <w:r>
        <w:rPr>
          <w:rFonts w:hint="eastAsia"/>
          <w:b/>
          <w:bCs/>
          <w:lang w:eastAsia="zh-CN"/>
        </w:rPr>
        <w:t>。</w:t>
      </w:r>
      <w:r>
        <w:rPr>
          <w:rFonts w:hint="eastAsia"/>
          <w:lang w:eastAsia="zh-CN"/>
        </w:rPr>
        <w:t>，建立绩效激励机制，将火情发现率、初期处置成功率与薪酬挂钩，激发积极性。针对当前巡护队伍“年龄偏大、技能单一”问题，以及林区边界管理薄弱、“人火交织”风险突出等短板，优先选拔属地林业工作人员、护林员和村民，强化专业化培训。</w:t>
      </w:r>
    </w:p>
    <w:p>
      <w:pPr>
        <w:ind w:firstLine="643"/>
        <w:rPr>
          <w:lang w:eastAsia="zh-CN"/>
        </w:rPr>
      </w:pPr>
      <w:r>
        <w:rPr>
          <w:rFonts w:hint="eastAsia"/>
          <w:b/>
          <w:bCs/>
          <w:lang w:eastAsia="zh-CN"/>
        </w:rPr>
        <w:t>队伍建设保障机制。</w:t>
      </w:r>
      <w:r>
        <w:rPr>
          <w:rFonts w:hint="eastAsia"/>
          <w:lang w:eastAsia="zh-CN"/>
        </w:rPr>
        <w:t>制定《通州区森林防火队伍建设管理办法》，明确队伍职责、管理标准和考核机制；建立区、镇两级森林防火指挥体系，完善信息报送和应急响应流程；设立专项经费保障队伍建设，确保人员稳定和可持续发展。</w:t>
      </w:r>
    </w:p>
    <w:p>
      <w:pPr>
        <w:ind w:firstLine="643"/>
        <w:rPr>
          <w:lang w:eastAsia="zh-CN"/>
        </w:rPr>
      </w:pPr>
      <w:bookmarkStart w:id="136" w:name="_Toc209952554"/>
      <w:r>
        <w:rPr>
          <w:rFonts w:hint="eastAsia"/>
          <w:b/>
          <w:bCs/>
          <w:lang w:eastAsia="zh-CN"/>
        </w:rPr>
        <w:t>消防装备能力建设</w:t>
      </w:r>
      <w:bookmarkEnd w:id="136"/>
      <w:r>
        <w:rPr>
          <w:rFonts w:hint="eastAsia"/>
          <w:lang w:eastAsia="zh-CN"/>
        </w:rPr>
        <w:t>。为森林消防综合应急救援队配备专业装备，包括每人</w:t>
      </w:r>
      <w:r>
        <w:rPr>
          <w:lang w:eastAsia="zh-CN"/>
        </w:rPr>
        <w:t>1</w:t>
      </w:r>
      <w:r>
        <w:rPr>
          <w:rFonts w:hint="eastAsia"/>
          <w:lang w:eastAsia="zh-CN"/>
        </w:rPr>
        <w:t>套阻燃服装、对讲式头盔、红外热像仪、风力灭火机、高压细水雾灭火机等基础装备配置森林防火水车</w:t>
      </w:r>
      <w:r>
        <w:rPr>
          <w:lang w:eastAsia="zh-CN"/>
        </w:rPr>
        <w:t>1</w:t>
      </w:r>
      <w:r>
        <w:rPr>
          <w:rFonts w:hint="eastAsia"/>
          <w:lang w:eastAsia="zh-CN"/>
        </w:rPr>
        <w:t>0辆，每辆车载水量不低于</w:t>
      </w:r>
      <w:r>
        <w:rPr>
          <w:lang w:eastAsia="zh-CN"/>
        </w:rPr>
        <w:t>5</w:t>
      </w:r>
      <w:r>
        <w:rPr>
          <w:rFonts w:hint="eastAsia"/>
          <w:lang w:eastAsia="zh-CN"/>
        </w:rPr>
        <w:t>吨，配备高压水泵和远程输水系统在重点防火区域建设物资储备库，每个储备库储备不少于</w:t>
      </w:r>
      <w:r>
        <w:rPr>
          <w:lang w:eastAsia="zh-CN"/>
        </w:rPr>
        <w:t>100</w:t>
      </w:r>
      <w:r>
        <w:rPr>
          <w:rFonts w:hint="eastAsia"/>
          <w:lang w:eastAsia="zh-CN"/>
        </w:rPr>
        <w:t>套个人防护装备和</w:t>
      </w:r>
      <w:r>
        <w:rPr>
          <w:lang w:eastAsia="zh-CN"/>
        </w:rPr>
        <w:t>50</w:t>
      </w:r>
      <w:r>
        <w:rPr>
          <w:rFonts w:hint="eastAsia"/>
          <w:lang w:eastAsia="zh-CN"/>
        </w:rPr>
        <w:t>台灭火设备。建设暖库5个，保障冬季水车满水备勤。</w:t>
      </w:r>
    </w:p>
    <w:p>
      <w:pPr>
        <w:pStyle w:val="6"/>
        <w:ind w:firstLine="643"/>
      </w:pPr>
      <w:bookmarkStart w:id="137" w:name="_Toc209952555"/>
      <w:r>
        <w:t>2.</w:t>
      </w:r>
      <w:r>
        <w:rPr>
          <w:rFonts w:hint="eastAsia"/>
        </w:rPr>
        <w:t>森林消防业务培训</w:t>
      </w:r>
      <w:bookmarkEnd w:id="137"/>
    </w:p>
    <w:p>
      <w:pPr>
        <w:ind w:firstLine="643"/>
        <w:rPr>
          <w:b/>
          <w:bCs/>
          <w:lang w:eastAsia="zh-CN"/>
        </w:rPr>
      </w:pPr>
      <w:r>
        <w:rPr>
          <w:rFonts w:hint="eastAsia"/>
          <w:b/>
          <w:bCs/>
          <w:lang w:eastAsia="zh-CN"/>
        </w:rPr>
        <w:t>（</w:t>
      </w:r>
      <w:r>
        <w:rPr>
          <w:b/>
          <w:bCs/>
          <w:lang w:eastAsia="zh-CN"/>
        </w:rPr>
        <w:t>1</w:t>
      </w:r>
      <w:r>
        <w:rPr>
          <w:rFonts w:hint="eastAsia"/>
          <w:b/>
          <w:bCs/>
          <w:lang w:eastAsia="zh-CN"/>
        </w:rPr>
        <w:t>）培训体系建设</w:t>
      </w:r>
    </w:p>
    <w:p>
      <w:pPr>
        <w:ind w:firstLine="640"/>
        <w:rPr>
          <w:lang w:eastAsia="zh-CN"/>
        </w:rPr>
      </w:pPr>
      <w:r>
        <w:rPr>
          <w:rFonts w:hint="eastAsia"/>
          <w:lang w:eastAsia="zh-CN"/>
        </w:rPr>
        <w:t>构建“基础培训</w:t>
      </w:r>
      <w:r>
        <w:rPr>
          <w:lang w:eastAsia="zh-CN"/>
        </w:rPr>
        <w:t>+</w:t>
      </w:r>
      <w:r>
        <w:rPr>
          <w:rFonts w:hint="eastAsia"/>
          <w:lang w:eastAsia="zh-CN"/>
        </w:rPr>
        <w:t>专业培训</w:t>
      </w:r>
      <w:r>
        <w:rPr>
          <w:lang w:eastAsia="zh-CN"/>
        </w:rPr>
        <w:t>+</w:t>
      </w:r>
      <w:r>
        <w:rPr>
          <w:rFonts w:hint="eastAsia"/>
          <w:lang w:eastAsia="zh-CN"/>
        </w:rPr>
        <w:t>实战演练”三级培训体系，制定《通州区森林消防培训大纲》建立区级森林消防培训中心，配备模拟火场、多媒体教室等设施，年培训能力达到</w:t>
      </w:r>
      <w:r>
        <w:rPr>
          <w:lang w:eastAsia="zh-CN"/>
        </w:rPr>
        <w:t>500</w:t>
      </w:r>
      <w:r>
        <w:rPr>
          <w:rFonts w:hint="eastAsia"/>
          <w:lang w:eastAsia="zh-CN"/>
        </w:rPr>
        <w:t>人次。与北京市森林消防总队、专业消防院校建立合作关系，定期邀请专家开展专题培训</w:t>
      </w:r>
    </w:p>
    <w:p>
      <w:pPr>
        <w:ind w:firstLine="643"/>
        <w:rPr>
          <w:b/>
          <w:bCs/>
          <w:lang w:eastAsia="zh-CN"/>
        </w:rPr>
      </w:pPr>
      <w:r>
        <w:rPr>
          <w:rFonts w:hint="eastAsia"/>
          <w:b/>
          <w:bCs/>
          <w:lang w:eastAsia="zh-CN"/>
        </w:rPr>
        <w:t>（</w:t>
      </w:r>
      <w:r>
        <w:rPr>
          <w:b/>
          <w:bCs/>
          <w:lang w:eastAsia="zh-CN"/>
        </w:rPr>
        <w:t>2</w:t>
      </w:r>
      <w:r>
        <w:rPr>
          <w:rFonts w:hint="eastAsia"/>
          <w:b/>
          <w:bCs/>
          <w:lang w:eastAsia="zh-CN"/>
        </w:rPr>
        <w:t>）培训内容设计</w:t>
      </w:r>
    </w:p>
    <w:p>
      <w:pPr>
        <w:ind w:firstLine="640"/>
        <w:rPr>
          <w:lang w:eastAsia="zh-CN"/>
        </w:rPr>
      </w:pPr>
      <w:r>
        <w:rPr>
          <w:rFonts w:hint="eastAsia"/>
          <w:lang w:eastAsia="zh-CN"/>
        </w:rPr>
        <w:t>包括森林火灾基本原理、火行为规律、气象与火险关系、森林防火法律法规等基础理论培训。重点开展火场指挥与组织、灭火战术运用、装备操作与维护、安全避险等技能培训等专业技能培训。针对不同季节、不同火险等级开展专项培训，提高应对复杂火场的能力等应急处置培训。</w:t>
      </w:r>
    </w:p>
    <w:p>
      <w:pPr>
        <w:ind w:firstLine="643"/>
        <w:rPr>
          <w:b/>
          <w:bCs/>
          <w:lang w:eastAsia="zh-CN"/>
        </w:rPr>
      </w:pPr>
      <w:r>
        <w:rPr>
          <w:rFonts w:hint="eastAsia"/>
          <w:b/>
          <w:bCs/>
          <w:lang w:eastAsia="zh-CN"/>
        </w:rPr>
        <w:t>（</w:t>
      </w:r>
      <w:r>
        <w:rPr>
          <w:b/>
          <w:bCs/>
          <w:lang w:eastAsia="zh-CN"/>
        </w:rPr>
        <w:t>3</w:t>
      </w:r>
      <w:r>
        <w:rPr>
          <w:rFonts w:hint="eastAsia"/>
          <w:b/>
          <w:bCs/>
          <w:lang w:eastAsia="zh-CN"/>
        </w:rPr>
        <w:t>）建立培训实施机制</w:t>
      </w:r>
    </w:p>
    <w:p>
      <w:pPr>
        <w:ind w:firstLine="640"/>
        <w:rPr>
          <w:lang w:eastAsia="zh-CN"/>
        </w:rPr>
      </w:pPr>
      <w:r>
        <w:rPr>
          <w:rFonts w:hint="eastAsia"/>
          <w:lang w:eastAsia="zh-CN"/>
        </w:rPr>
        <w:t>实行“分级分类”培训制度，综合救援队每年集中培训不少于</w:t>
      </w:r>
      <w:r>
        <w:rPr>
          <w:lang w:eastAsia="zh-CN"/>
        </w:rPr>
        <w:t>60</w:t>
      </w:r>
      <w:r>
        <w:rPr>
          <w:rFonts w:hint="eastAsia"/>
          <w:lang w:eastAsia="zh-CN"/>
        </w:rPr>
        <w:t>天，半专业队伍不少于</w:t>
      </w:r>
      <w:r>
        <w:rPr>
          <w:lang w:eastAsia="zh-CN"/>
        </w:rPr>
        <w:t>30</w:t>
      </w:r>
      <w:r>
        <w:rPr>
          <w:rFonts w:hint="eastAsia"/>
          <w:lang w:eastAsia="zh-CN"/>
        </w:rPr>
        <w:t>天，巡护队伍不少于</w:t>
      </w:r>
      <w:r>
        <w:rPr>
          <w:lang w:eastAsia="zh-CN"/>
        </w:rPr>
        <w:t>15</w:t>
      </w:r>
      <w:r>
        <w:rPr>
          <w:rFonts w:hint="eastAsia"/>
          <w:lang w:eastAsia="zh-CN"/>
        </w:rPr>
        <w:t>天，开展“森林防火进社区”活动，普及森林防火知识，提高全民防火意识，组织季度性实战演练，模拟不同场景的森林火灾扑救，检验培训效果和应急响应能力</w:t>
      </w:r>
    </w:p>
    <w:p>
      <w:pPr>
        <w:ind w:firstLine="643"/>
        <w:rPr>
          <w:b/>
          <w:bCs/>
          <w:lang w:eastAsia="zh-CN"/>
        </w:rPr>
      </w:pPr>
      <w:r>
        <w:rPr>
          <w:rFonts w:hint="eastAsia"/>
          <w:b/>
          <w:bCs/>
          <w:lang w:eastAsia="zh-CN"/>
        </w:rPr>
        <w:t>（</w:t>
      </w:r>
      <w:r>
        <w:rPr>
          <w:b/>
          <w:bCs/>
          <w:lang w:eastAsia="zh-CN"/>
        </w:rPr>
        <w:t>4</w:t>
      </w:r>
      <w:r>
        <w:rPr>
          <w:rFonts w:hint="eastAsia"/>
          <w:b/>
          <w:bCs/>
          <w:lang w:eastAsia="zh-CN"/>
        </w:rPr>
        <w:t>）考核评估机制</w:t>
      </w:r>
    </w:p>
    <w:p>
      <w:pPr>
        <w:ind w:firstLine="640"/>
        <w:rPr>
          <w:lang w:eastAsia="zh-CN"/>
        </w:rPr>
      </w:pPr>
      <w:r>
        <w:rPr>
          <w:rFonts w:hint="eastAsia"/>
          <w:lang w:eastAsia="zh-CN"/>
        </w:rPr>
        <w:t>建立培训考核评价体系，实行理论考试与实操考核相结合的评价方式，对培训合格人员颁发资格证书，作为上岗必备条件，定期开展培训效果评估，根据评估结果优化培训内容和方式，确保培训实效。</w:t>
      </w:r>
    </w:p>
    <w:p>
      <w:pPr>
        <w:pStyle w:val="5"/>
        <w:ind w:firstLine="643"/>
      </w:pPr>
      <w:bookmarkStart w:id="138" w:name="_Toc213072525"/>
      <w:r>
        <w:rPr>
          <w:rFonts w:hint="eastAsia"/>
        </w:rPr>
        <w:t>（三）以水灭火系统建设</w:t>
      </w:r>
      <w:bookmarkEnd w:id="138"/>
    </w:p>
    <w:p>
      <w:pPr>
        <w:ind w:firstLine="640"/>
        <w:rPr>
          <w:lang w:eastAsia="zh-CN"/>
        </w:rPr>
      </w:pPr>
      <w:r>
        <w:rPr>
          <w:rFonts w:hint="eastAsia"/>
          <w:lang w:eastAsia="zh-CN"/>
        </w:rPr>
        <w:t>为切实提升平原林区“以水灭火”的实战效能，通州区将围绕“打早、打小、打了”的核心目标，在规划期内对现有森林供水保障能力进行系统改造提升，并结合区内林地分布广、与城市建成区交错、天然水源相对分散的特点，科学布设新建取水点。</w:t>
      </w:r>
    </w:p>
    <w:p>
      <w:pPr>
        <w:ind w:firstLine="640"/>
        <w:rPr>
          <w:lang w:eastAsia="zh-CN"/>
        </w:rPr>
      </w:pPr>
      <w:r>
        <w:rPr>
          <w:rFonts w:hint="eastAsia"/>
          <w:lang w:eastAsia="zh-CN"/>
        </w:rPr>
        <w:t>以水灭火具有拦截火头高效、扑灭明火迅速、清理火场彻底等特点，是早期处置森林火灾的最有效手段之一。森林防火队伍可配备专业以水灭火装备，主要包括森林消防水车、高压接力森林消防水泵、高压细水雾灭火器、脉冲水枪（背负式）、便携式移动水囊（水池）等。在水文条件较好的地区建设常规水源地，包括建设蓄水、水井、拦水坝等，为以水灭火提供保障。力争至</w:t>
      </w:r>
      <w:r>
        <w:rPr>
          <w:lang w:eastAsia="zh-CN"/>
        </w:rPr>
        <w:t>20</w:t>
      </w:r>
      <w:r>
        <w:rPr>
          <w:rFonts w:hint="eastAsia"/>
          <w:lang w:eastAsia="zh-CN"/>
        </w:rPr>
        <w:t>3</w:t>
      </w:r>
      <w:r>
        <w:rPr>
          <w:lang w:eastAsia="zh-CN"/>
        </w:rPr>
        <w:t>5</w:t>
      </w:r>
      <w:r>
        <w:rPr>
          <w:rFonts w:hint="eastAsia"/>
          <w:lang w:eastAsia="zh-CN"/>
        </w:rPr>
        <w:t>年，全区新建森林消防水鹤166个，配备消防洒水车1</w:t>
      </w:r>
      <w:r>
        <w:rPr>
          <w:lang w:eastAsia="zh-CN"/>
        </w:rPr>
        <w:t>0</w:t>
      </w:r>
      <w:r>
        <w:rPr>
          <w:rFonts w:hint="eastAsia"/>
          <w:lang w:eastAsia="zh-CN"/>
        </w:rPr>
        <w:t>台。</w:t>
      </w:r>
    </w:p>
    <w:p>
      <w:pPr>
        <w:spacing w:after="120" w:line="240" w:lineRule="atLeast"/>
        <w:ind w:firstLine="0" w:firstLineChars="0"/>
        <w:jc w:val="center"/>
        <w:rPr>
          <w:b/>
          <w:bCs/>
          <w:sz w:val="24"/>
          <w:szCs w:val="24"/>
          <w:lang w:eastAsia="zh-CN"/>
        </w:rPr>
      </w:pPr>
      <w:r>
        <w:rPr>
          <w:rFonts w:hint="eastAsia"/>
          <w:b/>
          <w:bCs/>
          <w:sz w:val="24"/>
          <w:szCs w:val="24"/>
          <w:lang w:eastAsia="zh-CN"/>
        </w:rPr>
        <w:t>表</w:t>
      </w:r>
      <w:r>
        <w:rPr>
          <w:b/>
          <w:bCs/>
          <w:sz w:val="24"/>
          <w:szCs w:val="24"/>
          <w:lang w:eastAsia="zh-CN"/>
        </w:rPr>
        <w:t xml:space="preserve"> </w:t>
      </w:r>
      <w:r>
        <w:rPr>
          <w:rFonts w:hint="eastAsia"/>
          <w:b/>
          <w:bCs/>
          <w:sz w:val="24"/>
          <w:szCs w:val="24"/>
          <w:lang w:eastAsia="zh-CN"/>
        </w:rPr>
        <w:t>通州区以水灭火系统建设规划统计表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2944"/>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tcPr>
          <w:p>
            <w:pPr>
              <w:widowControl w:val="0"/>
              <w:spacing w:before="0" w:after="0" w:line="240" w:lineRule="atLeast"/>
              <w:ind w:firstLine="0" w:firstLineChars="0"/>
              <w:jc w:val="center"/>
              <w:rPr>
                <w:rFonts w:ascii="仿宋_GB2312" w:eastAsia="仿宋_GB2312"/>
                <w:b/>
                <w:bCs/>
                <w:sz w:val="24"/>
                <w:szCs w:val="24"/>
                <w:lang w:eastAsia="zh-CN"/>
              </w:rPr>
            </w:pPr>
            <w:r>
              <w:rPr>
                <w:rFonts w:hint="eastAsia" w:ascii="仿宋_GB2312" w:eastAsia="仿宋_GB2312"/>
                <w:b/>
                <w:bCs/>
                <w:sz w:val="24"/>
                <w:szCs w:val="24"/>
                <w:lang w:eastAsia="zh-CN"/>
              </w:rPr>
              <w:t>建设区域</w:t>
            </w:r>
          </w:p>
        </w:tc>
        <w:tc>
          <w:tcPr>
            <w:tcW w:w="2944" w:type="dxa"/>
          </w:tcPr>
          <w:p>
            <w:pPr>
              <w:widowControl w:val="0"/>
              <w:spacing w:before="0" w:after="0" w:line="240" w:lineRule="atLeast"/>
              <w:ind w:firstLine="0" w:firstLineChars="0"/>
              <w:jc w:val="center"/>
              <w:rPr>
                <w:rFonts w:ascii="仿宋_GB2312" w:eastAsia="仿宋_GB2312"/>
                <w:b/>
                <w:bCs/>
                <w:sz w:val="24"/>
                <w:szCs w:val="24"/>
                <w:lang w:eastAsia="zh-CN"/>
              </w:rPr>
            </w:pPr>
            <w:r>
              <w:rPr>
                <w:rFonts w:hint="eastAsia" w:ascii="仿宋_GB2312" w:eastAsia="仿宋_GB2312"/>
                <w:b/>
                <w:bCs/>
                <w:sz w:val="24"/>
                <w:szCs w:val="24"/>
                <w:lang w:eastAsia="zh-CN"/>
              </w:rPr>
              <w:t>消防水鹤</w:t>
            </w:r>
          </w:p>
        </w:tc>
        <w:tc>
          <w:tcPr>
            <w:tcW w:w="2945" w:type="dxa"/>
          </w:tcPr>
          <w:p>
            <w:pPr>
              <w:widowControl w:val="0"/>
              <w:spacing w:before="0" w:after="0" w:line="240" w:lineRule="atLeast"/>
              <w:ind w:firstLine="0" w:firstLineChars="0"/>
              <w:jc w:val="center"/>
              <w:rPr>
                <w:rFonts w:ascii="仿宋_GB2312" w:eastAsia="仿宋_GB2312"/>
                <w:b/>
                <w:bCs/>
                <w:sz w:val="24"/>
                <w:szCs w:val="24"/>
                <w:lang w:eastAsia="zh-CN"/>
              </w:rPr>
            </w:pPr>
            <w:r>
              <w:rPr>
                <w:rFonts w:hint="eastAsia" w:ascii="仿宋_GB2312" w:eastAsia="仿宋_GB2312"/>
                <w:b/>
                <w:bCs/>
                <w:sz w:val="24"/>
                <w:szCs w:val="24"/>
                <w:lang w:eastAsia="zh-CN"/>
              </w:rPr>
              <w:t>消防洒水车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widowControl w:val="0"/>
              <w:spacing w:before="0" w:after="0" w:line="240" w:lineRule="atLeast"/>
              <w:ind w:firstLine="0" w:firstLineChars="0"/>
              <w:jc w:val="center"/>
              <w:rPr>
                <w:rFonts w:ascii="仿宋_GB2312" w:eastAsia="仿宋_GB2312"/>
                <w:b/>
                <w:bCs/>
                <w:sz w:val="24"/>
                <w:szCs w:val="24"/>
                <w:lang w:eastAsia="zh-CN"/>
              </w:rPr>
            </w:pPr>
            <w:r>
              <w:rPr>
                <w:rFonts w:hint="eastAsia" w:ascii="仿宋_GB2312" w:eastAsia="仿宋_GB2312"/>
                <w:b/>
                <w:bCs/>
                <w:sz w:val="24"/>
                <w:szCs w:val="24"/>
                <w:lang w:eastAsia="zh-CN"/>
              </w:rPr>
              <w:t>合计</w:t>
            </w:r>
          </w:p>
        </w:tc>
        <w:tc>
          <w:tcPr>
            <w:tcW w:w="2944" w:type="dxa"/>
            <w:vAlign w:val="center"/>
          </w:tcPr>
          <w:p>
            <w:pPr>
              <w:widowControl w:val="0"/>
              <w:spacing w:before="0" w:after="0" w:line="240" w:lineRule="atLeast"/>
              <w:ind w:firstLine="0" w:firstLineChars="0"/>
              <w:jc w:val="center"/>
              <w:rPr>
                <w:rFonts w:ascii="仿宋_GB2312" w:eastAsia="仿宋_GB2312"/>
                <w:b/>
                <w:bCs/>
                <w:sz w:val="24"/>
                <w:szCs w:val="24"/>
                <w:lang w:eastAsia="zh-CN"/>
              </w:rPr>
            </w:pPr>
            <w:r>
              <w:rPr>
                <w:rFonts w:hint="eastAsia" w:ascii="仿宋_GB2312" w:eastAsia="仿宋_GB2312"/>
                <w:b/>
                <w:bCs/>
                <w:sz w:val="24"/>
                <w:szCs w:val="24"/>
                <w:lang w:eastAsia="zh-CN"/>
              </w:rPr>
              <w:t>166</w:t>
            </w:r>
          </w:p>
        </w:tc>
        <w:tc>
          <w:tcPr>
            <w:tcW w:w="2945" w:type="dxa"/>
            <w:vAlign w:val="center"/>
          </w:tcPr>
          <w:p>
            <w:pPr>
              <w:widowControl w:val="0"/>
              <w:spacing w:before="0" w:after="0" w:line="240" w:lineRule="atLeast"/>
              <w:ind w:firstLine="0" w:firstLineChars="0"/>
              <w:jc w:val="center"/>
              <w:rPr>
                <w:rFonts w:ascii="仿宋_GB2312" w:eastAsia="仿宋_GB2312"/>
                <w:b/>
                <w:bCs/>
                <w:sz w:val="24"/>
                <w:szCs w:val="24"/>
                <w:lang w:eastAsia="zh-CN"/>
              </w:rPr>
            </w:pPr>
            <w:r>
              <w:rPr>
                <w:rFonts w:hint="eastAsia" w:ascii="仿宋_GB2312" w:eastAsia="仿宋_GB2312"/>
                <w:b/>
                <w:bCs/>
                <w:sz w:val="24"/>
                <w:szCs w:val="24"/>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widowControl w:val="0"/>
              <w:spacing w:before="0" w:after="0" w:line="240" w:lineRule="auto"/>
              <w:ind w:firstLine="0" w:firstLineChars="0"/>
              <w:jc w:val="center"/>
              <w:rPr>
                <w:rFonts w:ascii="仿宋_GB2312" w:eastAsia="仿宋_GB2312" w:cs="仿宋"/>
                <w:sz w:val="24"/>
                <w:szCs w:val="24"/>
                <w:lang w:eastAsia="zh-CN"/>
              </w:rPr>
            </w:pPr>
            <w:r>
              <w:rPr>
                <w:rFonts w:hint="eastAsia" w:ascii="仿宋_GB2312" w:eastAsia="仿宋_GB2312" w:cs="仿宋"/>
                <w:color w:val="auto"/>
                <w:sz w:val="24"/>
                <w:szCs w:val="24"/>
                <w:lang w:eastAsia="zh-CN"/>
              </w:rPr>
              <w:t>永顺镇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仿宋_GB2312" w:eastAsia="仿宋_GB2312" w:cs="仿宋"/>
                <w:color w:val="auto"/>
                <w:sz w:val="24"/>
                <w:szCs w:val="24"/>
                <w:lang w:eastAsia="zh-CN"/>
              </w:rPr>
              <w:t>宋庄镇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21</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微软雅黑" w:hAnsi="微软雅黑" w:eastAsia="微软雅黑" w:cs="微软雅黑"/>
                <w:color w:val="auto"/>
                <w:sz w:val="24"/>
                <w:szCs w:val="24"/>
                <w:lang w:eastAsia="zh-CN"/>
              </w:rPr>
              <w:t>漷</w:t>
            </w:r>
            <w:r>
              <w:rPr>
                <w:rFonts w:hint="eastAsia" w:ascii="仿宋_GB2312" w:hAnsi="仿宋_GB2312" w:eastAsia="仿宋_GB2312" w:cs="仿宋_GB2312"/>
                <w:color w:val="auto"/>
                <w:sz w:val="24"/>
                <w:szCs w:val="24"/>
                <w:lang w:eastAsia="zh-CN"/>
              </w:rPr>
              <w:t>县镇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17</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仿宋_GB2312" w:eastAsia="仿宋_GB2312" w:cs="仿宋"/>
                <w:color w:val="auto"/>
                <w:sz w:val="24"/>
                <w:szCs w:val="24"/>
                <w:lang w:eastAsia="zh-CN"/>
              </w:rPr>
              <w:t>张家湾镇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12</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仿宋_GB2312" w:eastAsia="仿宋_GB2312" w:cs="仿宋"/>
                <w:color w:val="auto"/>
                <w:sz w:val="24"/>
                <w:szCs w:val="24"/>
                <w:lang w:eastAsia="zh-CN"/>
              </w:rPr>
              <w:t>马驹桥镇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19</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仿宋_GB2312" w:eastAsia="仿宋_GB2312" w:cs="仿宋"/>
                <w:color w:val="auto"/>
                <w:sz w:val="24"/>
                <w:szCs w:val="24"/>
                <w:lang w:eastAsia="zh-CN"/>
              </w:rPr>
              <w:t>西集镇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25</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仿宋_GB2312" w:eastAsia="仿宋_GB2312" w:cs="仿宋"/>
                <w:color w:val="auto"/>
                <w:sz w:val="24"/>
                <w:szCs w:val="24"/>
                <w:lang w:eastAsia="zh-CN"/>
              </w:rPr>
              <w:t>永乐店镇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31</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仿宋_GB2312" w:eastAsia="仿宋_GB2312" w:cs="仿宋"/>
                <w:color w:val="auto"/>
                <w:sz w:val="24"/>
                <w:szCs w:val="24"/>
                <w:lang w:eastAsia="zh-CN"/>
              </w:rPr>
              <w:t>潞城镇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5</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仿宋_GB2312" w:eastAsia="仿宋_GB2312" w:cs="仿宋"/>
                <w:color w:val="auto"/>
                <w:sz w:val="24"/>
                <w:szCs w:val="24"/>
                <w:lang w:eastAsia="zh-CN"/>
              </w:rPr>
              <w:t>台湖镇</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24</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5" w:type="dxa"/>
            <w:vAlign w:val="center"/>
          </w:tcPr>
          <w:p>
            <w:pPr>
              <w:widowControl w:val="0"/>
              <w:spacing w:before="0" w:after="0" w:line="240" w:lineRule="auto"/>
              <w:ind w:firstLine="0" w:firstLineChars="0"/>
              <w:jc w:val="center"/>
              <w:rPr>
                <w:rFonts w:ascii="仿宋_GB2312" w:eastAsia="仿宋_GB2312" w:cs="仿宋"/>
                <w:color w:val="auto"/>
                <w:sz w:val="24"/>
                <w:szCs w:val="24"/>
                <w:lang w:eastAsia="zh-CN"/>
              </w:rPr>
            </w:pPr>
            <w:r>
              <w:rPr>
                <w:rFonts w:hint="eastAsia" w:ascii="仿宋_GB2312" w:eastAsia="仿宋_GB2312" w:cs="仿宋"/>
                <w:color w:val="auto"/>
                <w:sz w:val="24"/>
                <w:szCs w:val="24"/>
                <w:lang w:eastAsia="zh-CN"/>
              </w:rPr>
              <w:t>于家务乡</w:t>
            </w:r>
          </w:p>
        </w:tc>
        <w:tc>
          <w:tcPr>
            <w:tcW w:w="2944"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sz w:val="22"/>
                <w:szCs w:val="22"/>
              </w:rPr>
              <w:t>12</w:t>
            </w:r>
          </w:p>
        </w:tc>
        <w:tc>
          <w:tcPr>
            <w:tcW w:w="2945" w:type="dxa"/>
            <w:vAlign w:val="center"/>
          </w:tcPr>
          <w:p>
            <w:pPr>
              <w:widowControl w:val="0"/>
              <w:spacing w:before="0" w:after="0" w:line="240" w:lineRule="atLeast"/>
              <w:ind w:firstLine="0" w:firstLineChars="0"/>
              <w:jc w:val="center"/>
              <w:rPr>
                <w:rFonts w:ascii="仿宋_GB2312" w:eastAsia="仿宋_GB2312"/>
                <w:sz w:val="24"/>
                <w:szCs w:val="24"/>
                <w:lang w:eastAsia="zh-CN"/>
              </w:rPr>
            </w:pPr>
            <w:r>
              <w:rPr>
                <w:rFonts w:hint="eastAsia" w:ascii="仿宋_GB2312" w:eastAsia="仿宋_GB2312"/>
                <w:sz w:val="24"/>
                <w:szCs w:val="24"/>
                <w:lang w:eastAsia="zh-CN"/>
              </w:rPr>
              <w:t>1</w:t>
            </w:r>
          </w:p>
        </w:tc>
      </w:tr>
    </w:tbl>
    <w:p>
      <w:pPr>
        <w:pStyle w:val="3"/>
      </w:pPr>
      <w:bookmarkStart w:id="139" w:name="_Toc213072526"/>
      <w:r>
        <w:rPr>
          <w:rFonts w:hint="eastAsia"/>
        </w:rPr>
        <w:t>三、保障体系建设</w:t>
      </w:r>
      <w:bookmarkEnd w:id="139"/>
    </w:p>
    <w:p>
      <w:pPr>
        <w:pStyle w:val="5"/>
        <w:ind w:firstLine="643"/>
      </w:pPr>
      <w:bookmarkStart w:id="140" w:name="_Toc213072527"/>
      <w:r>
        <w:rPr>
          <w:rFonts w:hint="eastAsia"/>
        </w:rPr>
        <w:t>（一）森林防火物资储备库建设</w:t>
      </w:r>
      <w:bookmarkEnd w:id="140"/>
    </w:p>
    <w:p>
      <w:pPr>
        <w:ind w:firstLine="640"/>
        <w:rPr>
          <w:lang w:eastAsia="zh-CN"/>
        </w:rPr>
      </w:pPr>
      <w:bookmarkStart w:id="141" w:name="OLE_LINK17"/>
      <w:r>
        <w:rPr>
          <w:rFonts w:hint="eastAsia"/>
          <w:lang w:eastAsia="zh-CN"/>
        </w:rPr>
        <w:t>通州区森林防火物资储备库已实现重点有林乡镇“一场一库”全覆盖，但各林场物资储备标准不一、尚未形成统一规范体系的现状，规划期间将系统推进现有防火物资储备库的标准化提升改造工作，重点保障风力灭火机、高压水泵、消防水带、防护装备等数百种专业器材及综合应急物资的集中存储、统一管理与快速调用能力。到</w:t>
      </w:r>
      <w:r>
        <w:rPr>
          <w:lang w:eastAsia="zh-CN"/>
        </w:rPr>
        <w:t>2035</w:t>
      </w:r>
      <w:r>
        <w:rPr>
          <w:rFonts w:hint="eastAsia"/>
          <w:lang w:eastAsia="zh-CN"/>
        </w:rPr>
        <w:t>年，将全面建成覆盖全部</w:t>
      </w:r>
      <w:r>
        <w:rPr>
          <w:lang w:eastAsia="zh-CN"/>
        </w:rPr>
        <w:t>10</w:t>
      </w:r>
      <w:r>
        <w:rPr>
          <w:rFonts w:hint="eastAsia"/>
          <w:lang w:eastAsia="zh-CN"/>
        </w:rPr>
        <w:t>个集体林场的标准化防火物资储备库</w:t>
      </w:r>
      <w:bookmarkEnd w:id="141"/>
      <w:r>
        <w:rPr>
          <w:rFonts w:hint="eastAsia"/>
          <w:lang w:eastAsia="zh-CN"/>
        </w:rPr>
        <w:t>，</w:t>
      </w:r>
      <w:bookmarkStart w:id="142" w:name="OLE_LINK18"/>
      <w:r>
        <w:rPr>
          <w:rFonts w:hint="eastAsia"/>
          <w:lang w:eastAsia="zh-CN"/>
        </w:rPr>
        <w:t>实现防火物资储备库覆盖率</w:t>
      </w:r>
      <w:r>
        <w:rPr>
          <w:lang w:eastAsia="zh-CN"/>
        </w:rPr>
        <w:t>100%</w:t>
      </w:r>
      <w:r>
        <w:rPr>
          <w:rFonts w:hint="eastAsia"/>
          <w:lang w:eastAsia="zh-CN"/>
        </w:rPr>
        <w:t>、设施设备完好率超</w:t>
      </w:r>
      <w:r>
        <w:rPr>
          <w:lang w:eastAsia="zh-CN"/>
        </w:rPr>
        <w:t>95%</w:t>
      </w:r>
      <w:r>
        <w:rPr>
          <w:rFonts w:hint="eastAsia"/>
          <w:lang w:eastAsia="zh-CN"/>
        </w:rPr>
        <w:t>、管理效率提升</w:t>
      </w:r>
      <w:r>
        <w:rPr>
          <w:lang w:eastAsia="zh-CN"/>
        </w:rPr>
        <w:t>30%</w:t>
      </w:r>
      <w:r>
        <w:rPr>
          <w:rFonts w:hint="eastAsia"/>
          <w:lang w:eastAsia="zh-CN"/>
        </w:rPr>
        <w:t>以上，显著增强森林火灾应急处置能力，筑牢首都生态安全屏障。</w:t>
      </w:r>
      <w:bookmarkEnd w:id="142"/>
    </w:p>
    <w:p>
      <w:pPr>
        <w:ind w:firstLine="640"/>
        <w:rPr>
          <w:lang w:eastAsia="zh-CN"/>
        </w:rPr>
      </w:pPr>
      <w:r>
        <w:rPr>
          <w:lang w:eastAsia="zh-CN"/>
        </w:rPr>
        <w:t>202</w:t>
      </w:r>
      <w:r>
        <w:rPr>
          <w:rFonts w:hint="eastAsia"/>
          <w:lang w:eastAsia="zh-CN"/>
        </w:rPr>
        <w:t>5–</w:t>
      </w:r>
      <w:r>
        <w:rPr>
          <w:lang w:eastAsia="zh-CN"/>
        </w:rPr>
        <w:t>2027</w:t>
      </w:r>
      <w:r>
        <w:rPr>
          <w:rFonts w:hint="eastAsia"/>
          <w:lang w:eastAsia="zh-CN"/>
        </w:rPr>
        <w:t>年，统一建设标准，完成各集体林场防火物资储备库建设提升改造；</w:t>
      </w:r>
      <w:r>
        <w:rPr>
          <w:lang w:eastAsia="zh-CN"/>
        </w:rPr>
        <w:t>2028</w:t>
      </w:r>
      <w:r>
        <w:rPr>
          <w:rFonts w:hint="eastAsia"/>
          <w:lang w:eastAsia="zh-CN"/>
        </w:rPr>
        <w:t>–</w:t>
      </w:r>
      <w:r>
        <w:rPr>
          <w:lang w:eastAsia="zh-CN"/>
        </w:rPr>
        <w:t>2030</w:t>
      </w:r>
      <w:r>
        <w:rPr>
          <w:rFonts w:hint="eastAsia"/>
          <w:lang w:eastAsia="zh-CN"/>
        </w:rPr>
        <w:t>年，建立差异化防火物资储备标准，建成智能化管理平台，实现物资储备、调拨、维护等全流程数字化与动态监管；</w:t>
      </w:r>
      <w:r>
        <w:rPr>
          <w:lang w:eastAsia="zh-CN"/>
        </w:rPr>
        <w:t>2031</w:t>
      </w:r>
      <w:r>
        <w:rPr>
          <w:rFonts w:hint="eastAsia"/>
          <w:lang w:eastAsia="zh-CN"/>
        </w:rPr>
        <w:t>–</w:t>
      </w:r>
      <w:r>
        <w:rPr>
          <w:lang w:eastAsia="zh-CN"/>
        </w:rPr>
        <w:t>2035</w:t>
      </w:r>
      <w:r>
        <w:rPr>
          <w:rFonts w:hint="eastAsia"/>
          <w:lang w:eastAsia="zh-CN"/>
        </w:rPr>
        <w:t>年，构建高效协同的物资调配网络，全面达成“</w:t>
      </w:r>
      <w:r>
        <w:rPr>
          <w:lang w:eastAsia="zh-CN"/>
        </w:rPr>
        <w:t>10</w:t>
      </w:r>
      <w:r>
        <w:rPr>
          <w:rFonts w:hint="eastAsia"/>
          <w:lang w:eastAsia="zh-CN"/>
        </w:rPr>
        <w:t>分钟应急响应圈”。</w:t>
      </w:r>
    </w:p>
    <w:p>
      <w:pPr>
        <w:ind w:firstLine="640"/>
        <w:rPr>
          <w:lang w:eastAsia="zh-CN"/>
        </w:rPr>
      </w:pPr>
      <w:r>
        <w:rPr>
          <w:rFonts w:hint="eastAsia"/>
          <w:lang w:eastAsia="zh-CN"/>
        </w:rPr>
        <w:t>同步强化组织、资金、人才和监督保障机制，设立物资更新专项资金，配备专职管理员。</w:t>
      </w:r>
    </w:p>
    <w:p>
      <w:pPr>
        <w:pStyle w:val="5"/>
        <w:ind w:firstLine="643"/>
      </w:pPr>
      <w:bookmarkStart w:id="143" w:name="_Toc213072528"/>
      <w:r>
        <w:rPr>
          <w:rFonts w:hint="eastAsia"/>
        </w:rPr>
        <w:t>（二）森林防火物资储备</w:t>
      </w:r>
      <w:bookmarkEnd w:id="143"/>
    </w:p>
    <w:p>
      <w:pPr>
        <w:ind w:firstLine="640"/>
        <w:rPr>
          <w:lang w:eastAsia="zh-CN"/>
        </w:rPr>
      </w:pPr>
      <w:r>
        <w:rPr>
          <w:rFonts w:hint="eastAsia"/>
          <w:lang w:eastAsia="zh-CN"/>
        </w:rPr>
        <w:t>物资储备库储备防火物资包括扑火机具类、其他物资类、通信指挥类和防火车辆类等设备，按《森林消防综合应急救援队伍装备使用和维护规范》（</w:t>
      </w:r>
      <w:r>
        <w:rPr>
          <w:lang w:eastAsia="zh-CN"/>
        </w:rPr>
        <w:t>DB11/T 1824</w:t>
      </w:r>
      <w:r>
        <w:rPr>
          <w:rFonts w:hint="eastAsia"/>
          <w:lang w:eastAsia="zh-CN"/>
        </w:rPr>
        <w:t>—</w:t>
      </w:r>
      <w:r>
        <w:rPr>
          <w:lang w:eastAsia="zh-CN"/>
        </w:rPr>
        <w:t>2021</w:t>
      </w:r>
      <w:r>
        <w:rPr>
          <w:rFonts w:hint="eastAsia"/>
          <w:lang w:eastAsia="zh-CN"/>
        </w:rPr>
        <w:t>）要求，通州区根据实际需要，购置相应规模的储备物资。森林消防物资应定期维护、补充，更新损坏和过期的储备物资。防火物资储备库安排专人看管，对相关物资进行定期清点和维护，确保防火物资随时拿得出、用得上。各级森林消防应急物资储备库扑火物资基本储备标准。</w:t>
      </w:r>
    </w:p>
    <w:p>
      <w:pPr>
        <w:kinsoku/>
        <w:autoSpaceDE/>
        <w:autoSpaceDN/>
        <w:adjustRightInd/>
        <w:snapToGrid/>
        <w:spacing w:before="0" w:after="0" w:line="240" w:lineRule="auto"/>
        <w:ind w:firstLine="0" w:firstLineChars="0"/>
        <w:jc w:val="left"/>
        <w:textAlignment w:val="auto"/>
        <w:rPr>
          <w:lang w:eastAsia="zh-CN"/>
        </w:rPr>
      </w:pPr>
      <w:r>
        <w:rPr>
          <w:lang w:eastAsia="zh-CN"/>
        </w:rPr>
        <w:br w:type="page"/>
      </w:r>
    </w:p>
    <w:p>
      <w:pPr>
        <w:pStyle w:val="2"/>
        <w:rPr>
          <w:rFonts w:hint="eastAsia"/>
        </w:rPr>
      </w:pPr>
      <w:bookmarkStart w:id="144" w:name="_Toc213072529"/>
      <w:r>
        <w:rPr>
          <w:rFonts w:hint="eastAsia"/>
        </w:rPr>
        <w:t>第六章</w:t>
      </w:r>
      <w:r>
        <w:t xml:space="preserve">  </w:t>
      </w:r>
      <w:r>
        <w:rPr>
          <w:rFonts w:hint="eastAsia"/>
        </w:rPr>
        <w:t>投资估算</w:t>
      </w:r>
      <w:bookmarkEnd w:id="144"/>
    </w:p>
    <w:p>
      <w:pPr>
        <w:pStyle w:val="3"/>
      </w:pPr>
      <w:bookmarkStart w:id="145" w:name="_Toc213072530"/>
      <w:bookmarkStart w:id="146" w:name="_Toc209952564"/>
      <w:r>
        <w:rPr>
          <w:rFonts w:hint="eastAsia"/>
        </w:rPr>
        <w:t>一、投资估算编制依据</w:t>
      </w:r>
      <w:bookmarkEnd w:id="145"/>
    </w:p>
    <w:p>
      <w:pPr>
        <w:ind w:firstLine="640"/>
        <w:rPr>
          <w:lang w:eastAsia="zh-CN"/>
        </w:rPr>
      </w:pPr>
      <w:r>
        <w:rPr>
          <w:rFonts w:hint="eastAsia"/>
          <w:lang w:eastAsia="zh-CN"/>
        </w:rPr>
        <w:t>（</w:t>
      </w:r>
      <w:r>
        <w:rPr>
          <w:lang w:eastAsia="zh-CN"/>
        </w:rPr>
        <w:t>1</w:t>
      </w:r>
      <w:r>
        <w:rPr>
          <w:rFonts w:hint="eastAsia"/>
          <w:lang w:eastAsia="zh-CN"/>
        </w:rPr>
        <w:t>）《森林防火工程技术标准》（</w:t>
      </w:r>
      <w:r>
        <w:rPr>
          <w:lang w:eastAsia="zh-CN"/>
        </w:rPr>
        <w:t>LYJ 127-91</w:t>
      </w:r>
      <w:r>
        <w:rPr>
          <w:rFonts w:hint="eastAsia"/>
          <w:lang w:eastAsia="zh-CN"/>
        </w:rPr>
        <w:t>）；</w:t>
      </w:r>
    </w:p>
    <w:p>
      <w:pPr>
        <w:ind w:firstLine="640"/>
        <w:rPr>
          <w:lang w:eastAsia="zh-CN"/>
        </w:rPr>
      </w:pPr>
      <w:r>
        <w:rPr>
          <w:rFonts w:hint="eastAsia"/>
          <w:lang w:eastAsia="zh-CN"/>
        </w:rPr>
        <w:t>（</w:t>
      </w:r>
      <w:r>
        <w:rPr>
          <w:lang w:eastAsia="zh-CN"/>
        </w:rPr>
        <w:t>2</w:t>
      </w:r>
      <w:r>
        <w:rPr>
          <w:rFonts w:hint="eastAsia"/>
          <w:lang w:eastAsia="zh-CN"/>
        </w:rPr>
        <w:t>）《全国森林防火规划（</w:t>
      </w:r>
      <w:r>
        <w:rPr>
          <w:lang w:eastAsia="zh-CN"/>
        </w:rPr>
        <w:t>2016-2025</w:t>
      </w:r>
      <w:r>
        <w:rPr>
          <w:rFonts w:hint="eastAsia"/>
          <w:lang w:eastAsia="zh-CN"/>
        </w:rPr>
        <w:t>年）》投资测算表；</w:t>
      </w:r>
    </w:p>
    <w:p>
      <w:pPr>
        <w:ind w:firstLine="640"/>
        <w:rPr>
          <w:lang w:eastAsia="zh-CN"/>
        </w:rPr>
      </w:pPr>
      <w:r>
        <w:rPr>
          <w:rFonts w:hint="eastAsia"/>
          <w:lang w:eastAsia="zh-CN"/>
        </w:rPr>
        <w:t>（</w:t>
      </w:r>
      <w:r>
        <w:rPr>
          <w:lang w:eastAsia="zh-CN"/>
        </w:rPr>
        <w:t>3</w:t>
      </w:r>
      <w:r>
        <w:rPr>
          <w:rFonts w:hint="eastAsia"/>
          <w:lang w:eastAsia="zh-CN"/>
        </w:rPr>
        <w:t>）《森林火险区综合治理工程项目建设标准》（林计发〔</w:t>
      </w:r>
      <w:r>
        <w:rPr>
          <w:lang w:eastAsia="zh-CN"/>
        </w:rPr>
        <w:t>2014</w:t>
      </w:r>
      <w:r>
        <w:rPr>
          <w:rFonts w:hint="eastAsia"/>
          <w:lang w:eastAsia="zh-CN"/>
        </w:rPr>
        <w:t>〕</w:t>
      </w:r>
      <w:r>
        <w:rPr>
          <w:lang w:eastAsia="zh-CN"/>
        </w:rPr>
        <w:t>19</w:t>
      </w:r>
      <w:r>
        <w:rPr>
          <w:rFonts w:hint="eastAsia"/>
          <w:lang w:eastAsia="zh-CN"/>
        </w:rPr>
        <w:t>号）；</w:t>
      </w:r>
    </w:p>
    <w:p>
      <w:pPr>
        <w:ind w:firstLine="640"/>
        <w:rPr>
          <w:lang w:eastAsia="zh-CN"/>
        </w:rPr>
      </w:pPr>
      <w:r>
        <w:rPr>
          <w:rFonts w:hint="eastAsia"/>
          <w:lang w:eastAsia="zh-CN"/>
        </w:rPr>
        <w:t>（</w:t>
      </w:r>
      <w:r>
        <w:rPr>
          <w:lang w:eastAsia="zh-CN"/>
        </w:rPr>
        <w:t>4</w:t>
      </w:r>
      <w:r>
        <w:rPr>
          <w:rFonts w:hint="eastAsia"/>
          <w:lang w:eastAsia="zh-CN"/>
        </w:rPr>
        <w:t>）《森林防火物资储备库工程项目建设标准》（建标</w:t>
      </w:r>
      <w:r>
        <w:rPr>
          <w:lang w:eastAsia="zh-CN"/>
        </w:rPr>
        <w:t>22-2009</w:t>
      </w:r>
      <w:r>
        <w:rPr>
          <w:rFonts w:hint="eastAsia"/>
          <w:lang w:eastAsia="zh-CN"/>
        </w:rPr>
        <w:t>）；</w:t>
      </w:r>
    </w:p>
    <w:p>
      <w:pPr>
        <w:kinsoku/>
        <w:ind w:firstLine="640"/>
        <w:rPr>
          <w:lang w:eastAsia="zh-CN"/>
        </w:rPr>
      </w:pPr>
      <w:r>
        <w:rPr>
          <w:rFonts w:hint="eastAsia"/>
          <w:lang w:eastAsia="zh-CN"/>
        </w:rPr>
        <w:t>（</w:t>
      </w:r>
      <w:r>
        <w:rPr>
          <w:lang w:eastAsia="zh-CN"/>
        </w:rPr>
        <w:t>5</w:t>
      </w:r>
      <w:r>
        <w:rPr>
          <w:rFonts w:hint="eastAsia"/>
          <w:lang w:eastAsia="zh-CN"/>
        </w:rPr>
        <w:t>）《森林火情瞭望监测设施建设标准》（建标</w:t>
      </w:r>
      <w:r>
        <w:rPr>
          <w:lang w:eastAsia="zh-CN"/>
        </w:rPr>
        <w:t xml:space="preserve"> 23-2009</w:t>
      </w:r>
      <w:r>
        <w:rPr>
          <w:rFonts w:hint="eastAsia"/>
          <w:lang w:eastAsia="zh-CN"/>
        </w:rPr>
        <w:t>）；</w:t>
      </w:r>
    </w:p>
    <w:p>
      <w:pPr>
        <w:ind w:firstLine="640"/>
        <w:rPr>
          <w:lang w:eastAsia="zh-CN"/>
        </w:rPr>
      </w:pPr>
      <w:r>
        <w:rPr>
          <w:rFonts w:hint="eastAsia"/>
          <w:lang w:eastAsia="zh-CN"/>
        </w:rPr>
        <w:t>（</w:t>
      </w:r>
      <w:r>
        <w:rPr>
          <w:lang w:eastAsia="zh-CN"/>
        </w:rPr>
        <w:t>6</w:t>
      </w:r>
      <w:r>
        <w:rPr>
          <w:rFonts w:hint="eastAsia"/>
          <w:lang w:eastAsia="zh-CN"/>
        </w:rPr>
        <w:t>）《林火阻隔系统建设标准》（</w:t>
      </w:r>
      <w:r>
        <w:rPr>
          <w:lang w:eastAsia="zh-CN"/>
        </w:rPr>
        <w:t>LY/T5007-2014</w:t>
      </w:r>
      <w:r>
        <w:rPr>
          <w:rFonts w:hint="eastAsia"/>
          <w:lang w:eastAsia="zh-CN"/>
        </w:rPr>
        <w:t>）；</w:t>
      </w:r>
    </w:p>
    <w:p>
      <w:pPr>
        <w:ind w:firstLine="640"/>
        <w:rPr>
          <w:lang w:eastAsia="zh-CN"/>
        </w:rPr>
      </w:pPr>
      <w:r>
        <w:rPr>
          <w:rFonts w:hint="eastAsia"/>
          <w:lang w:eastAsia="zh-CN"/>
        </w:rPr>
        <w:t>（</w:t>
      </w:r>
      <w:r>
        <w:rPr>
          <w:lang w:eastAsia="zh-CN"/>
        </w:rPr>
        <w:t>7</w:t>
      </w:r>
      <w:r>
        <w:rPr>
          <w:rFonts w:hint="eastAsia"/>
          <w:lang w:eastAsia="zh-CN"/>
        </w:rPr>
        <w:t>）《森林防火专业队伍建设标准》（</w:t>
      </w:r>
      <w:r>
        <w:rPr>
          <w:lang w:eastAsia="zh-CN"/>
        </w:rPr>
        <w:t>LT/T5009-2014</w:t>
      </w:r>
      <w:r>
        <w:rPr>
          <w:rFonts w:hint="eastAsia"/>
          <w:lang w:eastAsia="zh-CN"/>
        </w:rPr>
        <w:t>）；</w:t>
      </w:r>
    </w:p>
    <w:p>
      <w:pPr>
        <w:ind w:firstLine="640"/>
        <w:rPr>
          <w:lang w:eastAsia="zh-CN"/>
        </w:rPr>
      </w:pPr>
      <w:r>
        <w:rPr>
          <w:rFonts w:hint="eastAsia"/>
          <w:lang w:eastAsia="zh-CN"/>
        </w:rPr>
        <w:t>（</w:t>
      </w:r>
      <w:r>
        <w:rPr>
          <w:lang w:eastAsia="zh-CN"/>
        </w:rPr>
        <w:t>8</w:t>
      </w:r>
      <w:r>
        <w:rPr>
          <w:rFonts w:hint="eastAsia"/>
          <w:lang w:eastAsia="zh-CN"/>
        </w:rPr>
        <w:t>）《国家发改委、建设部关于印发</w:t>
      </w:r>
      <w:r>
        <w:rPr>
          <w:lang w:eastAsia="zh-CN"/>
        </w:rPr>
        <w:t>&lt;</w:t>
      </w:r>
      <w:r>
        <w:rPr>
          <w:rFonts w:hint="eastAsia"/>
          <w:lang w:eastAsia="zh-CN"/>
        </w:rPr>
        <w:t>建设工程监理与相关服务收费管理规定</w:t>
      </w:r>
      <w:r>
        <w:rPr>
          <w:lang w:eastAsia="zh-CN"/>
        </w:rPr>
        <w:t>&gt;</w:t>
      </w:r>
      <w:r>
        <w:rPr>
          <w:rFonts w:hint="eastAsia"/>
          <w:lang w:eastAsia="zh-CN"/>
        </w:rPr>
        <w:t>的通知》；</w:t>
      </w:r>
    </w:p>
    <w:p>
      <w:pPr>
        <w:ind w:firstLine="640"/>
        <w:rPr>
          <w:lang w:eastAsia="zh-CN"/>
        </w:rPr>
      </w:pPr>
      <w:r>
        <w:rPr>
          <w:rFonts w:hint="eastAsia"/>
          <w:lang w:eastAsia="zh-CN"/>
        </w:rPr>
        <w:t>（</w:t>
      </w:r>
      <w:r>
        <w:rPr>
          <w:lang w:eastAsia="zh-CN"/>
        </w:rPr>
        <w:t>9</w:t>
      </w:r>
      <w:r>
        <w:rPr>
          <w:rFonts w:hint="eastAsia"/>
          <w:lang w:eastAsia="zh-CN"/>
        </w:rPr>
        <w:t>）设备价格：产品采用厂家对外供货价格，非标准设备则取估算价格。</w:t>
      </w:r>
    </w:p>
    <w:p>
      <w:pPr>
        <w:pStyle w:val="3"/>
      </w:pPr>
      <w:bookmarkStart w:id="147" w:name="_Toc213072531"/>
      <w:r>
        <w:rPr>
          <w:rFonts w:hint="eastAsia"/>
        </w:rPr>
        <w:t>二、估算结果</w:t>
      </w:r>
      <w:bookmarkEnd w:id="146"/>
      <w:bookmarkEnd w:id="147"/>
    </w:p>
    <w:p>
      <w:pPr>
        <w:ind w:firstLine="640"/>
        <w:rPr>
          <w:lang w:eastAsia="zh-CN"/>
        </w:rPr>
      </w:pPr>
      <w:r>
        <w:rPr>
          <w:rFonts w:hint="eastAsia"/>
          <w:lang w:eastAsia="zh-CN"/>
        </w:rPr>
        <w:t>经估算，通州区森林防火建设总投资共</w:t>
      </w:r>
      <w:r>
        <w:rPr>
          <w:lang w:eastAsia="zh-CN"/>
        </w:rPr>
        <w:t>14775.6</w:t>
      </w:r>
      <w:r>
        <w:rPr>
          <w:rFonts w:hint="eastAsia"/>
          <w:lang w:eastAsia="zh-CN"/>
        </w:rPr>
        <w:t>万元。按建设项目与费用构成分：</w:t>
      </w:r>
    </w:p>
    <w:p>
      <w:pPr>
        <w:ind w:firstLine="640"/>
        <w:rPr>
          <w:lang w:eastAsia="zh-CN"/>
        </w:rPr>
      </w:pPr>
      <w:r>
        <w:rPr>
          <w:rFonts w:hint="eastAsia"/>
          <w:lang w:eastAsia="zh-CN"/>
        </w:rPr>
        <w:t>（一）预防体系建设</w:t>
      </w:r>
    </w:p>
    <w:p>
      <w:pPr>
        <w:kinsoku/>
        <w:ind w:firstLine="640"/>
        <w:rPr>
          <w:lang w:eastAsia="zh-CN"/>
        </w:rPr>
      </w:pPr>
      <w:r>
        <w:rPr>
          <w:rFonts w:hint="eastAsia"/>
          <w:lang w:eastAsia="zh-CN"/>
        </w:rPr>
        <w:t>森林防火道路改造提升60万元，占总投资的0.41</w:t>
      </w:r>
      <w:r>
        <w:rPr>
          <w:lang w:eastAsia="zh-CN"/>
        </w:rPr>
        <w:t>%</w:t>
      </w:r>
      <w:r>
        <w:rPr>
          <w:rFonts w:hint="eastAsia"/>
          <w:lang w:eastAsia="zh-CN"/>
        </w:rPr>
        <w:t>，森林防火预警监测系统1880万元，占总投资的12.72</w:t>
      </w:r>
      <w:r>
        <w:rPr>
          <w:lang w:eastAsia="zh-CN"/>
        </w:rPr>
        <w:t>%</w:t>
      </w:r>
      <w:r>
        <w:rPr>
          <w:rFonts w:hint="eastAsia"/>
          <w:lang w:eastAsia="zh-CN"/>
        </w:rPr>
        <w:t>；宣传标识系统建设194万元，占总投资的1.31</w:t>
      </w:r>
      <w:r>
        <w:rPr>
          <w:lang w:eastAsia="zh-CN"/>
        </w:rPr>
        <w:t>%</w:t>
      </w:r>
      <w:r>
        <w:rPr>
          <w:rFonts w:hint="eastAsia"/>
          <w:lang w:eastAsia="zh-CN"/>
        </w:rPr>
        <w:t>，森林防火科普宣传教育场所1700万元，占总投资的11.51</w:t>
      </w:r>
      <w:r>
        <w:rPr>
          <w:lang w:eastAsia="zh-CN"/>
        </w:rPr>
        <w:t>%</w:t>
      </w:r>
      <w:r>
        <w:rPr>
          <w:rFonts w:hint="eastAsia"/>
          <w:lang w:eastAsia="zh-CN"/>
        </w:rPr>
        <w:t>，森林防火宣教活动500万元，占总投资的3.38</w:t>
      </w:r>
      <w:r>
        <w:rPr>
          <w:lang w:eastAsia="zh-CN"/>
        </w:rPr>
        <w:t>%</w:t>
      </w:r>
      <w:r>
        <w:rPr>
          <w:rFonts w:hint="eastAsia"/>
          <w:lang w:eastAsia="zh-CN"/>
        </w:rPr>
        <w:t>；</w:t>
      </w:r>
    </w:p>
    <w:p>
      <w:pPr>
        <w:ind w:firstLine="640"/>
        <w:rPr>
          <w:lang w:eastAsia="zh-CN"/>
        </w:rPr>
      </w:pPr>
      <w:r>
        <w:rPr>
          <w:rFonts w:hint="eastAsia"/>
          <w:lang w:eastAsia="zh-CN"/>
        </w:rPr>
        <w:t>（二）火灾早期处置体系建设</w:t>
      </w:r>
    </w:p>
    <w:p>
      <w:pPr>
        <w:ind w:firstLine="640"/>
        <w:rPr>
          <w:lang w:eastAsia="zh-CN"/>
        </w:rPr>
      </w:pPr>
      <w:r>
        <w:rPr>
          <w:rFonts w:hint="eastAsia"/>
          <w:lang w:eastAsia="zh-CN"/>
        </w:rPr>
        <w:t>森林防火通信指挥系统建设工程投资898.5万元，占总投资的6.08</w:t>
      </w:r>
      <w:r>
        <w:rPr>
          <w:lang w:eastAsia="zh-CN"/>
        </w:rPr>
        <w:t>%</w:t>
      </w:r>
      <w:r>
        <w:rPr>
          <w:rFonts w:hint="eastAsia"/>
          <w:lang w:eastAsia="zh-CN"/>
        </w:rPr>
        <w:t>，森林消防队伍建设投资7010万元，占总投资的47.44</w:t>
      </w:r>
      <w:r>
        <w:rPr>
          <w:lang w:eastAsia="zh-CN"/>
        </w:rPr>
        <w:t>%</w:t>
      </w:r>
      <w:r>
        <w:rPr>
          <w:rFonts w:hint="eastAsia"/>
          <w:lang w:eastAsia="zh-CN"/>
        </w:rPr>
        <w:t>；以水灭火系统建设投资93.4万元，占总投资的0.63%。</w:t>
      </w:r>
    </w:p>
    <w:p>
      <w:pPr>
        <w:ind w:firstLine="640"/>
        <w:rPr>
          <w:lang w:eastAsia="zh-CN"/>
        </w:rPr>
      </w:pPr>
      <w:r>
        <w:rPr>
          <w:rFonts w:hint="eastAsia"/>
          <w:lang w:eastAsia="zh-CN"/>
        </w:rPr>
        <w:t>（三）保障体系建设</w:t>
      </w:r>
    </w:p>
    <w:p>
      <w:pPr>
        <w:kinsoku/>
        <w:ind w:firstLine="640"/>
        <w:rPr>
          <w:lang w:eastAsia="zh-CN"/>
        </w:rPr>
      </w:pPr>
      <w:r>
        <w:rPr>
          <w:rFonts w:hint="eastAsia"/>
          <w:lang w:eastAsia="zh-CN"/>
        </w:rPr>
        <w:t>物资储备库提升改造投资500万元投资，占总投资的3.38</w:t>
      </w:r>
      <w:r>
        <w:rPr>
          <w:lang w:eastAsia="zh-CN"/>
        </w:rPr>
        <w:t>%</w:t>
      </w:r>
      <w:r>
        <w:rPr>
          <w:rFonts w:hint="eastAsia"/>
          <w:lang w:eastAsia="zh-CN"/>
        </w:rPr>
        <w:t>。</w:t>
      </w:r>
    </w:p>
    <w:p>
      <w:pPr>
        <w:ind w:firstLine="640"/>
        <w:rPr>
          <w:lang w:eastAsia="zh-CN"/>
        </w:rPr>
      </w:pPr>
      <w:r>
        <w:rPr>
          <w:rFonts w:hint="eastAsia"/>
          <w:lang w:eastAsia="zh-CN"/>
        </w:rPr>
        <w:t>（四）平台维护费用</w:t>
      </w:r>
    </w:p>
    <w:p>
      <w:pPr>
        <w:ind w:firstLine="640"/>
        <w:rPr>
          <w:lang w:eastAsia="zh-CN"/>
        </w:rPr>
      </w:pPr>
      <w:r>
        <w:rPr>
          <w:rFonts w:hint="eastAsia"/>
          <w:lang w:eastAsia="zh-CN"/>
        </w:rPr>
        <w:t>森林防火预警监测系统后期维护投资180.5万元，占总投资的1.22%。</w:t>
      </w:r>
    </w:p>
    <w:p>
      <w:pPr>
        <w:ind w:firstLine="640"/>
        <w:rPr>
          <w:lang w:eastAsia="zh-CN"/>
        </w:rPr>
      </w:pPr>
      <w:r>
        <w:rPr>
          <w:rFonts w:hint="eastAsia"/>
          <w:lang w:eastAsia="zh-CN"/>
        </w:rPr>
        <w:t>（五）其他及预备费用</w:t>
      </w:r>
    </w:p>
    <w:p>
      <w:pPr>
        <w:ind w:firstLine="640"/>
        <w:rPr>
          <w:lang w:eastAsia="zh-CN"/>
        </w:rPr>
      </w:pPr>
      <w:r>
        <w:rPr>
          <w:rFonts w:hint="eastAsia"/>
          <w:lang w:eastAsia="zh-CN"/>
        </w:rPr>
        <w:t>其他费用与预备费合计投资</w:t>
      </w:r>
      <w:r>
        <w:rPr>
          <w:lang w:eastAsia="zh-CN"/>
        </w:rPr>
        <w:t>1759.2</w:t>
      </w:r>
      <w:r>
        <w:rPr>
          <w:rFonts w:hint="eastAsia"/>
          <w:lang w:eastAsia="zh-CN"/>
        </w:rPr>
        <w:t>7万元，占总投资的11.9</w:t>
      </w:r>
      <w:r>
        <w:rPr>
          <w:lang w:eastAsia="zh-CN"/>
        </w:rPr>
        <w:t>%</w:t>
      </w:r>
      <w:r>
        <w:rPr>
          <w:rFonts w:hint="eastAsia"/>
          <w:lang w:eastAsia="zh-CN"/>
        </w:rPr>
        <w:t>。详见下表。</w:t>
      </w:r>
    </w:p>
    <w:p>
      <w:pPr>
        <w:kinsoku/>
        <w:autoSpaceDE/>
        <w:autoSpaceDN/>
        <w:adjustRightInd/>
        <w:snapToGrid/>
        <w:spacing w:before="0" w:after="0" w:line="240" w:lineRule="auto"/>
        <w:ind w:firstLine="0" w:firstLineChars="0"/>
        <w:jc w:val="left"/>
        <w:textAlignment w:val="auto"/>
        <w:rPr>
          <w:lang w:eastAsia="zh-CN"/>
        </w:rPr>
      </w:pPr>
      <w:r>
        <w:rPr>
          <w:lang w:eastAsia="zh-CN"/>
        </w:rPr>
        <w:br w:type="page"/>
      </w:r>
    </w:p>
    <w:p>
      <w:pPr>
        <w:spacing w:before="380" w:after="0" w:line="240" w:lineRule="atLeast"/>
        <w:ind w:firstLine="0" w:firstLineChars="0"/>
        <w:jc w:val="center"/>
        <w:rPr>
          <w:rFonts w:eastAsia="黑体" w:cs="黑体"/>
          <w:b/>
          <w:bCs/>
          <w:sz w:val="24"/>
          <w:szCs w:val="24"/>
          <w:lang w:eastAsia="zh-CN"/>
        </w:rPr>
      </w:pPr>
      <w:r>
        <w:rPr>
          <w:rFonts w:hint="eastAsia" w:eastAsia="黑体" w:cs="黑体"/>
          <w:b/>
          <w:bCs/>
          <w:sz w:val="24"/>
          <w:szCs w:val="24"/>
          <w:lang w:eastAsia="zh-CN"/>
        </w:rPr>
        <w:t>表</w:t>
      </w:r>
      <w:r>
        <w:rPr>
          <w:rFonts w:eastAsia="黑体" w:cs="黑体"/>
          <w:b/>
          <w:bCs/>
          <w:sz w:val="24"/>
          <w:szCs w:val="24"/>
          <w:lang w:eastAsia="zh-CN"/>
        </w:rPr>
        <w:t xml:space="preserve"> </w:t>
      </w:r>
      <w:r>
        <w:rPr>
          <w:rFonts w:hint="eastAsia" w:eastAsia="黑体" w:cs="黑体"/>
          <w:b/>
          <w:bCs/>
          <w:sz w:val="24"/>
          <w:szCs w:val="24"/>
          <w:lang w:eastAsia="zh-CN"/>
        </w:rPr>
        <w:t>投资规模按规划建设内容统计表</w:t>
      </w:r>
    </w:p>
    <w:tbl>
      <w:tblPr>
        <w:tblStyle w:val="28"/>
        <w:tblW w:w="5000" w:type="pct"/>
        <w:tblInd w:w="0" w:type="dxa"/>
        <w:tblLayout w:type="autofit"/>
        <w:tblCellMar>
          <w:top w:w="0" w:type="dxa"/>
          <w:left w:w="108" w:type="dxa"/>
          <w:bottom w:w="0" w:type="dxa"/>
          <w:right w:w="108" w:type="dxa"/>
        </w:tblCellMar>
      </w:tblPr>
      <w:tblGrid>
        <w:gridCol w:w="2107"/>
        <w:gridCol w:w="2890"/>
        <w:gridCol w:w="1122"/>
        <w:gridCol w:w="565"/>
        <w:gridCol w:w="1080"/>
        <w:gridCol w:w="1296"/>
      </w:tblGrid>
      <w:tr>
        <w:tblPrEx>
          <w:tblCellMar>
            <w:top w:w="0" w:type="dxa"/>
            <w:left w:w="108" w:type="dxa"/>
            <w:bottom w:w="0" w:type="dxa"/>
            <w:right w:w="108" w:type="dxa"/>
          </w:tblCellMar>
        </w:tblPrEx>
        <w:trPr>
          <w:trHeight w:val="495" w:hRule="atLeast"/>
          <w:tblHeader/>
        </w:trPr>
        <w:tc>
          <w:tcPr>
            <w:tcW w:w="1163"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项目名称</w:t>
            </w: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具体设施</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建设数量</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单位</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单价</w:t>
            </w:r>
            <w:r>
              <w:rPr>
                <w:rFonts w:hint="eastAsia" w:ascii="宋体" w:hAnsi="宋体" w:eastAsia="宋体" w:cs="宋体"/>
                <w:b/>
                <w:bCs/>
                <w:snapToGrid/>
                <w:sz w:val="20"/>
                <w:szCs w:val="20"/>
                <w:lang w:eastAsia="zh-CN"/>
              </w:rPr>
              <w:br w:type="textWrapping"/>
            </w:r>
            <w:r>
              <w:rPr>
                <w:rFonts w:hint="eastAsia" w:ascii="宋体" w:hAnsi="宋体" w:eastAsia="宋体" w:cs="宋体"/>
                <w:b/>
                <w:bCs/>
                <w:snapToGrid/>
                <w:sz w:val="20"/>
                <w:szCs w:val="20"/>
                <w:lang w:eastAsia="zh-CN"/>
              </w:rPr>
              <w:t>（万元）</w:t>
            </w:r>
          </w:p>
        </w:tc>
        <w:tc>
          <w:tcPr>
            <w:tcW w:w="715" w:type="pct"/>
            <w:tcBorders>
              <w:top w:val="single" w:color="000000" w:sz="8" w:space="0"/>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总投资</w:t>
            </w:r>
            <w:r>
              <w:rPr>
                <w:rFonts w:hint="eastAsia" w:ascii="宋体" w:hAnsi="宋体" w:eastAsia="宋体" w:cs="宋体"/>
                <w:b/>
                <w:bCs/>
                <w:snapToGrid/>
                <w:sz w:val="20"/>
                <w:szCs w:val="20"/>
                <w:lang w:eastAsia="zh-CN"/>
              </w:rPr>
              <w:br w:type="textWrapping"/>
            </w:r>
            <w:r>
              <w:rPr>
                <w:rFonts w:hint="eastAsia" w:ascii="宋体" w:hAnsi="宋体" w:eastAsia="宋体" w:cs="宋体"/>
                <w:b/>
                <w:bCs/>
                <w:snapToGrid/>
                <w:sz w:val="20"/>
                <w:szCs w:val="20"/>
                <w:lang w:eastAsia="zh-CN"/>
              </w:rPr>
              <w:t>（万元）</w:t>
            </w:r>
          </w:p>
        </w:tc>
      </w:tr>
      <w:tr>
        <w:tblPrEx>
          <w:tblCellMar>
            <w:top w:w="0" w:type="dxa"/>
            <w:left w:w="108" w:type="dxa"/>
            <w:bottom w:w="0" w:type="dxa"/>
            <w:right w:w="108" w:type="dxa"/>
          </w:tblCellMar>
        </w:tblPrEx>
        <w:trPr>
          <w:trHeight w:val="288" w:hRule="atLeast"/>
        </w:trPr>
        <w:tc>
          <w:tcPr>
            <w:tcW w:w="1163"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项目总投资</w:t>
            </w: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 xml:space="preserve">14775.6 </w:t>
            </w:r>
          </w:p>
        </w:tc>
      </w:tr>
      <w:tr>
        <w:tblPrEx>
          <w:tblCellMar>
            <w:top w:w="0" w:type="dxa"/>
            <w:left w:w="108" w:type="dxa"/>
            <w:bottom w:w="0" w:type="dxa"/>
            <w:right w:w="108" w:type="dxa"/>
          </w:tblCellMar>
        </w:tblPrEx>
        <w:trPr>
          <w:trHeight w:val="288" w:hRule="atLeast"/>
        </w:trPr>
        <w:tc>
          <w:tcPr>
            <w:tcW w:w="1163"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工程费用</w:t>
            </w: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 xml:space="preserve">13016.4 </w:t>
            </w:r>
          </w:p>
        </w:tc>
      </w:tr>
      <w:tr>
        <w:tblPrEx>
          <w:tblCellMar>
            <w:top w:w="0" w:type="dxa"/>
            <w:left w:w="108" w:type="dxa"/>
            <w:bottom w:w="0" w:type="dxa"/>
            <w:right w:w="108" w:type="dxa"/>
          </w:tblCellMar>
        </w:tblPrEx>
        <w:trPr>
          <w:trHeight w:val="990" w:hRule="atLeast"/>
        </w:trPr>
        <w:tc>
          <w:tcPr>
            <w:tcW w:w="1163" w:type="pct"/>
            <w:vMerge w:val="restar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一、预防体系建设</w:t>
            </w: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（一）森林防火道路改造提升</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200</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公里</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3000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60</w:t>
            </w:r>
          </w:p>
        </w:tc>
      </w:tr>
      <w:tr>
        <w:tblPrEx>
          <w:tblCellMar>
            <w:top w:w="0" w:type="dxa"/>
            <w:left w:w="108" w:type="dxa"/>
            <w:bottom w:w="0" w:type="dxa"/>
            <w:right w:w="108" w:type="dxa"/>
          </w:tblCellMar>
        </w:tblPrEx>
        <w:trPr>
          <w:trHeight w:val="303"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（二）森林防火预警监测系统</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1880</w:t>
            </w:r>
          </w:p>
        </w:tc>
      </w:tr>
      <w:tr>
        <w:tblPrEx>
          <w:tblCellMar>
            <w:top w:w="0" w:type="dxa"/>
            <w:left w:w="108" w:type="dxa"/>
            <w:bottom w:w="0" w:type="dxa"/>
            <w:right w:w="108" w:type="dxa"/>
          </w:tblCellMar>
        </w:tblPrEx>
        <w:trPr>
          <w:trHeight w:val="303"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森林火险综合监测站</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个</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18</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90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林火预警监测系统</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15</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个</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30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450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多功能防火警示系统建设</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200</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项</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200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地表火红外监测预警系统</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80</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套</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8</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640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林木智能保护基站新建</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10</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座</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（三）宣传标识系统建设</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194</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宣传牌</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180</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块</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0.8</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144</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语音杆</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100</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根</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0.5</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（四）森林防火科普宣传教育场所</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1700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智能宣教基地</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25</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个</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1250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区级宣传教育场所</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3</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个</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150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450</w:t>
            </w:r>
          </w:p>
        </w:tc>
      </w:tr>
      <w:tr>
        <w:tblPrEx>
          <w:tblCellMar>
            <w:top w:w="0" w:type="dxa"/>
            <w:left w:w="108" w:type="dxa"/>
            <w:bottom w:w="0" w:type="dxa"/>
            <w:right w:w="108" w:type="dxa"/>
          </w:tblCellMar>
        </w:tblPrEx>
        <w:trPr>
          <w:trHeight w:val="288" w:hRule="atLeast"/>
        </w:trPr>
        <w:tc>
          <w:tcPr>
            <w:tcW w:w="1163" w:type="pct"/>
            <w:vMerge w:val="continue"/>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（五）森林防火宣教活动</w:t>
            </w:r>
          </w:p>
        </w:tc>
        <w:tc>
          <w:tcPr>
            <w:tcW w:w="619"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1</w:t>
            </w:r>
          </w:p>
        </w:tc>
        <w:tc>
          <w:tcPr>
            <w:tcW w:w="312"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w:t>
            </w:r>
          </w:p>
        </w:tc>
        <w:tc>
          <w:tcPr>
            <w:tcW w:w="596" w:type="pct"/>
            <w:tcBorders>
              <w:top w:val="single" w:color="000000" w:sz="8" w:space="0"/>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500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500</w:t>
            </w:r>
          </w:p>
        </w:tc>
      </w:tr>
      <w:tr>
        <w:tblPrEx>
          <w:tblCellMar>
            <w:top w:w="0" w:type="dxa"/>
            <w:left w:w="108" w:type="dxa"/>
            <w:bottom w:w="0" w:type="dxa"/>
            <w:right w:w="108" w:type="dxa"/>
          </w:tblCellMar>
        </w:tblPrEx>
        <w:trPr>
          <w:trHeight w:val="740" w:hRule="atLeast"/>
        </w:trPr>
        <w:tc>
          <w:tcPr>
            <w:tcW w:w="1163"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二、火灾早期处置体系建设</w:t>
            </w: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（一）森林防火通信指挥系统建设工程</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898.5</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400</w:t>
            </w:r>
            <w:r>
              <w:rPr>
                <w:rFonts w:ascii="宋体" w:hAnsi="宋体" w:eastAsia="宋体" w:cs="Times New Roman"/>
                <w:snapToGrid/>
                <w:sz w:val="20"/>
                <w:szCs w:val="20"/>
                <w:lang w:eastAsia="zh-CN"/>
              </w:rPr>
              <w:t>兆通信基站</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2</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座</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150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300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400</w:t>
            </w:r>
            <w:r>
              <w:rPr>
                <w:rFonts w:ascii="宋体" w:hAnsi="宋体" w:eastAsia="宋体" w:cs="Times New Roman"/>
                <w:snapToGrid/>
                <w:sz w:val="20"/>
                <w:szCs w:val="20"/>
                <w:lang w:eastAsia="zh-CN"/>
              </w:rPr>
              <w:t>兆基地电台</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8</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套</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20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160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400</w:t>
            </w:r>
            <w:r>
              <w:rPr>
                <w:rFonts w:ascii="宋体" w:hAnsi="宋体" w:eastAsia="宋体" w:cs="Times New Roman"/>
                <w:snapToGrid/>
                <w:sz w:val="20"/>
                <w:szCs w:val="20"/>
                <w:lang w:eastAsia="zh-CN"/>
              </w:rPr>
              <w:t>兆数字终端设备</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59</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套</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1.5</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88.5</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信息调度指挥平台改造提升</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项</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卫星系统</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套</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300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300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（二）森林消防队伍建设</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7010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基层森林防灭火半专业队伍建设</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项</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3000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3000</w:t>
            </w:r>
          </w:p>
        </w:tc>
      </w:tr>
      <w:tr>
        <w:tblPrEx>
          <w:tblCellMar>
            <w:top w:w="0" w:type="dxa"/>
            <w:left w:w="108" w:type="dxa"/>
            <w:bottom w:w="0" w:type="dxa"/>
            <w:right w:w="108" w:type="dxa"/>
          </w:tblCellMar>
        </w:tblPrEx>
        <w:trPr>
          <w:trHeight w:val="303"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森林防火巡护队伍建设</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项</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1800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1800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扑火机具装备建设</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项</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森林消防业务培训</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50000</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人次</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0.03</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1500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暖库</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7</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项</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30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210</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（三）以水灭火系统建设</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Times New Roman" w:cs="Times New Roman"/>
                <w:snapToGrid/>
                <w:color w:val="auto"/>
                <w:sz w:val="20"/>
                <w:szCs w:val="20"/>
                <w:lang w:eastAsia="zh-CN"/>
              </w:rPr>
            </w:pP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93.4</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消防水鹤</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166</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个</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0.4</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66.4</w:t>
            </w:r>
          </w:p>
        </w:tc>
      </w:tr>
      <w:tr>
        <w:tblPrEx>
          <w:tblCellMar>
            <w:top w:w="0" w:type="dxa"/>
            <w:left w:w="108" w:type="dxa"/>
            <w:bottom w:w="0" w:type="dxa"/>
            <w:right w:w="108" w:type="dxa"/>
          </w:tblCellMar>
        </w:tblPrEx>
        <w:trPr>
          <w:trHeight w:val="288"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消防洒水车</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10</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hint="eastAsia" w:ascii="宋体" w:hAnsi="宋体" w:eastAsia="宋体" w:cs="宋体"/>
                <w:snapToGrid/>
                <w:sz w:val="20"/>
                <w:szCs w:val="20"/>
                <w:lang w:eastAsia="zh-CN"/>
              </w:rPr>
              <w:t>辆</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2.7</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27</w:t>
            </w:r>
          </w:p>
        </w:tc>
      </w:tr>
      <w:tr>
        <w:tblPrEx>
          <w:tblCellMar>
            <w:top w:w="0" w:type="dxa"/>
            <w:left w:w="108" w:type="dxa"/>
            <w:bottom w:w="0" w:type="dxa"/>
            <w:right w:w="108" w:type="dxa"/>
          </w:tblCellMar>
        </w:tblPrEx>
        <w:trPr>
          <w:trHeight w:val="700" w:hRule="atLeast"/>
        </w:trPr>
        <w:tc>
          <w:tcPr>
            <w:tcW w:w="1163" w:type="pc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三、保障体系建设</w:t>
            </w: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（一）物资储备库提升改造</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1</w:t>
            </w:r>
          </w:p>
        </w:tc>
        <w:tc>
          <w:tcPr>
            <w:tcW w:w="312"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w:t>
            </w:r>
          </w:p>
        </w:tc>
        <w:tc>
          <w:tcPr>
            <w:tcW w:w="596"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500</w:t>
            </w:r>
          </w:p>
        </w:tc>
        <w:tc>
          <w:tcPr>
            <w:tcW w:w="71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b/>
                <w:bCs/>
                <w:snapToGrid/>
                <w:sz w:val="20"/>
                <w:szCs w:val="20"/>
                <w:lang w:eastAsia="zh-CN"/>
              </w:rPr>
            </w:pPr>
            <w:r>
              <w:rPr>
                <w:rFonts w:eastAsia="宋体" w:cs="Times New Roman"/>
                <w:b/>
                <w:bCs/>
                <w:snapToGrid/>
                <w:sz w:val="20"/>
                <w:szCs w:val="20"/>
                <w:lang w:eastAsia="zh-CN"/>
              </w:rPr>
              <w:t>500</w:t>
            </w:r>
          </w:p>
        </w:tc>
      </w:tr>
      <w:tr>
        <w:tblPrEx>
          <w:tblCellMar>
            <w:top w:w="0" w:type="dxa"/>
            <w:left w:w="108" w:type="dxa"/>
            <w:bottom w:w="0" w:type="dxa"/>
            <w:right w:w="108" w:type="dxa"/>
          </w:tblCellMar>
        </w:tblPrEx>
        <w:trPr>
          <w:trHeight w:val="700" w:hRule="atLeast"/>
        </w:trPr>
        <w:tc>
          <w:tcPr>
            <w:tcW w:w="1163" w:type="pc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四、平台维护费用</w:t>
            </w: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森林防火预警监测系统后期维护</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ascii="宋体" w:hAnsi="宋体" w:eastAsia="宋体" w:cs="宋体"/>
                <w:snapToGrid/>
                <w:sz w:val="20"/>
                <w:szCs w:val="20"/>
                <w:lang w:eastAsia="zh-CN"/>
              </w:rPr>
              <w:t>按系统建设费用的</w:t>
            </w:r>
            <w:r>
              <w:rPr>
                <w:rFonts w:eastAsia="宋体" w:cs="Times New Roman"/>
                <w:snapToGrid/>
                <w:sz w:val="20"/>
                <w:szCs w:val="20"/>
                <w:lang w:eastAsia="zh-CN"/>
              </w:rPr>
              <w:t>9.6%</w:t>
            </w:r>
          </w:p>
        </w:tc>
        <w:tc>
          <w:tcPr>
            <w:tcW w:w="1623" w:type="pct"/>
            <w:gridSpan w:val="3"/>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 xml:space="preserve">180.5 </w:t>
            </w:r>
          </w:p>
        </w:tc>
      </w:tr>
      <w:tr>
        <w:tblPrEx>
          <w:tblCellMar>
            <w:top w:w="0" w:type="dxa"/>
            <w:left w:w="108" w:type="dxa"/>
            <w:bottom w:w="0" w:type="dxa"/>
            <w:right w:w="108" w:type="dxa"/>
          </w:tblCellMar>
        </w:tblPrEx>
        <w:trPr>
          <w:trHeight w:val="750" w:hRule="atLeast"/>
        </w:trPr>
        <w:tc>
          <w:tcPr>
            <w:tcW w:w="1163" w:type="pct"/>
            <w:vMerge w:val="restar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五、其他费用</w:t>
            </w: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可研、规划、勘察设计费</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ascii="宋体" w:hAnsi="宋体" w:eastAsia="宋体" w:cs="宋体"/>
                <w:snapToGrid/>
                <w:sz w:val="20"/>
                <w:szCs w:val="20"/>
                <w:lang w:eastAsia="zh-CN"/>
              </w:rPr>
              <w:t>按工程费用的</w:t>
            </w:r>
            <w:r>
              <w:rPr>
                <w:rFonts w:eastAsia="宋体" w:cs="Times New Roman"/>
                <w:snapToGrid/>
                <w:sz w:val="20"/>
                <w:szCs w:val="20"/>
                <w:lang w:eastAsia="zh-CN"/>
              </w:rPr>
              <w:t>3.5%</w:t>
            </w:r>
          </w:p>
        </w:tc>
        <w:tc>
          <w:tcPr>
            <w:tcW w:w="1623" w:type="pct"/>
            <w:gridSpan w:val="3"/>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 xml:space="preserve">455.6 </w:t>
            </w:r>
          </w:p>
        </w:tc>
      </w:tr>
      <w:tr>
        <w:tblPrEx>
          <w:tblCellMar>
            <w:top w:w="0" w:type="dxa"/>
            <w:left w:w="108" w:type="dxa"/>
            <w:bottom w:w="0" w:type="dxa"/>
            <w:right w:w="108" w:type="dxa"/>
          </w:tblCellMar>
        </w:tblPrEx>
        <w:trPr>
          <w:trHeight w:val="534"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建设单位管理费</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ascii="宋体" w:hAnsi="宋体" w:eastAsia="宋体" w:cs="宋体"/>
                <w:snapToGrid/>
                <w:sz w:val="20"/>
                <w:szCs w:val="20"/>
                <w:lang w:eastAsia="zh-CN"/>
              </w:rPr>
              <w:t>按工程费用的</w:t>
            </w:r>
            <w:r>
              <w:rPr>
                <w:rFonts w:eastAsia="宋体" w:cs="Times New Roman"/>
                <w:snapToGrid/>
                <w:sz w:val="20"/>
                <w:szCs w:val="20"/>
                <w:lang w:eastAsia="zh-CN"/>
              </w:rPr>
              <w:t>1.4%</w:t>
            </w:r>
          </w:p>
        </w:tc>
        <w:tc>
          <w:tcPr>
            <w:tcW w:w="1623" w:type="pct"/>
            <w:gridSpan w:val="3"/>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 xml:space="preserve">182.2 </w:t>
            </w:r>
          </w:p>
        </w:tc>
      </w:tr>
      <w:tr>
        <w:tblPrEx>
          <w:tblCellMar>
            <w:top w:w="0" w:type="dxa"/>
            <w:left w:w="108" w:type="dxa"/>
            <w:bottom w:w="0" w:type="dxa"/>
            <w:right w:w="108" w:type="dxa"/>
          </w:tblCellMar>
        </w:tblPrEx>
        <w:trPr>
          <w:trHeight w:val="534"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工程监理费</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ascii="宋体" w:hAnsi="宋体" w:eastAsia="宋体" w:cs="宋体"/>
                <w:snapToGrid/>
                <w:sz w:val="20"/>
                <w:szCs w:val="20"/>
                <w:lang w:eastAsia="zh-CN"/>
              </w:rPr>
              <w:t>按工程费用的</w:t>
            </w:r>
            <w:r>
              <w:rPr>
                <w:rFonts w:eastAsia="宋体" w:cs="Times New Roman"/>
                <w:snapToGrid/>
                <w:sz w:val="20"/>
                <w:szCs w:val="20"/>
                <w:lang w:eastAsia="zh-CN"/>
              </w:rPr>
              <w:t>2.1%</w:t>
            </w:r>
          </w:p>
        </w:tc>
        <w:tc>
          <w:tcPr>
            <w:tcW w:w="1623" w:type="pct"/>
            <w:gridSpan w:val="3"/>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 xml:space="preserve">273.3 </w:t>
            </w:r>
          </w:p>
        </w:tc>
      </w:tr>
      <w:tr>
        <w:tblPrEx>
          <w:tblCellMar>
            <w:top w:w="0" w:type="dxa"/>
            <w:left w:w="108" w:type="dxa"/>
            <w:bottom w:w="0" w:type="dxa"/>
            <w:right w:w="108" w:type="dxa"/>
          </w:tblCellMar>
        </w:tblPrEx>
        <w:trPr>
          <w:trHeight w:val="534" w:hRule="atLeast"/>
        </w:trPr>
        <w:tc>
          <w:tcPr>
            <w:tcW w:w="1163" w:type="pct"/>
            <w:vMerge w:val="continue"/>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left"/>
              <w:textAlignment w:val="auto"/>
              <w:rPr>
                <w:rFonts w:hint="eastAsia" w:ascii="宋体" w:hAnsi="宋体" w:eastAsia="宋体" w:cs="宋体"/>
                <w:b/>
                <w:bCs/>
                <w:snapToGrid/>
                <w:sz w:val="20"/>
                <w:szCs w:val="20"/>
                <w:lang w:eastAsia="zh-CN"/>
              </w:rPr>
            </w:pP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招标费</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ascii="宋体" w:hAnsi="宋体" w:eastAsia="宋体" w:cs="宋体"/>
                <w:snapToGrid/>
                <w:sz w:val="20"/>
                <w:szCs w:val="20"/>
                <w:lang w:eastAsia="zh-CN"/>
              </w:rPr>
              <w:t>按工程费用的</w:t>
            </w:r>
            <w:r>
              <w:rPr>
                <w:rFonts w:eastAsia="宋体" w:cs="Times New Roman"/>
                <w:snapToGrid/>
                <w:sz w:val="20"/>
                <w:szCs w:val="20"/>
                <w:lang w:eastAsia="zh-CN"/>
              </w:rPr>
              <w:t>1.1%</w:t>
            </w:r>
          </w:p>
        </w:tc>
        <w:tc>
          <w:tcPr>
            <w:tcW w:w="1623" w:type="pct"/>
            <w:gridSpan w:val="3"/>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 xml:space="preserve">143.2 </w:t>
            </w:r>
          </w:p>
        </w:tc>
      </w:tr>
      <w:tr>
        <w:tblPrEx>
          <w:tblCellMar>
            <w:top w:w="0" w:type="dxa"/>
            <w:left w:w="108" w:type="dxa"/>
            <w:bottom w:w="0" w:type="dxa"/>
            <w:right w:w="108" w:type="dxa"/>
          </w:tblCellMar>
        </w:tblPrEx>
        <w:trPr>
          <w:trHeight w:val="1014" w:hRule="atLeast"/>
        </w:trPr>
        <w:tc>
          <w:tcPr>
            <w:tcW w:w="1163" w:type="pct"/>
            <w:tcBorders>
              <w:top w:val="nil"/>
              <w:left w:val="single" w:color="000000" w:sz="8" w:space="0"/>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六、预备费</w:t>
            </w:r>
          </w:p>
        </w:tc>
        <w:tc>
          <w:tcPr>
            <w:tcW w:w="1595"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基本预备费</w:t>
            </w:r>
          </w:p>
        </w:tc>
        <w:tc>
          <w:tcPr>
            <w:tcW w:w="619" w:type="pct"/>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hint="eastAsia" w:ascii="宋体" w:hAnsi="宋体" w:eastAsia="宋体" w:cs="宋体"/>
                <w:snapToGrid/>
                <w:sz w:val="20"/>
                <w:szCs w:val="20"/>
                <w:lang w:eastAsia="zh-CN"/>
              </w:rPr>
            </w:pPr>
            <w:r>
              <w:rPr>
                <w:rFonts w:ascii="宋体" w:hAnsi="宋体" w:eastAsia="宋体" w:cs="宋体"/>
                <w:snapToGrid/>
                <w:sz w:val="20"/>
                <w:szCs w:val="20"/>
                <w:lang w:eastAsia="zh-CN"/>
              </w:rPr>
              <w:t>工程费用和其他费用的</w:t>
            </w:r>
            <w:r>
              <w:rPr>
                <w:rFonts w:eastAsia="宋体" w:cs="Times New Roman"/>
                <w:snapToGrid/>
                <w:sz w:val="20"/>
                <w:szCs w:val="20"/>
                <w:lang w:eastAsia="zh-CN"/>
              </w:rPr>
              <w:t>5.01%</w:t>
            </w:r>
          </w:p>
        </w:tc>
        <w:tc>
          <w:tcPr>
            <w:tcW w:w="1623" w:type="pct"/>
            <w:gridSpan w:val="3"/>
            <w:tcBorders>
              <w:top w:val="nil"/>
              <w:left w:val="nil"/>
              <w:bottom w:val="single" w:color="000000" w:sz="8" w:space="0"/>
              <w:right w:val="single" w:color="000000" w:sz="8" w:space="0"/>
            </w:tcBorders>
            <w:vAlign w:val="center"/>
          </w:tcPr>
          <w:p>
            <w:pPr>
              <w:kinsoku/>
              <w:autoSpaceDE/>
              <w:autoSpaceDN/>
              <w:spacing w:before="0" w:after="0" w:line="240" w:lineRule="auto"/>
              <w:ind w:firstLine="0" w:firstLineChars="0"/>
              <w:jc w:val="center"/>
              <w:textAlignment w:val="auto"/>
              <w:rPr>
                <w:rFonts w:eastAsia="宋体" w:cs="Times New Roman"/>
                <w:snapToGrid/>
                <w:sz w:val="20"/>
                <w:szCs w:val="20"/>
                <w:lang w:eastAsia="zh-CN"/>
              </w:rPr>
            </w:pPr>
            <w:r>
              <w:rPr>
                <w:rFonts w:eastAsia="宋体" w:cs="Times New Roman"/>
                <w:snapToGrid/>
                <w:sz w:val="20"/>
                <w:szCs w:val="20"/>
                <w:lang w:eastAsia="zh-CN"/>
              </w:rPr>
              <w:t xml:space="preserve">704.9 </w:t>
            </w:r>
          </w:p>
        </w:tc>
      </w:tr>
    </w:tbl>
    <w:p>
      <w:pPr>
        <w:kinsoku/>
        <w:autoSpaceDE/>
        <w:autoSpaceDN/>
        <w:adjustRightInd/>
        <w:snapToGrid/>
        <w:spacing w:before="0" w:after="0" w:line="240" w:lineRule="auto"/>
        <w:ind w:firstLine="0" w:firstLineChars="0"/>
        <w:jc w:val="left"/>
        <w:textAlignment w:val="auto"/>
        <w:rPr>
          <w:rFonts w:eastAsia="黑体"/>
          <w:bCs/>
          <w:kern w:val="44"/>
          <w:szCs w:val="36"/>
          <w:lang w:eastAsia="zh-CN"/>
        </w:rPr>
      </w:pPr>
      <w:r>
        <w:br w:type="page"/>
      </w:r>
    </w:p>
    <w:p>
      <w:pPr>
        <w:pStyle w:val="2"/>
        <w:rPr>
          <w:rFonts w:hint="eastAsia"/>
        </w:rPr>
      </w:pPr>
      <w:bookmarkStart w:id="148" w:name="_Toc213072532"/>
      <w:r>
        <w:rPr>
          <w:rFonts w:hint="eastAsia"/>
        </w:rPr>
        <w:t>第七章</w:t>
      </w:r>
      <w:r>
        <w:t xml:space="preserve">  </w:t>
      </w:r>
      <w:r>
        <w:rPr>
          <w:rFonts w:hint="eastAsia"/>
        </w:rPr>
        <w:t>保障措施与实施机制</w:t>
      </w:r>
      <w:bookmarkEnd w:id="148"/>
    </w:p>
    <w:p>
      <w:pPr>
        <w:pStyle w:val="3"/>
      </w:pPr>
      <w:bookmarkStart w:id="149" w:name="_Toc213072533"/>
      <w:bookmarkStart w:id="150" w:name="OLE_LINK7"/>
      <w:r>
        <w:rPr>
          <w:rFonts w:hint="eastAsia"/>
        </w:rPr>
        <w:t>一、强化组织保障</w:t>
      </w:r>
      <w:bookmarkEnd w:id="149"/>
    </w:p>
    <w:p>
      <w:pPr>
        <w:ind w:firstLine="640"/>
        <w:rPr>
          <w:lang w:eastAsia="zh-CN"/>
        </w:rPr>
      </w:pPr>
      <w:r>
        <w:rPr>
          <w:rFonts w:hint="eastAsia"/>
          <w:lang w:eastAsia="zh-CN"/>
        </w:rPr>
        <w:t>坚持党对森林防火工作的全面领导，将森林防火纳入各级党委和政府重要议事日程，压实属地管理责任。成立由区政府主要领导牵头、相关部门协同参与的森林防火工作领导小组，统筹协调规划实施中的重大事项。健全区、镇（街道）、村（社区）三级森林防火责任体系，明确各级林长防火职责，推动“林长制”与“防火责任制”深度融合。加强基层防火队伍建设，配齐配强专职护林员和应急扑火力量，形成上下贯通、执行有力的组织保障格局。</w:t>
      </w:r>
    </w:p>
    <w:p>
      <w:pPr>
        <w:pStyle w:val="3"/>
      </w:pPr>
      <w:bookmarkStart w:id="151" w:name="_Toc213072534"/>
      <w:r>
        <w:rPr>
          <w:rFonts w:hint="eastAsia"/>
        </w:rPr>
        <w:t>二、健全机制保障</w:t>
      </w:r>
      <w:bookmarkEnd w:id="151"/>
    </w:p>
    <w:p>
      <w:pPr>
        <w:ind w:firstLine="640"/>
        <w:rPr>
          <w:lang w:eastAsia="zh-CN"/>
        </w:rPr>
      </w:pPr>
      <w:r>
        <w:rPr>
          <w:rFonts w:hint="eastAsia"/>
          <w:lang w:eastAsia="zh-CN"/>
        </w:rPr>
        <w:t>完善森林防火联防联控机制，强化跨区域、跨部门协同联动，推动应急管理、林业、公安、气象、交通、电力等部门实现信息共享、资源共用、行动协同。健全火险预警响应机制，建立分级分类响应标准，做到火情早发现、早报告、早处置。优化应急预案体系，定期组织实战化演练，不断提升应急处置的科学化、规范化水平。探索建立森林防火责任追究与激励机制，将防火成效纳入生态文明建设考核和领导干部绩效评价体系。</w:t>
      </w:r>
    </w:p>
    <w:p>
      <w:pPr>
        <w:pStyle w:val="3"/>
      </w:pPr>
      <w:bookmarkStart w:id="152" w:name="_Toc209952614"/>
      <w:bookmarkStart w:id="153" w:name="_Toc213072535"/>
      <w:r>
        <w:rPr>
          <w:rFonts w:hint="eastAsia"/>
        </w:rPr>
        <w:t>三、</w:t>
      </w:r>
      <w:bookmarkEnd w:id="152"/>
      <w:r>
        <w:rPr>
          <w:rFonts w:hint="eastAsia"/>
        </w:rPr>
        <w:t>夯实资金保障</w:t>
      </w:r>
      <w:bookmarkEnd w:id="153"/>
    </w:p>
    <w:p>
      <w:pPr>
        <w:ind w:firstLine="640"/>
        <w:rPr>
          <w:lang w:eastAsia="zh-CN"/>
        </w:rPr>
      </w:pPr>
      <w:r>
        <w:rPr>
          <w:rFonts w:hint="eastAsia"/>
          <w:lang w:eastAsia="zh-CN"/>
        </w:rPr>
        <w:t>坚持“预防为主、防灭结合、保障有力”的原则，多渠道、制度化强化森林防火财政支撑。在统筹用好现有森林生态效益补偿、林地养护、平原生态林管护等专项资金的基础上，积极探索建立森林防火专项支出比例机制，将防火投入嵌入生态管护资金分配体系，实现资金安排与防火需求精准对接。结合全区火险等级分区成果和重点防火区域空间布局，对高火险区域的经营管护资金实行“防火优先”导向，在年度预算编制中明确安排不低于养护经费的1.5</w:t>
      </w:r>
      <w:r>
        <w:rPr>
          <w:lang w:eastAsia="zh-CN"/>
        </w:rPr>
        <w:t>%</w:t>
      </w:r>
      <w:r>
        <w:rPr>
          <w:rFonts w:hint="eastAsia"/>
          <w:lang w:eastAsia="zh-CN"/>
        </w:rPr>
        <w:t>，专项用于防火基础设施建设（如防火通道、隔离带、蓄水池、瞭望塔等）、火灾隐患排查整治、防火宣传教育培训、初期火情应急处置以及基层防火能力建设等关键环节，为森林防火工作提供坚实、稳定、长效的资金保障。</w:t>
      </w:r>
    </w:p>
    <w:p>
      <w:pPr>
        <w:pStyle w:val="3"/>
      </w:pPr>
      <w:bookmarkStart w:id="154" w:name="_Toc209952615"/>
      <w:bookmarkStart w:id="155" w:name="_Toc213072536"/>
      <w:r>
        <w:rPr>
          <w:rFonts w:hint="eastAsia"/>
        </w:rPr>
        <w:t>四、</w:t>
      </w:r>
      <w:bookmarkEnd w:id="154"/>
      <w:r>
        <w:rPr>
          <w:rFonts w:hint="eastAsia"/>
        </w:rPr>
        <w:t>提升技术保障</w:t>
      </w:r>
      <w:bookmarkEnd w:id="155"/>
    </w:p>
    <w:p>
      <w:pPr>
        <w:ind w:firstLine="640"/>
        <w:rPr>
          <w:lang w:eastAsia="zh-CN"/>
        </w:rPr>
      </w:pPr>
      <w:r>
        <w:rPr>
          <w:rFonts w:hint="eastAsia"/>
          <w:lang w:eastAsia="zh-CN"/>
        </w:rPr>
        <w:t>依托国家“数字中国”战略和北京市科技创新高地优势，构建智慧防火技术体系。加快部署卫星遥感、无人机巡护、红外热成像等智能监测设备，建立森林火险大数据分析平台，实现火情自动识别与精准预警。推广“互联网</w:t>
      </w:r>
      <w:r>
        <w:rPr>
          <w:lang w:eastAsia="zh-CN"/>
        </w:rPr>
        <w:t>+</w:t>
      </w:r>
      <w:r>
        <w:rPr>
          <w:rFonts w:hint="eastAsia"/>
          <w:lang w:eastAsia="zh-CN"/>
        </w:rPr>
        <w:t>防火”模式，开发公众参与</w:t>
      </w:r>
      <w:r>
        <w:rPr>
          <w:lang w:eastAsia="zh-CN"/>
        </w:rPr>
        <w:t>APP</w:t>
      </w:r>
      <w:r>
        <w:rPr>
          <w:rFonts w:hint="eastAsia"/>
          <w:lang w:eastAsia="zh-CN"/>
        </w:rPr>
        <w:t>，整合</w:t>
      </w:r>
      <w:r>
        <w:rPr>
          <w:lang w:eastAsia="zh-CN"/>
        </w:rPr>
        <w:t>AI</w:t>
      </w:r>
      <w:r>
        <w:rPr>
          <w:rFonts w:hint="eastAsia"/>
          <w:lang w:eastAsia="zh-CN"/>
        </w:rPr>
        <w:t>算法提升火源管控效率。加强与科研院所合作，设立森林防火技术攻关专项，推动人工智能、</w:t>
      </w:r>
      <w:r>
        <w:rPr>
          <w:lang w:eastAsia="zh-CN"/>
        </w:rPr>
        <w:t>5G</w:t>
      </w:r>
      <w:r>
        <w:rPr>
          <w:rFonts w:hint="eastAsia"/>
          <w:lang w:eastAsia="zh-CN"/>
        </w:rPr>
        <w:t>通信在应急指挥中的应用，打造全国森林防火科技示范标杆，彰显首都科技创新引领作用。</w:t>
      </w:r>
    </w:p>
    <w:p>
      <w:pPr>
        <w:pStyle w:val="3"/>
      </w:pPr>
      <w:bookmarkStart w:id="156" w:name="_Toc209952616"/>
      <w:bookmarkStart w:id="157" w:name="_Toc213072537"/>
      <w:r>
        <w:rPr>
          <w:rFonts w:hint="eastAsia"/>
        </w:rPr>
        <w:t>五、</w:t>
      </w:r>
      <w:bookmarkEnd w:id="156"/>
      <w:r>
        <w:rPr>
          <w:rFonts w:hint="eastAsia"/>
        </w:rPr>
        <w:t>加强评估督查</w:t>
      </w:r>
      <w:bookmarkEnd w:id="157"/>
    </w:p>
    <w:p>
      <w:pPr>
        <w:ind w:firstLine="640"/>
        <w:rPr>
          <w:lang w:eastAsia="zh-CN"/>
        </w:rPr>
      </w:pPr>
      <w:r>
        <w:rPr>
          <w:rFonts w:hint="eastAsia"/>
          <w:lang w:eastAsia="zh-CN"/>
        </w:rPr>
        <w:t>建立规划实施动态评估机制，制定年度任务清单和阶段性目标，实行台账式管理、项目化推进。由区森林防火工作领导小组牵头，定期组织开展规划实施情况中期评估和终期考核，评估结果作为优化政策、调整任务的重要依据。强化督查问责，对责任不落实、措施不到位、整改不及时的单位和个人，依法依规严肃追责。主动接受人大监督、政协监督和社会监督，增强规划实施的透明度和公信力。</w:t>
      </w:r>
    </w:p>
    <w:p>
      <w:pPr>
        <w:pStyle w:val="3"/>
      </w:pPr>
      <w:bookmarkStart w:id="158" w:name="_Toc209952617"/>
      <w:bookmarkStart w:id="159" w:name="_Toc213072538"/>
      <w:r>
        <w:rPr>
          <w:rFonts w:hint="eastAsia"/>
        </w:rPr>
        <w:t>六、</w:t>
      </w:r>
      <w:bookmarkEnd w:id="158"/>
      <w:r>
        <w:rPr>
          <w:rFonts w:hint="eastAsia"/>
        </w:rPr>
        <w:t>加强社会共治</w:t>
      </w:r>
      <w:bookmarkEnd w:id="159"/>
    </w:p>
    <w:p>
      <w:pPr>
        <w:ind w:firstLine="640"/>
        <w:rPr>
          <w:lang w:eastAsia="zh-CN"/>
        </w:rPr>
      </w:pPr>
      <w:r>
        <w:rPr>
          <w:rFonts w:hint="eastAsia"/>
          <w:lang w:eastAsia="zh-CN"/>
        </w:rPr>
        <w:t>坚持人民至上、群防群治，将全民参与作为森林防火工作的坚实基础。以提升全社会防火意识和避险自救能力为核心，深入开展森林防火宣传教育“五进”活动——进林区、进社区、进校园、进企业、进家庭，推动防火知识普及覆盖各类人群和重点场景。同步畅通公众参与渠道，积极引导社会组织、志愿者队伍等社会力量有序参与防火巡查、宣传教育和应急支援，形成多元协同的群防群治合力。通过制度化设计与常态化动员，加快构建政府主导、部门联动、社会协同、公众参与的森林防火共建共治共享新格局，真正筑牢“人人有责、人人尽责”的人民防线。</w:t>
      </w:r>
    </w:p>
    <w:bookmarkEnd w:id="150"/>
    <w:p>
      <w:pPr>
        <w:kinsoku/>
        <w:autoSpaceDE/>
        <w:autoSpaceDN/>
        <w:adjustRightInd/>
        <w:snapToGrid/>
        <w:spacing w:before="0" w:after="0" w:line="240" w:lineRule="auto"/>
        <w:ind w:firstLine="0" w:firstLineChars="0"/>
        <w:jc w:val="left"/>
        <w:textAlignment w:val="auto"/>
        <w:rPr>
          <w:lang w:eastAsia="zh-CN"/>
        </w:rPr>
      </w:pPr>
      <w:r>
        <w:rPr>
          <w:lang w:eastAsia="zh-CN"/>
        </w:rPr>
        <w:br w:type="page"/>
      </w:r>
    </w:p>
    <w:p>
      <w:pPr>
        <w:pStyle w:val="2"/>
        <w:rPr>
          <w:rFonts w:hint="eastAsia"/>
        </w:rPr>
      </w:pPr>
      <w:bookmarkStart w:id="160" w:name="_Toc213072539"/>
      <w:r>
        <w:rPr>
          <w:rFonts w:hint="eastAsia"/>
        </w:rPr>
        <w:t>附图</w:t>
      </w:r>
      <w:bookmarkEnd w:id="160"/>
    </w:p>
    <w:p>
      <w:pPr>
        <w:pStyle w:val="3"/>
      </w:pPr>
      <w:bookmarkStart w:id="161" w:name="_Toc213072540"/>
      <w:r>
        <w:rPr>
          <w:rFonts w:hint="eastAsia"/>
        </w:rPr>
        <w:t>附图一、通州区森林防火规划图</w:t>
      </w:r>
      <w:bookmarkEnd w:id="161"/>
    </w:p>
    <w:p>
      <w:pPr>
        <w:pStyle w:val="4"/>
        <w:rPr>
          <w:lang w:eastAsia="zh-CN"/>
        </w:rPr>
      </w:pPr>
      <w:r>
        <w:drawing>
          <wp:inline distT="0" distB="0" distL="0" distR="0">
            <wp:extent cx="4831080" cy="6826885"/>
            <wp:effectExtent l="0" t="0" r="7620" b="0"/>
            <wp:docPr id="1044495662" name="图片 4" descr="地图&#10;&#10;AI 生成的内容可能不正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4495662" name="图片 4" descr="地图&#10;&#10;AI 生成的内容可能不正确。"/>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4848798" cy="6852136"/>
                    </a:xfrm>
                    <a:prstGeom prst="rect">
                      <a:avLst/>
                    </a:prstGeom>
                    <a:noFill/>
                    <a:ln>
                      <a:noFill/>
                    </a:ln>
                  </pic:spPr>
                </pic:pic>
              </a:graphicData>
            </a:graphic>
          </wp:inline>
        </w:drawing>
      </w:r>
    </w:p>
    <w:p>
      <w:pPr>
        <w:pStyle w:val="3"/>
      </w:pPr>
      <w:bookmarkStart w:id="162" w:name="_Toc213072541"/>
      <w:r>
        <w:rPr>
          <w:rFonts w:hint="eastAsia"/>
        </w:rPr>
        <w:t>附图二、通州区森林防火道路分布图</w:t>
      </w:r>
      <w:bookmarkEnd w:id="162"/>
    </w:p>
    <w:p>
      <w:pPr>
        <w:pStyle w:val="4"/>
        <w:rPr>
          <w:lang w:eastAsia="zh-CN"/>
        </w:rPr>
      </w:pPr>
      <w:r>
        <w:rPr>
          <w:lang w:eastAsia="zh-CN"/>
        </w:rPr>
        <w:drawing>
          <wp:inline distT="0" distB="0" distL="0" distR="0">
            <wp:extent cx="5216525" cy="7376160"/>
            <wp:effectExtent l="0" t="0" r="3175" b="0"/>
            <wp:docPr id="1547970751" name="图片 3" descr="地图&#10;&#10;AI 生成的内容可能不正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7970751" name="图片 3" descr="地图&#10;&#10;AI 生成的内容可能不正确。"/>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5232471" cy="7398671"/>
                    </a:xfrm>
                    <a:prstGeom prst="rect">
                      <a:avLst/>
                    </a:prstGeom>
                    <a:noFill/>
                    <a:ln>
                      <a:noFill/>
                    </a:ln>
                  </pic:spPr>
                </pic:pic>
              </a:graphicData>
            </a:graphic>
          </wp:inline>
        </w:drawing>
      </w:r>
    </w:p>
    <w:sectPr>
      <w:footerReference r:id="rId12" w:type="default"/>
      <w:pgSz w:w="11906" w:h="16838"/>
      <w:pgMar w:top="2098" w:right="1474" w:bottom="1985" w:left="1588" w:header="850" w:footer="595" w:gutter="0"/>
      <w:pgNumType w:start="1"/>
      <w:cols w:space="425" w:num="1"/>
      <w:docGrid w:type="lines" w:linePitch="579" w:charSpace="12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Arial">
    <w:altName w:val="DejaVu Sans"/>
    <w:panose1 w:val="020B0604020202020204"/>
    <w:charset w:val="00"/>
    <w:family w:val="swiss"/>
    <w:pitch w:val="default"/>
    <w:sig w:usb0="00000000" w:usb1="00000000" w:usb2="00000009" w:usb3="00000000" w:csb0="000001FF" w:csb1="00000000"/>
  </w:font>
  <w:font w:name="楷体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7500014"/>
    </w:sdtPr>
    <w:sdtContent>
      <w:p>
        <w:pPr>
          <w:pStyle w:val="17"/>
          <w:ind w:firstLine="360"/>
          <w:jc w:val="center"/>
        </w:pPr>
        <w:r>
          <w:fldChar w:fldCharType="begin"/>
        </w:r>
        <w:r>
          <w:instrText xml:space="preserve">PAGE   \* MERGEFORMAT</w:instrText>
        </w:r>
        <w:r>
          <w:fldChar w:fldCharType="separate"/>
        </w:r>
        <w:r>
          <w:rPr>
            <w:lang w:val="zh-CN" w:eastAsia="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011009"/>
    </w:sdtPr>
    <w:sdtContent>
      <w:p>
        <w:pPr>
          <w:pStyle w:val="17"/>
          <w:ind w:firstLine="360"/>
          <w:jc w:val="center"/>
        </w:pPr>
        <w:r>
          <w:fldChar w:fldCharType="begin"/>
        </w:r>
        <w:r>
          <w:instrText xml:space="preserve">PAGE   \* MERGEFORMAT</w:instrText>
        </w:r>
        <w:r>
          <w:fldChar w:fldCharType="separate"/>
        </w:r>
        <w:r>
          <w:rPr>
            <w:lang w:val="zh-CN" w:eastAsia="zh-CN"/>
          </w:rPr>
          <w:t>2</w:t>
        </w:r>
        <w:r>
          <w:fldChar w:fldCharType="end"/>
        </w:r>
      </w:p>
    </w:sdtContent>
  </w:sdt>
  <w:p>
    <w:pPr>
      <w:pStyle w:val="1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C0D322"/>
    <w:multiLevelType w:val="singleLevel"/>
    <w:tmpl w:val="F2C0D322"/>
    <w:lvl w:ilvl="0" w:tentative="0">
      <w:start w:val="1"/>
      <w:numFmt w:val="decimal"/>
      <w:suff w:val="nothing"/>
      <w:lvlText w:val="（%1）"/>
      <w:lvlJc w:val="left"/>
    </w:lvl>
  </w:abstractNum>
  <w:abstractNum w:abstractNumId="1">
    <w:nsid w:val="07CB1E41"/>
    <w:multiLevelType w:val="multilevel"/>
    <w:tmpl w:val="07CB1E4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TrueTypeFonts/>
  <w:embedSystemFonts/>
  <w:bordersDoNotSurroundHeader w:val="true"/>
  <w:bordersDoNotSurroundFooter w:val="true"/>
  <w:documentProtection w:enforcement="0"/>
  <w:defaultTabStop w:val="420"/>
  <w:drawingGridHorizontalSpacing w:val="163"/>
  <w:drawingGridVerticalSpacing w:val="579"/>
  <w:noPunctuationKerning w:val="true"/>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C7A"/>
    <w:rsid w:val="000014AC"/>
    <w:rsid w:val="00017635"/>
    <w:rsid w:val="0002212F"/>
    <w:rsid w:val="000237CC"/>
    <w:rsid w:val="00043A28"/>
    <w:rsid w:val="00044658"/>
    <w:rsid w:val="00050E71"/>
    <w:rsid w:val="00064455"/>
    <w:rsid w:val="00065EFC"/>
    <w:rsid w:val="00080DF1"/>
    <w:rsid w:val="00081764"/>
    <w:rsid w:val="000863B1"/>
    <w:rsid w:val="00094C5E"/>
    <w:rsid w:val="000A3AA3"/>
    <w:rsid w:val="000B1BF5"/>
    <w:rsid w:val="000D7F98"/>
    <w:rsid w:val="000E0693"/>
    <w:rsid w:val="000E2670"/>
    <w:rsid w:val="000E572E"/>
    <w:rsid w:val="000F098E"/>
    <w:rsid w:val="000F4A26"/>
    <w:rsid w:val="000F752C"/>
    <w:rsid w:val="000F79B0"/>
    <w:rsid w:val="00123400"/>
    <w:rsid w:val="0012386F"/>
    <w:rsid w:val="00124E10"/>
    <w:rsid w:val="001408ED"/>
    <w:rsid w:val="001422B0"/>
    <w:rsid w:val="00144496"/>
    <w:rsid w:val="00157E35"/>
    <w:rsid w:val="00161FA8"/>
    <w:rsid w:val="00162253"/>
    <w:rsid w:val="00173F58"/>
    <w:rsid w:val="0018662C"/>
    <w:rsid w:val="001876C4"/>
    <w:rsid w:val="00192C9B"/>
    <w:rsid w:val="00194F45"/>
    <w:rsid w:val="0019540C"/>
    <w:rsid w:val="001A284F"/>
    <w:rsid w:val="001B4D72"/>
    <w:rsid w:val="001D47E3"/>
    <w:rsid w:val="001E32B6"/>
    <w:rsid w:val="001F4716"/>
    <w:rsid w:val="00203678"/>
    <w:rsid w:val="002220EE"/>
    <w:rsid w:val="00222463"/>
    <w:rsid w:val="00227F94"/>
    <w:rsid w:val="00252B97"/>
    <w:rsid w:val="0025536F"/>
    <w:rsid w:val="00256308"/>
    <w:rsid w:val="00257FB7"/>
    <w:rsid w:val="002757C4"/>
    <w:rsid w:val="002841B9"/>
    <w:rsid w:val="002A4C03"/>
    <w:rsid w:val="002A5275"/>
    <w:rsid w:val="002C0649"/>
    <w:rsid w:val="002D23BD"/>
    <w:rsid w:val="002D4D6C"/>
    <w:rsid w:val="002E0FDC"/>
    <w:rsid w:val="002F35AD"/>
    <w:rsid w:val="002F4F6A"/>
    <w:rsid w:val="002F7B29"/>
    <w:rsid w:val="00311E09"/>
    <w:rsid w:val="00314C83"/>
    <w:rsid w:val="003323BA"/>
    <w:rsid w:val="00343981"/>
    <w:rsid w:val="00351550"/>
    <w:rsid w:val="00351AFB"/>
    <w:rsid w:val="00354CB8"/>
    <w:rsid w:val="003571CB"/>
    <w:rsid w:val="00396465"/>
    <w:rsid w:val="003A5E8D"/>
    <w:rsid w:val="003C4753"/>
    <w:rsid w:val="003C5812"/>
    <w:rsid w:val="003E75C7"/>
    <w:rsid w:val="003F1875"/>
    <w:rsid w:val="003F59F4"/>
    <w:rsid w:val="003F7D6A"/>
    <w:rsid w:val="00403AFA"/>
    <w:rsid w:val="004114BD"/>
    <w:rsid w:val="00420756"/>
    <w:rsid w:val="00421ACD"/>
    <w:rsid w:val="004402D6"/>
    <w:rsid w:val="004432F1"/>
    <w:rsid w:val="00445B61"/>
    <w:rsid w:val="004577BB"/>
    <w:rsid w:val="00467318"/>
    <w:rsid w:val="00467BFD"/>
    <w:rsid w:val="00490C56"/>
    <w:rsid w:val="00491DB7"/>
    <w:rsid w:val="004A1EE6"/>
    <w:rsid w:val="004A481D"/>
    <w:rsid w:val="004B233C"/>
    <w:rsid w:val="004C7B31"/>
    <w:rsid w:val="004E1A0A"/>
    <w:rsid w:val="004E1D00"/>
    <w:rsid w:val="004E5A0D"/>
    <w:rsid w:val="0051784F"/>
    <w:rsid w:val="00530A84"/>
    <w:rsid w:val="00537692"/>
    <w:rsid w:val="0055122F"/>
    <w:rsid w:val="00556341"/>
    <w:rsid w:val="0056132F"/>
    <w:rsid w:val="00565DE9"/>
    <w:rsid w:val="00570D9A"/>
    <w:rsid w:val="005723C1"/>
    <w:rsid w:val="0057577A"/>
    <w:rsid w:val="00575841"/>
    <w:rsid w:val="0058652C"/>
    <w:rsid w:val="00590267"/>
    <w:rsid w:val="00595E78"/>
    <w:rsid w:val="005A70A4"/>
    <w:rsid w:val="005B7AE6"/>
    <w:rsid w:val="005E2312"/>
    <w:rsid w:val="005E7B97"/>
    <w:rsid w:val="005F6379"/>
    <w:rsid w:val="006025E0"/>
    <w:rsid w:val="00603896"/>
    <w:rsid w:val="00611E36"/>
    <w:rsid w:val="0063489F"/>
    <w:rsid w:val="00652D45"/>
    <w:rsid w:val="00657448"/>
    <w:rsid w:val="006711E5"/>
    <w:rsid w:val="0067643C"/>
    <w:rsid w:val="00687456"/>
    <w:rsid w:val="00691945"/>
    <w:rsid w:val="0069589F"/>
    <w:rsid w:val="006A35E0"/>
    <w:rsid w:val="006A55BE"/>
    <w:rsid w:val="006B4549"/>
    <w:rsid w:val="006B4DD7"/>
    <w:rsid w:val="006E3F4A"/>
    <w:rsid w:val="006F1675"/>
    <w:rsid w:val="006F523E"/>
    <w:rsid w:val="007068D4"/>
    <w:rsid w:val="007071C6"/>
    <w:rsid w:val="007073A0"/>
    <w:rsid w:val="0070790C"/>
    <w:rsid w:val="00712364"/>
    <w:rsid w:val="007142C7"/>
    <w:rsid w:val="0071534B"/>
    <w:rsid w:val="007244CF"/>
    <w:rsid w:val="0072611D"/>
    <w:rsid w:val="0072764F"/>
    <w:rsid w:val="007358C4"/>
    <w:rsid w:val="00736A7E"/>
    <w:rsid w:val="00750612"/>
    <w:rsid w:val="0075546C"/>
    <w:rsid w:val="007619A3"/>
    <w:rsid w:val="0076303E"/>
    <w:rsid w:val="00764888"/>
    <w:rsid w:val="00776861"/>
    <w:rsid w:val="00781AC3"/>
    <w:rsid w:val="00783D34"/>
    <w:rsid w:val="007B20B1"/>
    <w:rsid w:val="007C5F75"/>
    <w:rsid w:val="007F3E43"/>
    <w:rsid w:val="008003B2"/>
    <w:rsid w:val="00815110"/>
    <w:rsid w:val="00833664"/>
    <w:rsid w:val="00836655"/>
    <w:rsid w:val="00861FDA"/>
    <w:rsid w:val="0087586A"/>
    <w:rsid w:val="00883A2B"/>
    <w:rsid w:val="00887D46"/>
    <w:rsid w:val="008B6EF3"/>
    <w:rsid w:val="008C68E5"/>
    <w:rsid w:val="008C6F0F"/>
    <w:rsid w:val="008D2B50"/>
    <w:rsid w:val="008D71D0"/>
    <w:rsid w:val="008E3333"/>
    <w:rsid w:val="008F583C"/>
    <w:rsid w:val="00905AA6"/>
    <w:rsid w:val="00915A47"/>
    <w:rsid w:val="009216AC"/>
    <w:rsid w:val="00924A87"/>
    <w:rsid w:val="00925BDB"/>
    <w:rsid w:val="00944B2B"/>
    <w:rsid w:val="00950C46"/>
    <w:rsid w:val="009525F2"/>
    <w:rsid w:val="009656D9"/>
    <w:rsid w:val="0097483A"/>
    <w:rsid w:val="00983BA9"/>
    <w:rsid w:val="00986E87"/>
    <w:rsid w:val="009B4415"/>
    <w:rsid w:val="009D550E"/>
    <w:rsid w:val="009D62A5"/>
    <w:rsid w:val="009E1D14"/>
    <w:rsid w:val="009E45C2"/>
    <w:rsid w:val="00A04B83"/>
    <w:rsid w:val="00A07424"/>
    <w:rsid w:val="00A10687"/>
    <w:rsid w:val="00A255B1"/>
    <w:rsid w:val="00A34470"/>
    <w:rsid w:val="00A34D59"/>
    <w:rsid w:val="00A46359"/>
    <w:rsid w:val="00A5568A"/>
    <w:rsid w:val="00A57CE9"/>
    <w:rsid w:val="00A611B5"/>
    <w:rsid w:val="00A61764"/>
    <w:rsid w:val="00A702AC"/>
    <w:rsid w:val="00A7702B"/>
    <w:rsid w:val="00A8121A"/>
    <w:rsid w:val="00A8292E"/>
    <w:rsid w:val="00A84773"/>
    <w:rsid w:val="00A9483F"/>
    <w:rsid w:val="00A95896"/>
    <w:rsid w:val="00AB0646"/>
    <w:rsid w:val="00AB0AB2"/>
    <w:rsid w:val="00AC0298"/>
    <w:rsid w:val="00AC3933"/>
    <w:rsid w:val="00AD09EE"/>
    <w:rsid w:val="00AE7405"/>
    <w:rsid w:val="00B03C75"/>
    <w:rsid w:val="00B06232"/>
    <w:rsid w:val="00B22867"/>
    <w:rsid w:val="00B323EC"/>
    <w:rsid w:val="00B507D3"/>
    <w:rsid w:val="00B6098C"/>
    <w:rsid w:val="00B62B21"/>
    <w:rsid w:val="00B63C69"/>
    <w:rsid w:val="00B724AF"/>
    <w:rsid w:val="00B82AE7"/>
    <w:rsid w:val="00B97F80"/>
    <w:rsid w:val="00BA2852"/>
    <w:rsid w:val="00BC44D3"/>
    <w:rsid w:val="00BC5D33"/>
    <w:rsid w:val="00BE4B28"/>
    <w:rsid w:val="00BE7369"/>
    <w:rsid w:val="00C002AC"/>
    <w:rsid w:val="00C02BEC"/>
    <w:rsid w:val="00C11F2A"/>
    <w:rsid w:val="00C469BD"/>
    <w:rsid w:val="00C46FFA"/>
    <w:rsid w:val="00C57D7F"/>
    <w:rsid w:val="00C677C6"/>
    <w:rsid w:val="00C74D9A"/>
    <w:rsid w:val="00C915AA"/>
    <w:rsid w:val="00C938EF"/>
    <w:rsid w:val="00C93C42"/>
    <w:rsid w:val="00C941E2"/>
    <w:rsid w:val="00CA1193"/>
    <w:rsid w:val="00CA263A"/>
    <w:rsid w:val="00CA426A"/>
    <w:rsid w:val="00CA6108"/>
    <w:rsid w:val="00CA67AE"/>
    <w:rsid w:val="00CC4711"/>
    <w:rsid w:val="00CC7549"/>
    <w:rsid w:val="00CE1A55"/>
    <w:rsid w:val="00CF0D06"/>
    <w:rsid w:val="00CF6317"/>
    <w:rsid w:val="00CF705E"/>
    <w:rsid w:val="00D17089"/>
    <w:rsid w:val="00D34A63"/>
    <w:rsid w:val="00D34BAA"/>
    <w:rsid w:val="00D354CC"/>
    <w:rsid w:val="00D4549B"/>
    <w:rsid w:val="00D56FE7"/>
    <w:rsid w:val="00D6126F"/>
    <w:rsid w:val="00D656CB"/>
    <w:rsid w:val="00D82BC1"/>
    <w:rsid w:val="00D932B9"/>
    <w:rsid w:val="00D96350"/>
    <w:rsid w:val="00DA4C49"/>
    <w:rsid w:val="00DB43A3"/>
    <w:rsid w:val="00DC3249"/>
    <w:rsid w:val="00DE2237"/>
    <w:rsid w:val="00DE6C92"/>
    <w:rsid w:val="00E0262E"/>
    <w:rsid w:val="00E05573"/>
    <w:rsid w:val="00E11D97"/>
    <w:rsid w:val="00E22C8B"/>
    <w:rsid w:val="00E324B7"/>
    <w:rsid w:val="00E36156"/>
    <w:rsid w:val="00E36898"/>
    <w:rsid w:val="00E459CD"/>
    <w:rsid w:val="00E60F14"/>
    <w:rsid w:val="00E62D9D"/>
    <w:rsid w:val="00E65721"/>
    <w:rsid w:val="00E747DC"/>
    <w:rsid w:val="00E865C9"/>
    <w:rsid w:val="00E906B9"/>
    <w:rsid w:val="00E92E5F"/>
    <w:rsid w:val="00E95DC1"/>
    <w:rsid w:val="00EA5038"/>
    <w:rsid w:val="00EC2D5E"/>
    <w:rsid w:val="00EC6821"/>
    <w:rsid w:val="00ED17F1"/>
    <w:rsid w:val="00EE11F1"/>
    <w:rsid w:val="00EE50C3"/>
    <w:rsid w:val="00EE5E16"/>
    <w:rsid w:val="00EF0C41"/>
    <w:rsid w:val="00EF58F3"/>
    <w:rsid w:val="00EF7243"/>
    <w:rsid w:val="00F00F0B"/>
    <w:rsid w:val="00F15C7A"/>
    <w:rsid w:val="00F22051"/>
    <w:rsid w:val="00F2509B"/>
    <w:rsid w:val="00F64142"/>
    <w:rsid w:val="00F739FF"/>
    <w:rsid w:val="00F76276"/>
    <w:rsid w:val="00F97395"/>
    <w:rsid w:val="00FA2E20"/>
    <w:rsid w:val="00FB77A4"/>
    <w:rsid w:val="00FD3368"/>
    <w:rsid w:val="00FD6126"/>
    <w:rsid w:val="00FD75E4"/>
    <w:rsid w:val="00FE00F4"/>
    <w:rsid w:val="00FF23AB"/>
    <w:rsid w:val="010625EE"/>
    <w:rsid w:val="01E83EDA"/>
    <w:rsid w:val="01E8593D"/>
    <w:rsid w:val="022C7005"/>
    <w:rsid w:val="02921448"/>
    <w:rsid w:val="02924A37"/>
    <w:rsid w:val="02F90D68"/>
    <w:rsid w:val="03550F09"/>
    <w:rsid w:val="044D7027"/>
    <w:rsid w:val="047E1C8A"/>
    <w:rsid w:val="05A95E8D"/>
    <w:rsid w:val="05D57AB8"/>
    <w:rsid w:val="05E8546F"/>
    <w:rsid w:val="061F2E9B"/>
    <w:rsid w:val="06470111"/>
    <w:rsid w:val="08A46C35"/>
    <w:rsid w:val="08EC6136"/>
    <w:rsid w:val="09034207"/>
    <w:rsid w:val="096D5F5A"/>
    <w:rsid w:val="0AC858A8"/>
    <w:rsid w:val="0B206845"/>
    <w:rsid w:val="0B3200D9"/>
    <w:rsid w:val="0C5220CB"/>
    <w:rsid w:val="0CA21D12"/>
    <w:rsid w:val="0D2C3CDA"/>
    <w:rsid w:val="0D4153D1"/>
    <w:rsid w:val="0E383DA2"/>
    <w:rsid w:val="0EB354B5"/>
    <w:rsid w:val="0EDA027B"/>
    <w:rsid w:val="104A314D"/>
    <w:rsid w:val="10542B2C"/>
    <w:rsid w:val="107937F0"/>
    <w:rsid w:val="10E01AC6"/>
    <w:rsid w:val="113825E1"/>
    <w:rsid w:val="11EB466C"/>
    <w:rsid w:val="12111E78"/>
    <w:rsid w:val="12226551"/>
    <w:rsid w:val="130A329D"/>
    <w:rsid w:val="132F0BBB"/>
    <w:rsid w:val="13337B71"/>
    <w:rsid w:val="14ED0223"/>
    <w:rsid w:val="16314110"/>
    <w:rsid w:val="16341B92"/>
    <w:rsid w:val="16481480"/>
    <w:rsid w:val="175B523D"/>
    <w:rsid w:val="17796E6A"/>
    <w:rsid w:val="17804A8A"/>
    <w:rsid w:val="17A03E7F"/>
    <w:rsid w:val="18D36F3B"/>
    <w:rsid w:val="19426360"/>
    <w:rsid w:val="1A0F2A6C"/>
    <w:rsid w:val="1A3C4E4A"/>
    <w:rsid w:val="1A4844AD"/>
    <w:rsid w:val="1AB3576D"/>
    <w:rsid w:val="1BEF5F18"/>
    <w:rsid w:val="1C282C61"/>
    <w:rsid w:val="1C5B07DB"/>
    <w:rsid w:val="1D5E070F"/>
    <w:rsid w:val="1D9A389B"/>
    <w:rsid w:val="1DB10050"/>
    <w:rsid w:val="1EFB1485"/>
    <w:rsid w:val="20395133"/>
    <w:rsid w:val="205A2739"/>
    <w:rsid w:val="206651C4"/>
    <w:rsid w:val="20CC696E"/>
    <w:rsid w:val="20F27D43"/>
    <w:rsid w:val="21FF6F5B"/>
    <w:rsid w:val="22076C16"/>
    <w:rsid w:val="23354E49"/>
    <w:rsid w:val="2435023E"/>
    <w:rsid w:val="24382869"/>
    <w:rsid w:val="24A7697B"/>
    <w:rsid w:val="24CA6B87"/>
    <w:rsid w:val="24D47FE8"/>
    <w:rsid w:val="24E16A49"/>
    <w:rsid w:val="25626987"/>
    <w:rsid w:val="257D2ECD"/>
    <w:rsid w:val="25DA683B"/>
    <w:rsid w:val="261E274B"/>
    <w:rsid w:val="26415F06"/>
    <w:rsid w:val="26512057"/>
    <w:rsid w:val="26FF0BF0"/>
    <w:rsid w:val="272F34E4"/>
    <w:rsid w:val="27F60D15"/>
    <w:rsid w:val="28430DAC"/>
    <w:rsid w:val="29014B74"/>
    <w:rsid w:val="294558D1"/>
    <w:rsid w:val="299F6D54"/>
    <w:rsid w:val="29EB48A9"/>
    <w:rsid w:val="2A27294F"/>
    <w:rsid w:val="2ABC70CB"/>
    <w:rsid w:val="2AF73C3E"/>
    <w:rsid w:val="2B77216D"/>
    <w:rsid w:val="2D6A58C8"/>
    <w:rsid w:val="2DCC67A0"/>
    <w:rsid w:val="2EE31FF3"/>
    <w:rsid w:val="2EED19D6"/>
    <w:rsid w:val="2EF22236"/>
    <w:rsid w:val="2F6915D5"/>
    <w:rsid w:val="2FFC1946"/>
    <w:rsid w:val="307F5924"/>
    <w:rsid w:val="3099071F"/>
    <w:rsid w:val="31E01074"/>
    <w:rsid w:val="32E65B1A"/>
    <w:rsid w:val="32EE540A"/>
    <w:rsid w:val="34042C95"/>
    <w:rsid w:val="351B4A85"/>
    <w:rsid w:val="356F0678"/>
    <w:rsid w:val="35C92EFA"/>
    <w:rsid w:val="35E8226D"/>
    <w:rsid w:val="367FA74B"/>
    <w:rsid w:val="36A210C6"/>
    <w:rsid w:val="37FD60EC"/>
    <w:rsid w:val="387F277D"/>
    <w:rsid w:val="387F3536"/>
    <w:rsid w:val="388E764D"/>
    <w:rsid w:val="397A032A"/>
    <w:rsid w:val="39FB2DBB"/>
    <w:rsid w:val="3A625358"/>
    <w:rsid w:val="3A655FB2"/>
    <w:rsid w:val="3AB32837"/>
    <w:rsid w:val="3B2F3A26"/>
    <w:rsid w:val="3BA06286"/>
    <w:rsid w:val="3C103ACB"/>
    <w:rsid w:val="3C616F98"/>
    <w:rsid w:val="3C794110"/>
    <w:rsid w:val="3C98328A"/>
    <w:rsid w:val="3CD56DDD"/>
    <w:rsid w:val="3CF2571C"/>
    <w:rsid w:val="3D7B244D"/>
    <w:rsid w:val="3DDF311F"/>
    <w:rsid w:val="3DDF41E1"/>
    <w:rsid w:val="3E5B7554"/>
    <w:rsid w:val="3E6D25D4"/>
    <w:rsid w:val="3F2E5EEB"/>
    <w:rsid w:val="40675498"/>
    <w:rsid w:val="408440FF"/>
    <w:rsid w:val="42FF648B"/>
    <w:rsid w:val="44E71362"/>
    <w:rsid w:val="45467A41"/>
    <w:rsid w:val="455D5525"/>
    <w:rsid w:val="45B918A8"/>
    <w:rsid w:val="465B64BB"/>
    <w:rsid w:val="46ED78BE"/>
    <w:rsid w:val="472B681C"/>
    <w:rsid w:val="475D15A5"/>
    <w:rsid w:val="47E52281"/>
    <w:rsid w:val="48B6173F"/>
    <w:rsid w:val="48D87FC9"/>
    <w:rsid w:val="48F93C97"/>
    <w:rsid w:val="491017DF"/>
    <w:rsid w:val="49AF5B08"/>
    <w:rsid w:val="49CB49EF"/>
    <w:rsid w:val="4A664E02"/>
    <w:rsid w:val="4AC42605"/>
    <w:rsid w:val="4B06011B"/>
    <w:rsid w:val="4D10494E"/>
    <w:rsid w:val="4D1A10FE"/>
    <w:rsid w:val="4D7416B6"/>
    <w:rsid w:val="4D8715E0"/>
    <w:rsid w:val="4E162EFC"/>
    <w:rsid w:val="4E985BD8"/>
    <w:rsid w:val="4F45696D"/>
    <w:rsid w:val="4F4C6922"/>
    <w:rsid w:val="50E477B9"/>
    <w:rsid w:val="516F2E07"/>
    <w:rsid w:val="51A87D51"/>
    <w:rsid w:val="51F164CF"/>
    <w:rsid w:val="51FF058C"/>
    <w:rsid w:val="522C37AE"/>
    <w:rsid w:val="530A7102"/>
    <w:rsid w:val="532C2A7F"/>
    <w:rsid w:val="53D61D1B"/>
    <w:rsid w:val="54151A28"/>
    <w:rsid w:val="544F238C"/>
    <w:rsid w:val="54CF4F5A"/>
    <w:rsid w:val="5580368C"/>
    <w:rsid w:val="55927591"/>
    <w:rsid w:val="56977B8E"/>
    <w:rsid w:val="56DE0939"/>
    <w:rsid w:val="56F225F5"/>
    <w:rsid w:val="573E48AA"/>
    <w:rsid w:val="576F631E"/>
    <w:rsid w:val="57823680"/>
    <w:rsid w:val="580762A9"/>
    <w:rsid w:val="58542BDB"/>
    <w:rsid w:val="58AF6990"/>
    <w:rsid w:val="58ED0BAC"/>
    <w:rsid w:val="5C097F79"/>
    <w:rsid w:val="5C705015"/>
    <w:rsid w:val="5D067F49"/>
    <w:rsid w:val="5DFB18FB"/>
    <w:rsid w:val="5E7F332F"/>
    <w:rsid w:val="5ED53E06"/>
    <w:rsid w:val="5ED7408A"/>
    <w:rsid w:val="5F575705"/>
    <w:rsid w:val="5F6134D4"/>
    <w:rsid w:val="5F9A62A0"/>
    <w:rsid w:val="6043407E"/>
    <w:rsid w:val="6320666B"/>
    <w:rsid w:val="63362D5A"/>
    <w:rsid w:val="634C7175"/>
    <w:rsid w:val="63D449F3"/>
    <w:rsid w:val="63E02BF8"/>
    <w:rsid w:val="64556451"/>
    <w:rsid w:val="646601BA"/>
    <w:rsid w:val="652F2119"/>
    <w:rsid w:val="66F432E4"/>
    <w:rsid w:val="672F50CE"/>
    <w:rsid w:val="6A222FF4"/>
    <w:rsid w:val="6B7C3C1E"/>
    <w:rsid w:val="6B8E3FB9"/>
    <w:rsid w:val="6C122E1E"/>
    <w:rsid w:val="6C1E0624"/>
    <w:rsid w:val="6C606D48"/>
    <w:rsid w:val="6CC60314"/>
    <w:rsid w:val="6E1F5ED0"/>
    <w:rsid w:val="6E900636"/>
    <w:rsid w:val="6FE043E3"/>
    <w:rsid w:val="706621FF"/>
    <w:rsid w:val="70A9313E"/>
    <w:rsid w:val="712F3D4D"/>
    <w:rsid w:val="724C4D86"/>
    <w:rsid w:val="72664BAF"/>
    <w:rsid w:val="72A70E98"/>
    <w:rsid w:val="72F955A3"/>
    <w:rsid w:val="734D2A8F"/>
    <w:rsid w:val="735F4F8D"/>
    <w:rsid w:val="73CF5C6F"/>
    <w:rsid w:val="742E2A0B"/>
    <w:rsid w:val="74644790"/>
    <w:rsid w:val="75230CD0"/>
    <w:rsid w:val="75455F62"/>
    <w:rsid w:val="75FA964A"/>
    <w:rsid w:val="763A1FEA"/>
    <w:rsid w:val="774E334F"/>
    <w:rsid w:val="79F20909"/>
    <w:rsid w:val="7A346F9A"/>
    <w:rsid w:val="7A674B56"/>
    <w:rsid w:val="7A7A25BA"/>
    <w:rsid w:val="7A861051"/>
    <w:rsid w:val="7AD71491"/>
    <w:rsid w:val="7B3755CF"/>
    <w:rsid w:val="7C311399"/>
    <w:rsid w:val="7C933753"/>
    <w:rsid w:val="7D597FD3"/>
    <w:rsid w:val="7E0E09A9"/>
    <w:rsid w:val="7E9565B5"/>
    <w:rsid w:val="7EA31D69"/>
    <w:rsid w:val="7EEF2D54"/>
    <w:rsid w:val="7F0B7CE1"/>
    <w:rsid w:val="7FBD54C8"/>
    <w:rsid w:val="7FBD5D83"/>
    <w:rsid w:val="7FDF49FB"/>
    <w:rsid w:val="FCFE2720"/>
    <w:rsid w:val="FFAD190E"/>
    <w:rsid w:val="FFFF9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before="260" w:after="260" w:line="560" w:lineRule="exact"/>
      <w:ind w:firstLine="200" w:firstLineChars="200"/>
      <w:jc w:val="both"/>
      <w:textAlignment w:val="baseline"/>
    </w:pPr>
    <w:rPr>
      <w:rFonts w:ascii="Times New Roman" w:hAnsi="Times New Roman" w:eastAsia="仿宋" w:cs="Arial"/>
      <w:snapToGrid w:val="0"/>
      <w:color w:val="000000"/>
      <w:sz w:val="32"/>
      <w:szCs w:val="21"/>
      <w:lang w:val="en-US" w:eastAsia="en-US" w:bidi="ar-SA"/>
    </w:rPr>
  </w:style>
  <w:style w:type="paragraph" w:styleId="2">
    <w:name w:val="heading 1"/>
    <w:basedOn w:val="1"/>
    <w:next w:val="1"/>
    <w:link w:val="34"/>
    <w:qFormat/>
    <w:uiPriority w:val="0"/>
    <w:pPr>
      <w:ind w:firstLine="0" w:firstLineChars="0"/>
      <w:jc w:val="center"/>
      <w:outlineLvl w:val="0"/>
    </w:pPr>
    <w:rPr>
      <w:rFonts w:ascii="宋体" w:hAnsi="宋体" w:eastAsia="黑体"/>
      <w:bCs/>
      <w:kern w:val="44"/>
      <w:szCs w:val="36"/>
      <w:lang w:eastAsia="zh-CN"/>
    </w:rPr>
  </w:style>
  <w:style w:type="paragraph" w:styleId="3">
    <w:name w:val="heading 2"/>
    <w:basedOn w:val="1"/>
    <w:next w:val="4"/>
    <w:link w:val="35"/>
    <w:unhideWhenUsed/>
    <w:qFormat/>
    <w:uiPriority w:val="0"/>
    <w:pPr>
      <w:keepNext/>
      <w:keepLines/>
      <w:spacing w:before="0" w:after="0" w:line="240" w:lineRule="auto"/>
      <w:ind w:firstLine="0" w:firstLineChars="0"/>
      <w:jc w:val="left"/>
      <w:outlineLvl w:val="1"/>
    </w:pPr>
    <w:rPr>
      <w:rFonts w:eastAsia="楷体_GB2312"/>
      <w:b/>
      <w:lang w:eastAsia="zh-CN"/>
    </w:rPr>
  </w:style>
  <w:style w:type="paragraph" w:styleId="5">
    <w:name w:val="heading 3"/>
    <w:basedOn w:val="1"/>
    <w:next w:val="1"/>
    <w:link w:val="36"/>
    <w:unhideWhenUsed/>
    <w:qFormat/>
    <w:uiPriority w:val="0"/>
    <w:pPr>
      <w:keepNext/>
      <w:keepLines/>
      <w:spacing w:before="289" w:beforeLines="50" w:after="289" w:afterLines="50" w:line="600" w:lineRule="exact"/>
      <w:ind w:firstLine="655"/>
      <w:jc w:val="left"/>
      <w:outlineLvl w:val="2"/>
    </w:pPr>
    <w:rPr>
      <w:rFonts w:cs="Times New Roman"/>
      <w:b/>
      <w:bCs/>
      <w:szCs w:val="28"/>
      <w:lang w:eastAsia="zh-CN"/>
    </w:rPr>
  </w:style>
  <w:style w:type="paragraph" w:styleId="6">
    <w:name w:val="heading 4"/>
    <w:basedOn w:val="1"/>
    <w:next w:val="1"/>
    <w:link w:val="37"/>
    <w:unhideWhenUsed/>
    <w:qFormat/>
    <w:uiPriority w:val="0"/>
    <w:pPr>
      <w:keepNext/>
      <w:keepLines/>
      <w:spacing w:before="0" w:after="0"/>
      <w:ind w:firstLine="655"/>
      <w:outlineLvl w:val="3"/>
    </w:pPr>
    <w:rPr>
      <w:b/>
      <w:szCs w:val="22"/>
      <w:lang w:eastAsia="zh-CN"/>
    </w:rPr>
  </w:style>
  <w:style w:type="paragraph" w:styleId="7">
    <w:name w:val="heading 5"/>
    <w:basedOn w:val="1"/>
    <w:next w:val="1"/>
    <w:unhideWhenUsed/>
    <w:qFormat/>
    <w:uiPriority w:val="0"/>
    <w:pPr>
      <w:keepNext/>
      <w:keepLines/>
      <w:spacing w:before="40" w:after="40"/>
      <w:ind w:firstLine="562"/>
      <w:outlineLvl w:val="4"/>
    </w:pPr>
    <w:rPr>
      <w:b/>
    </w:rPr>
  </w:style>
  <w:style w:type="paragraph" w:styleId="8">
    <w:name w:val="heading 6"/>
    <w:basedOn w:val="1"/>
    <w:next w:val="1"/>
    <w:semiHidden/>
    <w:unhideWhenUsed/>
    <w:qFormat/>
    <w:uiPriority w:val="0"/>
    <w:pPr>
      <w:keepNext/>
      <w:keepLines/>
      <w:spacing w:before="240" w:after="64" w:line="317" w:lineRule="auto"/>
      <w:outlineLvl w:val="5"/>
    </w:pPr>
    <w:rPr>
      <w:rFonts w:eastAsia="黑体"/>
      <w:b/>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pacing w:before="0" w:after="0" w:line="240" w:lineRule="auto"/>
      <w:ind w:firstLine="0" w:firstLineChars="0"/>
      <w:jc w:val="center"/>
    </w:pPr>
    <w:rPr>
      <w:sz w:val="28"/>
    </w:rPr>
  </w:style>
  <w:style w:type="paragraph" w:styleId="9">
    <w:name w:val="toc 7"/>
    <w:basedOn w:val="1"/>
    <w:next w:val="1"/>
    <w:unhideWhenUsed/>
    <w:qFormat/>
    <w:uiPriority w:val="39"/>
    <w:pPr>
      <w:widowControl w:val="0"/>
      <w:kinsoku/>
      <w:autoSpaceDE/>
      <w:autoSpaceDN/>
      <w:adjustRightInd/>
      <w:snapToGrid/>
      <w:spacing w:before="0" w:after="0"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lang w:eastAsia="zh-CN"/>
    </w:rPr>
  </w:style>
  <w:style w:type="paragraph" w:styleId="10">
    <w:name w:val="annotation text"/>
    <w:basedOn w:val="1"/>
    <w:link w:val="42"/>
    <w:qFormat/>
    <w:uiPriority w:val="0"/>
    <w:pPr>
      <w:jc w:val="left"/>
    </w:pPr>
  </w:style>
  <w:style w:type="paragraph" w:styleId="11">
    <w:name w:val="Body Text"/>
    <w:basedOn w:val="1"/>
    <w:qFormat/>
    <w:uiPriority w:val="0"/>
    <w:rPr>
      <w:rFonts w:ascii="Arial" w:hAnsi="Arial" w:eastAsia="宋体"/>
      <w:sz w:val="21"/>
    </w:rPr>
  </w:style>
  <w:style w:type="paragraph" w:styleId="12">
    <w:name w:val="Body Text Indent"/>
    <w:basedOn w:val="1"/>
    <w:unhideWhenUsed/>
    <w:qFormat/>
    <w:uiPriority w:val="99"/>
    <w:pPr>
      <w:spacing w:after="120"/>
      <w:ind w:left="420" w:leftChars="200"/>
    </w:pPr>
  </w:style>
  <w:style w:type="paragraph" w:styleId="13">
    <w:name w:val="List 2"/>
    <w:basedOn w:val="1"/>
    <w:qFormat/>
    <w:uiPriority w:val="0"/>
    <w:pPr>
      <w:spacing w:line="240" w:lineRule="auto"/>
      <w:ind w:firstLine="0" w:firstLineChars="0"/>
      <w:jc w:val="center"/>
    </w:pPr>
    <w:rPr>
      <w:rFonts w:eastAsia="黑体"/>
      <w:sz w:val="24"/>
      <w:szCs w:val="18"/>
      <w:lang w:eastAsia="zh-CN"/>
    </w:rPr>
  </w:style>
  <w:style w:type="paragraph" w:styleId="14">
    <w:name w:val="toc 5"/>
    <w:basedOn w:val="1"/>
    <w:next w:val="1"/>
    <w:unhideWhenUsed/>
    <w:qFormat/>
    <w:uiPriority w:val="39"/>
    <w:pPr>
      <w:widowControl w:val="0"/>
      <w:kinsoku/>
      <w:autoSpaceDE/>
      <w:autoSpaceDN/>
      <w:adjustRightInd/>
      <w:snapToGrid/>
      <w:spacing w:before="0" w:after="0" w:line="240" w:lineRule="auto"/>
      <w:ind w:left="1680" w:leftChars="800" w:firstLine="0" w:firstLineChars="0"/>
      <w:textAlignment w:val="auto"/>
    </w:pPr>
    <w:rPr>
      <w:rFonts w:asciiTheme="minorHAnsi" w:hAnsiTheme="minorHAnsi" w:eastAsiaTheme="minorEastAsia" w:cstheme="minorBidi"/>
      <w:snapToGrid/>
      <w:color w:val="auto"/>
      <w:kern w:val="2"/>
      <w:sz w:val="21"/>
      <w:szCs w:val="22"/>
      <w:lang w:eastAsia="zh-CN"/>
    </w:rPr>
  </w:style>
  <w:style w:type="paragraph" w:styleId="15">
    <w:name w:val="toc 3"/>
    <w:basedOn w:val="1"/>
    <w:next w:val="1"/>
    <w:qFormat/>
    <w:uiPriority w:val="39"/>
    <w:pPr>
      <w:ind w:left="840" w:leftChars="400"/>
    </w:pPr>
    <w:rPr>
      <w:sz w:val="24"/>
    </w:rPr>
  </w:style>
  <w:style w:type="paragraph" w:styleId="16">
    <w:name w:val="toc 8"/>
    <w:basedOn w:val="1"/>
    <w:next w:val="1"/>
    <w:unhideWhenUsed/>
    <w:qFormat/>
    <w:uiPriority w:val="39"/>
    <w:pPr>
      <w:widowControl w:val="0"/>
      <w:kinsoku/>
      <w:autoSpaceDE/>
      <w:autoSpaceDN/>
      <w:adjustRightInd/>
      <w:snapToGrid/>
      <w:spacing w:before="0" w:after="0"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lang w:eastAsia="zh-CN"/>
    </w:rPr>
  </w:style>
  <w:style w:type="paragraph" w:styleId="17">
    <w:name w:val="footer"/>
    <w:basedOn w:val="1"/>
    <w:link w:val="40"/>
    <w:qFormat/>
    <w:uiPriority w:val="99"/>
    <w:pPr>
      <w:tabs>
        <w:tab w:val="center" w:pos="4153"/>
        <w:tab w:val="right" w:pos="8306"/>
      </w:tabs>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9">
    <w:name w:val="toc 1"/>
    <w:basedOn w:val="1"/>
    <w:next w:val="1"/>
    <w:qFormat/>
    <w:uiPriority w:val="39"/>
    <w:pPr>
      <w:spacing w:before="120" w:after="120"/>
      <w:jc w:val="left"/>
    </w:pPr>
    <w:rPr>
      <w:b/>
      <w:bCs/>
      <w:caps/>
      <w:sz w:val="28"/>
      <w:szCs w:val="20"/>
    </w:rPr>
  </w:style>
  <w:style w:type="paragraph" w:styleId="20">
    <w:name w:val="toc 4"/>
    <w:basedOn w:val="1"/>
    <w:next w:val="1"/>
    <w:unhideWhenUsed/>
    <w:qFormat/>
    <w:uiPriority w:val="39"/>
    <w:pPr>
      <w:widowControl w:val="0"/>
      <w:kinsoku/>
      <w:autoSpaceDE/>
      <w:autoSpaceDN/>
      <w:adjustRightInd/>
      <w:snapToGrid/>
      <w:spacing w:before="0" w:after="0" w:line="240" w:lineRule="auto"/>
      <w:ind w:left="1260" w:leftChars="600" w:firstLine="0" w:firstLineChars="0"/>
      <w:textAlignment w:val="auto"/>
    </w:pPr>
    <w:rPr>
      <w:rFonts w:asciiTheme="minorHAnsi" w:hAnsiTheme="minorHAnsi" w:eastAsiaTheme="minorEastAsia" w:cstheme="minorBidi"/>
      <w:snapToGrid/>
      <w:color w:val="auto"/>
      <w:kern w:val="2"/>
      <w:sz w:val="21"/>
      <w:szCs w:val="22"/>
      <w:lang w:eastAsia="zh-CN"/>
    </w:rPr>
  </w:style>
  <w:style w:type="paragraph" w:styleId="21">
    <w:name w:val="toc 6"/>
    <w:basedOn w:val="1"/>
    <w:next w:val="1"/>
    <w:unhideWhenUsed/>
    <w:qFormat/>
    <w:uiPriority w:val="39"/>
    <w:pPr>
      <w:widowControl w:val="0"/>
      <w:kinsoku/>
      <w:autoSpaceDE/>
      <w:autoSpaceDN/>
      <w:adjustRightInd/>
      <w:snapToGrid/>
      <w:spacing w:before="0" w:after="0"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lang w:eastAsia="zh-CN"/>
    </w:rPr>
  </w:style>
  <w:style w:type="paragraph" w:styleId="22">
    <w:name w:val="toc 2"/>
    <w:basedOn w:val="1"/>
    <w:next w:val="1"/>
    <w:qFormat/>
    <w:uiPriority w:val="39"/>
    <w:pPr>
      <w:ind w:left="420" w:leftChars="200"/>
    </w:pPr>
    <w:rPr>
      <w:b/>
      <w:sz w:val="24"/>
    </w:rPr>
  </w:style>
  <w:style w:type="paragraph" w:styleId="23">
    <w:name w:val="toc 9"/>
    <w:basedOn w:val="1"/>
    <w:next w:val="1"/>
    <w:unhideWhenUsed/>
    <w:qFormat/>
    <w:uiPriority w:val="39"/>
    <w:pPr>
      <w:widowControl w:val="0"/>
      <w:kinsoku/>
      <w:autoSpaceDE/>
      <w:autoSpaceDN/>
      <w:adjustRightInd/>
      <w:snapToGrid/>
      <w:spacing w:before="0" w:after="0"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lang w:eastAsia="zh-CN"/>
    </w:rPr>
  </w:style>
  <w:style w:type="paragraph" w:styleId="24">
    <w:name w:val="Normal (Web)"/>
    <w:basedOn w:val="1"/>
    <w:qFormat/>
    <w:uiPriority w:val="0"/>
    <w:pPr>
      <w:spacing w:before="0" w:beforeAutospacing="1" w:after="0" w:afterAutospacing="1"/>
      <w:jc w:val="left"/>
    </w:pPr>
    <w:rPr>
      <w:rFonts w:cs="Times New Roman"/>
      <w:sz w:val="24"/>
      <w:lang w:eastAsia="zh-CN"/>
    </w:rPr>
  </w:style>
  <w:style w:type="paragraph" w:styleId="25">
    <w:name w:val="annotation subject"/>
    <w:basedOn w:val="10"/>
    <w:next w:val="10"/>
    <w:link w:val="43"/>
    <w:qFormat/>
    <w:uiPriority w:val="0"/>
    <w:rPr>
      <w:b/>
      <w:bCs/>
    </w:rPr>
  </w:style>
  <w:style w:type="paragraph" w:styleId="26">
    <w:name w:val="Body Text First Indent"/>
    <w:basedOn w:val="11"/>
    <w:qFormat/>
    <w:uiPriority w:val="0"/>
    <w:pPr>
      <w:ind w:firstLine="420" w:firstLineChars="100"/>
    </w:pPr>
  </w:style>
  <w:style w:type="paragraph" w:styleId="27">
    <w:name w:val="Body Text First Indent 2"/>
    <w:basedOn w:val="12"/>
    <w:unhideWhenUsed/>
    <w:qFormat/>
    <w:uiPriority w:val="99"/>
    <w:pPr>
      <w:ind w:firstLine="420"/>
    </w:pPr>
    <w:rPr>
      <w:szCs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Hyperlink"/>
    <w:basedOn w:val="30"/>
    <w:unhideWhenUsed/>
    <w:qFormat/>
    <w:uiPriority w:val="99"/>
    <w:rPr>
      <w:color w:val="0026E5" w:themeColor="hyperlink"/>
      <w:u w:val="single"/>
      <w14:textFill>
        <w14:solidFill>
          <w14:schemeClr w14:val="hlink"/>
        </w14:solidFill>
      </w14:textFill>
    </w:rPr>
  </w:style>
  <w:style w:type="character" w:styleId="33">
    <w:name w:val="annotation reference"/>
    <w:basedOn w:val="30"/>
    <w:qFormat/>
    <w:uiPriority w:val="0"/>
    <w:rPr>
      <w:sz w:val="21"/>
      <w:szCs w:val="21"/>
    </w:rPr>
  </w:style>
  <w:style w:type="character" w:customStyle="1" w:styleId="34">
    <w:name w:val="标题 1 字符"/>
    <w:link w:val="2"/>
    <w:qFormat/>
    <w:uiPriority w:val="0"/>
    <w:rPr>
      <w:rFonts w:ascii="宋体" w:hAnsi="宋体" w:eastAsia="黑体" w:cs="Arial"/>
      <w:bCs/>
      <w:snapToGrid w:val="0"/>
      <w:color w:val="000000"/>
      <w:kern w:val="44"/>
      <w:sz w:val="32"/>
      <w:szCs w:val="36"/>
    </w:rPr>
  </w:style>
  <w:style w:type="character" w:customStyle="1" w:styleId="35">
    <w:name w:val="标题 2 字符"/>
    <w:link w:val="3"/>
    <w:qFormat/>
    <w:uiPriority w:val="0"/>
    <w:rPr>
      <w:rFonts w:eastAsia="楷体_GB2312" w:cs="Arial"/>
      <w:b/>
      <w:snapToGrid w:val="0"/>
      <w:color w:val="000000"/>
      <w:sz w:val="32"/>
      <w:szCs w:val="21"/>
    </w:rPr>
  </w:style>
  <w:style w:type="character" w:customStyle="1" w:styleId="36">
    <w:name w:val="标题 3 字符"/>
    <w:link w:val="5"/>
    <w:qFormat/>
    <w:uiPriority w:val="0"/>
    <w:rPr>
      <w:rFonts w:eastAsia="仿宋"/>
      <w:b/>
      <w:bCs/>
      <w:snapToGrid w:val="0"/>
      <w:color w:val="000000"/>
      <w:sz w:val="32"/>
      <w:szCs w:val="28"/>
    </w:rPr>
  </w:style>
  <w:style w:type="character" w:customStyle="1" w:styleId="37">
    <w:name w:val="标题 4 字符"/>
    <w:link w:val="6"/>
    <w:qFormat/>
    <w:uiPriority w:val="0"/>
    <w:rPr>
      <w:rFonts w:eastAsia="仿宋" w:cs="Arial"/>
      <w:b/>
      <w:snapToGrid w:val="0"/>
      <w:color w:val="000000"/>
      <w:sz w:val="32"/>
      <w:szCs w:val="22"/>
    </w:r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Table Text"/>
    <w:basedOn w:val="1"/>
    <w:semiHidden/>
    <w:qFormat/>
    <w:uiPriority w:val="0"/>
    <w:rPr>
      <w:rFonts w:ascii="Arial" w:hAnsi="Arial" w:eastAsia="Arial"/>
      <w:sz w:val="24"/>
      <w:szCs w:val="24"/>
    </w:rPr>
  </w:style>
  <w:style w:type="character" w:customStyle="1" w:styleId="40">
    <w:name w:val="页脚 字符"/>
    <w:basedOn w:val="30"/>
    <w:link w:val="17"/>
    <w:qFormat/>
    <w:uiPriority w:val="99"/>
    <w:rPr>
      <w:rFonts w:eastAsia="仿宋" w:cs="Arial"/>
      <w:snapToGrid w:val="0"/>
      <w:color w:val="000000"/>
      <w:sz w:val="18"/>
      <w:szCs w:val="21"/>
      <w:lang w:eastAsia="en-US"/>
    </w:rPr>
  </w:style>
  <w:style w:type="paragraph" w:customStyle="1" w:styleId="41">
    <w:name w:val="TOC 标题1"/>
    <w:basedOn w:val="2"/>
    <w:next w:val="1"/>
    <w:unhideWhenUsed/>
    <w:qFormat/>
    <w:uiPriority w:val="39"/>
    <w:pPr>
      <w:keepNext/>
      <w:keepLines/>
      <w:kinsoku/>
      <w:autoSpaceDE/>
      <w:autoSpaceDN/>
      <w:adjustRightInd/>
      <w:snapToGrid/>
      <w:spacing w:before="240" w:line="259" w:lineRule="auto"/>
      <w:textAlignment w:val="auto"/>
      <w:outlineLvl w:val="9"/>
    </w:pPr>
    <w:rPr>
      <w:rFonts w:asciiTheme="majorHAnsi" w:hAnsiTheme="majorHAnsi" w:eastAsiaTheme="majorEastAsia" w:cstheme="majorBidi"/>
      <w:bCs w:val="0"/>
      <w:snapToGrid/>
      <w:color w:val="2E54A1" w:themeColor="accent1" w:themeShade="BF"/>
      <w:kern w:val="0"/>
      <w:szCs w:val="32"/>
    </w:rPr>
  </w:style>
  <w:style w:type="character" w:customStyle="1" w:styleId="42">
    <w:name w:val="批注文字 字符"/>
    <w:basedOn w:val="30"/>
    <w:link w:val="10"/>
    <w:qFormat/>
    <w:uiPriority w:val="0"/>
    <w:rPr>
      <w:rFonts w:eastAsia="仿宋" w:cs="Arial"/>
      <w:snapToGrid w:val="0"/>
      <w:color w:val="000000"/>
      <w:sz w:val="32"/>
      <w:szCs w:val="21"/>
      <w:lang w:eastAsia="en-US"/>
    </w:rPr>
  </w:style>
  <w:style w:type="character" w:customStyle="1" w:styleId="43">
    <w:name w:val="批注主题 字符"/>
    <w:basedOn w:val="42"/>
    <w:link w:val="25"/>
    <w:qFormat/>
    <w:uiPriority w:val="0"/>
    <w:rPr>
      <w:rFonts w:eastAsia="仿宋" w:cs="Arial"/>
      <w:b/>
      <w:bCs/>
      <w:snapToGrid w:val="0"/>
      <w:color w:val="000000"/>
      <w:sz w:val="32"/>
      <w:szCs w:val="21"/>
      <w:lang w:eastAsia="en-US"/>
    </w:rPr>
  </w:style>
  <w:style w:type="paragraph" w:styleId="44">
    <w:name w:val="List Paragraph"/>
    <w:basedOn w:val="1"/>
    <w:qFormat/>
    <w:uiPriority w:val="99"/>
    <w:pPr>
      <w:ind w:firstLine="420"/>
    </w:pPr>
  </w:style>
  <w:style w:type="character" w:customStyle="1" w:styleId="45">
    <w:name w:val="Unresolved Mention"/>
    <w:basedOn w:val="30"/>
    <w:semiHidden/>
    <w:unhideWhenUsed/>
    <w:qFormat/>
    <w:uiPriority w:val="99"/>
    <w:rPr>
      <w:color w:val="605E5C"/>
      <w:shd w:val="clear" w:color="auto" w:fill="E1DFDD"/>
    </w:rPr>
  </w:style>
  <w:style w:type="paragraph" w:customStyle="1" w:styleId="46">
    <w:name w:val="Revision"/>
    <w:hidden/>
    <w:semiHidden/>
    <w:qFormat/>
    <w:uiPriority w:val="99"/>
    <w:rPr>
      <w:rFonts w:ascii="Times New Roman" w:hAnsi="Times New Roman" w:eastAsia="仿宋" w:cs="Arial"/>
      <w:snapToGrid w:val="0"/>
      <w:color w:val="000000"/>
      <w:sz w:val="32"/>
      <w:szCs w:val="21"/>
      <w:lang w:val="en-US" w:eastAsia="en-US" w:bidi="ar-SA"/>
    </w:rPr>
  </w:style>
  <w:style w:type="character" w:customStyle="1" w:styleId="47">
    <w:name w:val="font61"/>
    <w:basedOn w:val="30"/>
    <w:qFormat/>
    <w:uiPriority w:val="0"/>
    <w:rPr>
      <w:rFonts w:hint="eastAsia" w:ascii="微软雅黑" w:hAnsi="微软雅黑" w:eastAsia="微软雅黑"/>
      <w:color w:val="000000"/>
      <w:sz w:val="28"/>
      <w:szCs w:val="28"/>
      <w:u w:val="none"/>
    </w:rPr>
  </w:style>
  <w:style w:type="character" w:customStyle="1" w:styleId="48">
    <w:name w:val="font31"/>
    <w:basedOn w:val="30"/>
    <w:qFormat/>
    <w:uiPriority w:val="0"/>
    <w:rPr>
      <w:rFonts w:hint="eastAsia" w:ascii="仿宋_GB2312" w:eastAsia="仿宋_GB2312"/>
      <w:color w:val="000000"/>
      <w:sz w:val="28"/>
      <w:szCs w:val="28"/>
      <w:u w:val="none"/>
    </w:rPr>
  </w:style>
  <w:style w:type="character" w:customStyle="1" w:styleId="49">
    <w:name w:val="font41"/>
    <w:basedOn w:val="30"/>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chart" Target="charts/chart3.xml"/><Relationship Id="rId21" Type="http://schemas.openxmlformats.org/officeDocument/2006/relationships/image" Target="media/image6.jpeg"/><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chart" Target="charts/chart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MY%20%20Project%20FOR%20work\02%20&#39033;&#30446;&#24037;&#20316;\02%20&#26862;&#26519;&#38450;&#28779;&#35268;&#21010;\&#36890;&#24030;\6.&#22806;&#19994;&#35843;&#30740;&#21450;&#36164;&#26009;&#25910;&#38598;\&#35774;&#26045;&#21488;&#36134;-&#25552;&#20379;\&#20840;&#21306;&#27719;&#24635;&#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MY%20%20Project%20FOR%20work\02%20&#39033;&#30446;&#24037;&#20316;\02%20&#26862;&#26519;&#38450;&#28779;&#35268;&#21010;\&#36890;&#24030;\&#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spPr/>
          <c:explosion val="0"/>
          <c:dPt>
            <c:idx val="0"/>
            <c:bubble3D val="false"/>
            <c:spPr>
              <a:solidFill>
                <a:schemeClr val="accent1"/>
              </a:solidFill>
              <a:ln w="19050">
                <a:solidFill>
                  <a:schemeClr val="lt1"/>
                </a:solidFill>
              </a:ln>
              <a:effectLst/>
            </c:spPr>
          </c:dPt>
          <c:dPt>
            <c:idx val="1"/>
            <c:bubble3D val="false"/>
            <c:spPr>
              <a:solidFill>
                <a:schemeClr val="accent3"/>
              </a:solidFill>
              <a:ln w="19050">
                <a:solidFill>
                  <a:schemeClr val="lt1"/>
                </a:solidFill>
              </a:ln>
              <a:effectLst/>
            </c:spPr>
          </c:dPt>
          <c:dPt>
            <c:idx val="2"/>
            <c:bubble3D val="false"/>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true"/>
              <a:lstStyle/>
              <a:p>
                <a:pPr>
                  <a:defRPr lang="zh-CN" sz="1400" b="0" i="0" u="none" strike="noStrike" kern="1200" baseline="0">
                    <a:solidFill>
                      <a:schemeClr val="tx1">
                        <a:lumMod val="75000"/>
                        <a:lumOff val="25000"/>
                      </a:schemeClr>
                    </a:solidFill>
                    <a:latin typeface="Times New Roman" charset="0"/>
                    <a:ea typeface="+mn-ea"/>
                    <a:cs typeface="+mn-cs"/>
                  </a:defRPr>
                </a:pPr>
              </a:p>
            </c:txPr>
            <c:dLblPos val="outEnd"/>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Sheet1!$B$13:$B$15</c:f>
              <c:strCache>
                <c:ptCount val="3"/>
                <c:pt idx="0">
                  <c:v>阔叶林</c:v>
                </c:pt>
                <c:pt idx="1">
                  <c:v>针阔混</c:v>
                </c:pt>
                <c:pt idx="2">
                  <c:v>针叶林</c:v>
                </c:pt>
              </c:strCache>
            </c:strRef>
          </c:cat>
          <c:val>
            <c:numRef>
              <c:f>Sheet1!$D$13:$D$15</c:f>
              <c:numCache>
                <c:formatCode>0.00%</c:formatCode>
                <c:ptCount val="3"/>
                <c:pt idx="0">
                  <c:v>0.852</c:v>
                </c:pt>
                <c:pt idx="1">
                  <c:v>0.083</c:v>
                </c:pt>
                <c:pt idx="2">
                  <c:v>0.065</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14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sz="1400" baseline="0">
          <a:latin typeface="Times New Roman" charset="0"/>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Sheet1!$D$1</c:f>
              <c:strCache>
                <c:ptCount val="1"/>
                <c:pt idx="0">
                  <c:v>占比</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Pt>
            <c:idx val="2"/>
            <c:bubble3D val="false"/>
            <c:spPr>
              <a:solidFill>
                <a:schemeClr val="accent3"/>
              </a:solidFill>
              <a:ln w="19050">
                <a:solidFill>
                  <a:schemeClr val="lt1"/>
                </a:solidFill>
              </a:ln>
              <a:effectLst/>
            </c:spPr>
          </c:dPt>
          <c:dPt>
            <c:idx val="3"/>
            <c:bubble3D val="false"/>
            <c:spPr>
              <a:solidFill>
                <a:schemeClr val="accent4"/>
              </a:solidFill>
              <a:ln w="19050">
                <a:solidFill>
                  <a:schemeClr val="lt1"/>
                </a:solidFill>
              </a:ln>
              <a:effectLst/>
            </c:spPr>
          </c:dPt>
          <c:dPt>
            <c:idx val="4"/>
            <c:bubble3D val="false"/>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true"/>
              <a:lstStyle/>
              <a:p>
                <a:pPr>
                  <a:defRPr lang="zh-CN" sz="1400" b="0" i="0" u="none" strike="noStrike" kern="1200" baseline="0">
                    <a:solidFill>
                      <a:schemeClr val="tx1">
                        <a:lumMod val="75000"/>
                        <a:lumOff val="25000"/>
                      </a:schemeClr>
                    </a:solidFill>
                    <a:latin typeface="Times New Roman" charset="0"/>
                    <a:ea typeface="+mn-ea"/>
                    <a:cs typeface="Times New Roman" charset="0"/>
                  </a:defRPr>
                </a:pPr>
              </a:p>
            </c:txPr>
            <c:dLblPos val="outEnd"/>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Sheet1!$B$2:$B$6</c:f>
              <c:strCache>
                <c:ptCount val="5"/>
                <c:pt idx="0">
                  <c:v>成熟林</c:v>
                </c:pt>
                <c:pt idx="1">
                  <c:v>过熟林</c:v>
                </c:pt>
                <c:pt idx="2">
                  <c:v>近熟林</c:v>
                </c:pt>
                <c:pt idx="3">
                  <c:v>幼龄林</c:v>
                </c:pt>
                <c:pt idx="4">
                  <c:v>中龄林</c:v>
                </c:pt>
              </c:strCache>
            </c:strRef>
          </c:cat>
          <c:val>
            <c:numRef>
              <c:f>Sheet1!$D$2:$D$6</c:f>
              <c:numCache>
                <c:formatCode>0.00%</c:formatCode>
                <c:ptCount val="5"/>
                <c:pt idx="0">
                  <c:v>0.082</c:v>
                </c:pt>
                <c:pt idx="1">
                  <c:v>0.012</c:v>
                </c:pt>
                <c:pt idx="2">
                  <c:v>0.164</c:v>
                </c:pt>
                <c:pt idx="3">
                  <c:v>0.562</c:v>
                </c:pt>
                <c:pt idx="4">
                  <c:v>0.18</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14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sz="1400"/>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layout/>
      <c:overlay val="false"/>
      <c:spPr>
        <a:noFill/>
        <a:ln>
          <a:noFill/>
        </a:ln>
        <a:effectLst/>
      </c:spPr>
      <c:txPr>
        <a:bodyPr rot="0" spcFirstLastPara="1" vertOverflow="ellipsis" vert="horz" wrap="square" anchor="ctr" anchorCtr="true"/>
        <a:lstStyle/>
        <a:p>
          <a:pPr>
            <a:defRPr lang="zh-CN" sz="1200" b="0" i="0" u="none" strike="noStrike" kern="1200" spc="0" baseline="0">
              <a:solidFill>
                <a:schemeClr val="tx1">
                  <a:lumMod val="65000"/>
                  <a:lumOff val="35000"/>
                </a:schemeClr>
              </a:solidFill>
              <a:latin typeface="+mn-lt"/>
              <a:ea typeface="+mn-ea"/>
              <a:cs typeface="+mn-cs"/>
            </a:defRPr>
          </a:pPr>
        </a:p>
      </c:txPr>
    </c:title>
    <c:autoTitleDeleted val="false"/>
    <c:plotArea>
      <c:layout/>
      <c:barChart>
        <c:barDir val="col"/>
        <c:grouping val="clustered"/>
        <c:varyColors val="false"/>
        <c:ser>
          <c:idx val="0"/>
          <c:order val="0"/>
          <c:tx>
            <c:strRef>
              <c:f>Sheet1!$F$7</c:f>
              <c:strCache>
                <c:ptCount val="1"/>
                <c:pt idx="0">
                  <c:v>人口（万人）</c:v>
                </c:pt>
              </c:strCache>
            </c:strRef>
          </c:tx>
          <c:spPr>
            <a:solidFill>
              <a:schemeClr val="accent1">
                <a:lumMod val="40000"/>
                <a:lumOff val="60000"/>
              </a:schemeClr>
            </a:solidFill>
            <a:ln>
              <a:noFill/>
            </a:ln>
            <a:effectLst/>
          </c:spPr>
          <c:invertIfNegative val="false"/>
          <c:dLbls>
            <c:spPr>
              <a:noFill/>
              <a:ln>
                <a:noFill/>
              </a:ln>
              <a:effectLst/>
            </c:spPr>
            <c:txPr>
              <a:bodyPr rot="0" spcFirstLastPara="1" vertOverflow="ellipsis" vert="horz" wrap="square" lIns="38100" tIns="19050" rIns="38100" bIns="19050" anchor="ctr" anchorCtr="true">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Sheet1!$E$8:$E$12</c:f>
              <c:strCache>
                <c:ptCount val="5"/>
                <c:pt idx="0">
                  <c:v>2020年</c:v>
                </c:pt>
                <c:pt idx="1">
                  <c:v>2021年</c:v>
                </c:pt>
                <c:pt idx="2">
                  <c:v>2022年</c:v>
                </c:pt>
                <c:pt idx="3">
                  <c:v>2023年</c:v>
                </c:pt>
                <c:pt idx="4">
                  <c:v>2024年</c:v>
                </c:pt>
              </c:strCache>
            </c:strRef>
          </c:cat>
          <c:val>
            <c:numRef>
              <c:f>Sheet1!$F$8:$F$12</c:f>
              <c:numCache>
                <c:formatCode>General</c:formatCode>
                <c:ptCount val="5"/>
                <c:pt idx="0">
                  <c:v>184</c:v>
                </c:pt>
                <c:pt idx="1">
                  <c:v>184.3</c:v>
                </c:pt>
                <c:pt idx="2">
                  <c:v>184.3</c:v>
                </c:pt>
                <c:pt idx="3">
                  <c:v>184.5</c:v>
                </c:pt>
                <c:pt idx="4">
                  <c:v>184.6</c:v>
                </c:pt>
              </c:numCache>
            </c:numRef>
          </c:val>
        </c:ser>
        <c:dLbls>
          <c:showLegendKey val="false"/>
          <c:showVal val="true"/>
          <c:showCatName val="false"/>
          <c:showSerName val="false"/>
          <c:showPercent val="false"/>
          <c:showBubbleSize val="false"/>
        </c:dLbls>
        <c:gapWidth val="219"/>
        <c:overlap val="-27"/>
        <c:axId val="1999463024"/>
        <c:axId val="1999462192"/>
      </c:barChart>
      <c:catAx>
        <c:axId val="1999463024"/>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999462192"/>
        <c:crosses val="autoZero"/>
        <c:auto val="true"/>
        <c:lblAlgn val="ctr"/>
        <c:lblOffset val="100"/>
        <c:noMultiLvlLbl val="false"/>
      </c:catAx>
      <c:valAx>
        <c:axId val="1999462192"/>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999463024"/>
        <c:crosses val="autoZero"/>
        <c:crossBetween val="between"/>
      </c:valAx>
      <c:spPr>
        <a:noFill/>
        <a:ln>
          <a:noFill/>
        </a:ln>
        <a:effectLst/>
      </c:spPr>
    </c:plotArea>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17678</Words>
  <Characters>18740</Characters>
  <Lines>1703</Lines>
  <Paragraphs>1820</Paragraphs>
  <TotalTime>602</TotalTime>
  <ScaleCrop>false</ScaleCrop>
  <LinksUpToDate>false</LinksUpToDate>
  <CharactersWithSpaces>34598</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2025-10-30T16:03:00Z</dcterms:created>
  <dc:creator>yangxi</dc:creator>
  <cp:lastModifiedBy>user</cp:lastModifiedBy>
  <cp:lastPrinted>2025-10-30T21:19:00Z</cp:lastPrinted>
  <dcterms:modified xsi:type="dcterms:W3CDTF">2025-11-11T13:58:12Z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5AEDDD7EC209468F99A740A850875DF2_13</vt:lpwstr>
  </property>
  <property fmtid="{D5CDD505-2E9C-101B-9397-08002B2CF9AE}" pid="4" name="KSOTemplateDocerSaveRecord">
    <vt:lpwstr>eyJoZGlkIjoiZDQ0YzA4ZDdkYTI2NWM2MDdkYzM0NGY1NDRlYTNkNmYiLCJ1c2VySWQiOiIzNDkwNzI5ODIifQ==</vt:lpwstr>
  </property>
</Properties>
</file>