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overflowPunct/>
        <w:topLinePunct w:val="0"/>
        <w:bidi w:val="0"/>
        <w:spacing w:line="540" w:lineRule="exact"/>
        <w:contextualSpacing/>
        <w:jc w:val="center"/>
        <w:rPr>
          <w:rFonts w:hint="eastAsia" w:ascii="方正小标宋简体" w:eastAsia="方正小标宋简体"/>
          <w:sz w:val="44"/>
          <w:szCs w:val="44"/>
          <w:highlight w:val="none"/>
          <w:lang w:val="en-US" w:eastAsia="zh-CN"/>
        </w:rPr>
      </w:pPr>
      <w:r>
        <w:rPr>
          <w:rFonts w:hint="eastAsia" w:ascii="方正小标宋简体" w:eastAsia="方正小标宋简体"/>
          <w:sz w:val="44"/>
          <w:szCs w:val="44"/>
          <w:highlight w:val="none"/>
          <w:lang w:eastAsia="zh-CN"/>
        </w:rPr>
        <w:t>密云区怀柔科学城东区</w:t>
      </w:r>
      <w:r>
        <w:rPr>
          <w:rFonts w:hint="eastAsia" w:ascii="方正小标宋简体" w:eastAsia="方正小标宋简体"/>
          <w:strike w:val="0"/>
          <w:dstrike w:val="0"/>
          <w:sz w:val="44"/>
          <w:szCs w:val="44"/>
          <w:highlight w:val="none"/>
          <w:u w:val="none"/>
          <w:lang w:eastAsia="zh-CN"/>
        </w:rPr>
        <w:t>云西支一街（云西二路-西统路）</w:t>
      </w:r>
      <w:r>
        <w:rPr>
          <w:rFonts w:hint="eastAsia" w:ascii="方正小标宋简体" w:eastAsia="方正小标宋简体"/>
          <w:strike w:val="0"/>
          <w:dstrike w:val="0"/>
          <w:sz w:val="44"/>
          <w:szCs w:val="44"/>
          <w:highlight w:val="none"/>
          <w:u w:val="none"/>
          <w:lang w:val="en-US" w:eastAsia="zh-CN"/>
        </w:rPr>
        <w:t>道路工程</w:t>
      </w:r>
      <w:r>
        <w:rPr>
          <w:rFonts w:hint="eastAsia" w:ascii="方正小标宋简体" w:eastAsia="方正小标宋简体"/>
          <w:sz w:val="44"/>
          <w:szCs w:val="44"/>
          <w:highlight w:val="none"/>
          <w:lang w:val="en-US" w:eastAsia="zh-CN"/>
        </w:rPr>
        <w:t>等七条道路及大辛庄110千伏输变电工程（站址部分）</w:t>
      </w:r>
    </w:p>
    <w:p>
      <w:pPr>
        <w:keepNext w:val="0"/>
        <w:keepLines w:val="0"/>
        <w:pageBreakBefore w:val="0"/>
        <w:kinsoku/>
        <w:overflowPunct/>
        <w:topLinePunct w:val="0"/>
        <w:bidi w:val="0"/>
        <w:spacing w:line="540" w:lineRule="exact"/>
        <w:contextualSpacing/>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拆迁实施方案</w:t>
      </w:r>
    </w:p>
    <w:p>
      <w:pPr>
        <w:spacing w:line="540" w:lineRule="exact"/>
        <w:contextualSpacing/>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（征求意见稿）</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textAlignment w:val="auto"/>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eastAsia="zh-CN"/>
        </w:rPr>
        <w:t>密云区怀柔科学城东区云西支一街（云西二路-西统路）道路工程等七条道路</w:t>
      </w:r>
      <w:r>
        <w:rPr>
          <w:rFonts w:hint="eastAsia" w:ascii="仿宋_GB2312" w:hAnsi="仿宋_GB2312" w:eastAsia="仿宋_GB2312" w:cs="仿宋_GB2312"/>
          <w:spacing w:val="-6"/>
          <w:sz w:val="32"/>
          <w:szCs w:val="32"/>
          <w:highlight w:val="none"/>
          <w:lang w:val="en-US" w:eastAsia="zh-CN"/>
        </w:rPr>
        <w:t>包含</w:t>
      </w:r>
      <w:r>
        <w:rPr>
          <w:rFonts w:hint="eastAsia" w:ascii="仿宋_GB2312" w:hAnsi="仿宋_GB2312" w:eastAsia="仿宋_GB2312" w:cs="仿宋_GB2312"/>
          <w:spacing w:val="-6"/>
          <w:sz w:val="32"/>
          <w:szCs w:val="32"/>
          <w:highlight w:val="none"/>
          <w:lang w:eastAsia="zh-CN"/>
        </w:rPr>
        <w:t>怀柔科学城东区云西支一街（云西二路-西统路）道路工程、科学城东区云西支二路（云西二街-密新路）道路工程、怀柔科学城东区云西支六路（统军庄街-云西九街）道路工程、怀柔科学城东区云西支七路（水杨红街-水泉街）道路工程、科学城东区云西支八街（云西支七路-云西四路）道路工程、怀柔科学城东区云西九街（西统路-云西四路南延）道路工程</w:t>
      </w:r>
      <w:r>
        <w:rPr>
          <w:rFonts w:hint="eastAsia" w:ascii="仿宋_GB2312" w:hAnsi="仿宋_GB2312" w:eastAsia="仿宋_GB2312" w:cs="仿宋_GB2312"/>
          <w:spacing w:val="-6"/>
          <w:sz w:val="32"/>
          <w:szCs w:val="32"/>
          <w:highlight w:val="none"/>
          <w:lang w:val="en-US" w:eastAsia="zh-CN"/>
        </w:rPr>
        <w:t>及</w:t>
      </w:r>
      <w:r>
        <w:rPr>
          <w:rFonts w:hint="eastAsia" w:ascii="仿宋_GB2312" w:hAnsi="仿宋_GB2312" w:eastAsia="仿宋_GB2312" w:cs="仿宋_GB2312"/>
          <w:spacing w:val="-6"/>
          <w:sz w:val="32"/>
          <w:szCs w:val="32"/>
          <w:highlight w:val="none"/>
          <w:lang w:eastAsia="zh-CN"/>
        </w:rPr>
        <w:t>怀柔科学城东区云西支十二街（西统路-云西三路）道路工程，</w:t>
      </w:r>
      <w:r>
        <w:rPr>
          <w:rFonts w:hint="eastAsia" w:ascii="仿宋_GB2312" w:hAnsi="仿宋_GB2312" w:eastAsia="仿宋_GB2312" w:cs="仿宋_GB2312"/>
          <w:spacing w:val="-6"/>
          <w:sz w:val="32"/>
          <w:szCs w:val="32"/>
          <w:highlight w:val="none"/>
          <w:lang w:val="en-US" w:eastAsia="zh-CN"/>
        </w:rPr>
        <w:t>属于</w:t>
      </w:r>
      <w:r>
        <w:rPr>
          <w:rFonts w:hint="eastAsia" w:ascii="仿宋_GB2312" w:hAnsi="仿宋_GB2312" w:eastAsia="仿宋_GB2312" w:cs="仿宋_GB2312"/>
          <w:spacing w:val="-6"/>
          <w:sz w:val="32"/>
          <w:szCs w:val="32"/>
          <w:highlight w:val="none"/>
          <w:lang w:eastAsia="zh-CN"/>
        </w:rPr>
        <w:t>密云区怀柔科学城东区支路网道路工程。</w:t>
      </w:r>
      <w:r>
        <w:rPr>
          <w:rFonts w:hint="eastAsia" w:ascii="仿宋_GB2312" w:hAnsi="仿宋_GB2312" w:eastAsia="仿宋_GB2312" w:cs="仿宋_GB2312"/>
          <w:spacing w:val="-6"/>
          <w:sz w:val="32"/>
          <w:szCs w:val="32"/>
          <w:highlight w:val="none"/>
          <w:lang w:val="en-US" w:eastAsia="zh-CN"/>
        </w:rPr>
        <w:t>为</w:t>
      </w:r>
      <w:r>
        <w:rPr>
          <w:rFonts w:hint="eastAsia" w:ascii="仿宋_GB2312" w:hAnsi="仿宋_GB2312" w:eastAsia="仿宋_GB2312" w:cs="仿宋_GB2312"/>
          <w:spacing w:val="-6"/>
          <w:sz w:val="32"/>
          <w:szCs w:val="32"/>
          <w:highlight w:val="none"/>
        </w:rPr>
        <w:t>配合科学城东区国家水生态环境智慧监测业务与实验平台项目、北京大学怀密医学中心项目及北京第二实验学校周边、怀柔科学城东区集体土地租赁住房项目等重点项目</w:t>
      </w:r>
      <w:r>
        <w:rPr>
          <w:rFonts w:hint="eastAsia" w:ascii="仿宋_GB2312" w:hAnsi="仿宋_GB2312" w:eastAsia="仿宋_GB2312" w:cs="仿宋_GB2312"/>
          <w:spacing w:val="-6"/>
          <w:sz w:val="32"/>
          <w:szCs w:val="32"/>
          <w:highlight w:val="none"/>
          <w:lang w:val="en-US" w:eastAsia="zh-CN"/>
        </w:rPr>
        <w:t>建设</w:t>
      </w:r>
      <w:r>
        <w:rPr>
          <w:rFonts w:hint="eastAsia" w:ascii="仿宋_GB2312" w:hAnsi="仿宋_GB2312" w:eastAsia="仿宋_GB2312" w:cs="仿宋_GB2312"/>
          <w:spacing w:val="-6"/>
          <w:sz w:val="32"/>
          <w:szCs w:val="32"/>
          <w:highlight w:val="none"/>
        </w:rPr>
        <w:t>，完善区域路网结构</w:t>
      </w:r>
      <w:r>
        <w:rPr>
          <w:rFonts w:hint="eastAsia" w:ascii="仿宋_GB2312" w:hAnsi="仿宋_GB2312" w:eastAsia="仿宋_GB2312" w:cs="仿宋_GB2312"/>
          <w:spacing w:val="-6"/>
          <w:sz w:val="32"/>
          <w:szCs w:val="32"/>
          <w:highlight w:val="none"/>
          <w:lang w:eastAsia="zh-CN"/>
        </w:rPr>
        <w:t>，提供相关管线路由</w:t>
      </w:r>
      <w:r>
        <w:rPr>
          <w:rFonts w:hint="eastAsia" w:ascii="仿宋_GB2312" w:hAnsi="仿宋_GB2312" w:eastAsia="仿宋_GB2312" w:cs="仿宋_GB2312"/>
          <w:spacing w:val="-6"/>
          <w:sz w:val="32"/>
          <w:szCs w:val="32"/>
          <w:highlight w:val="none"/>
        </w:rPr>
        <w:t>。其中：怀柔科学城东区云西支一街（云西二路-西统路）道路工程长</w:t>
      </w:r>
      <w:r>
        <w:rPr>
          <w:rFonts w:hint="eastAsia" w:ascii="仿宋_GB2312" w:hAnsi="仿宋_GB2312" w:eastAsia="仿宋_GB2312" w:cs="仿宋_GB2312"/>
          <w:spacing w:val="-6"/>
          <w:sz w:val="32"/>
          <w:szCs w:val="32"/>
          <w:highlight w:val="none"/>
          <w:lang w:val="en-US" w:eastAsia="zh-CN"/>
        </w:rPr>
        <w:t>0.39</w:t>
      </w:r>
      <w:r>
        <w:rPr>
          <w:rFonts w:hint="eastAsia" w:ascii="仿宋_GB2312" w:hAnsi="仿宋_GB2312" w:eastAsia="仿宋_GB2312" w:cs="仿宋_GB2312"/>
          <w:spacing w:val="-6"/>
          <w:sz w:val="32"/>
          <w:szCs w:val="32"/>
          <w:highlight w:val="none"/>
        </w:rPr>
        <w:t>公里，红线宽</w:t>
      </w:r>
      <w:r>
        <w:rPr>
          <w:rFonts w:hint="eastAsia" w:ascii="仿宋_GB2312" w:hAnsi="仿宋_GB2312" w:eastAsia="仿宋_GB2312" w:cs="仿宋_GB2312"/>
          <w:spacing w:val="-6"/>
          <w:sz w:val="32"/>
          <w:szCs w:val="32"/>
          <w:highlight w:val="none"/>
          <w:lang w:val="en-US" w:eastAsia="zh-CN"/>
        </w:rPr>
        <w:t>20</w:t>
      </w:r>
      <w:r>
        <w:rPr>
          <w:rFonts w:hint="eastAsia" w:ascii="仿宋_GB2312" w:hAnsi="仿宋_GB2312" w:eastAsia="仿宋_GB2312" w:cs="仿宋_GB2312"/>
          <w:spacing w:val="-6"/>
          <w:sz w:val="32"/>
          <w:szCs w:val="32"/>
          <w:highlight w:val="none"/>
        </w:rPr>
        <w:t>米；</w:t>
      </w:r>
      <w:r>
        <w:rPr>
          <w:rFonts w:hint="eastAsia" w:ascii="仿宋_GB2312" w:hAnsi="仿宋_GB2312" w:eastAsia="仿宋_GB2312" w:cs="仿宋_GB2312"/>
          <w:spacing w:val="-6"/>
          <w:sz w:val="32"/>
          <w:szCs w:val="32"/>
          <w:highlight w:val="none"/>
          <w:lang w:eastAsia="zh-CN"/>
        </w:rPr>
        <w:t>科学城东区云西支二路（云西二街-密新路）道路工程</w:t>
      </w:r>
      <w:r>
        <w:rPr>
          <w:rFonts w:hint="eastAsia" w:ascii="仿宋_GB2312" w:hAnsi="仿宋_GB2312" w:eastAsia="仿宋_GB2312" w:cs="仿宋_GB2312"/>
          <w:spacing w:val="-6"/>
          <w:sz w:val="32"/>
          <w:szCs w:val="32"/>
          <w:highlight w:val="none"/>
        </w:rPr>
        <w:t>长</w:t>
      </w:r>
      <w:r>
        <w:rPr>
          <w:rFonts w:hint="eastAsia" w:ascii="仿宋_GB2312" w:hAnsi="仿宋_GB2312" w:eastAsia="仿宋_GB2312" w:cs="仿宋_GB2312"/>
          <w:spacing w:val="-6"/>
          <w:sz w:val="32"/>
          <w:szCs w:val="32"/>
          <w:highlight w:val="none"/>
          <w:lang w:val="en-US" w:eastAsia="zh-CN"/>
        </w:rPr>
        <w:t>0.97</w:t>
      </w:r>
      <w:r>
        <w:rPr>
          <w:rFonts w:hint="eastAsia" w:ascii="仿宋_GB2312" w:hAnsi="仿宋_GB2312" w:eastAsia="仿宋_GB2312" w:cs="仿宋_GB2312"/>
          <w:spacing w:val="-6"/>
          <w:sz w:val="32"/>
          <w:szCs w:val="32"/>
          <w:highlight w:val="none"/>
        </w:rPr>
        <w:t>公里，红线宽</w:t>
      </w:r>
      <w:r>
        <w:rPr>
          <w:rFonts w:hint="eastAsia" w:ascii="仿宋_GB2312" w:hAnsi="仿宋_GB2312" w:eastAsia="仿宋_GB2312" w:cs="仿宋_GB2312"/>
          <w:spacing w:val="-6"/>
          <w:sz w:val="32"/>
          <w:szCs w:val="32"/>
          <w:highlight w:val="none"/>
          <w:lang w:val="en-US" w:eastAsia="zh-CN"/>
        </w:rPr>
        <w:t>20</w:t>
      </w:r>
      <w:r>
        <w:rPr>
          <w:rFonts w:hint="eastAsia" w:ascii="仿宋_GB2312" w:hAnsi="仿宋_GB2312" w:eastAsia="仿宋_GB2312" w:cs="仿宋_GB2312"/>
          <w:spacing w:val="-6"/>
          <w:sz w:val="32"/>
          <w:szCs w:val="32"/>
          <w:highlight w:val="none"/>
        </w:rPr>
        <w:t>米；</w:t>
      </w:r>
      <w:r>
        <w:rPr>
          <w:rFonts w:hint="eastAsia" w:ascii="仿宋_GB2312" w:hAnsi="仿宋_GB2312" w:eastAsia="仿宋_GB2312" w:cs="仿宋_GB2312"/>
          <w:spacing w:val="-6"/>
          <w:sz w:val="32"/>
          <w:szCs w:val="32"/>
          <w:highlight w:val="none"/>
          <w:lang w:eastAsia="zh-CN"/>
        </w:rPr>
        <w:t>怀柔科学城东区云西支六路（统军庄街-云西九街）道路工程</w:t>
      </w:r>
      <w:r>
        <w:rPr>
          <w:rFonts w:hint="eastAsia" w:ascii="仿宋_GB2312" w:hAnsi="仿宋_GB2312" w:eastAsia="仿宋_GB2312" w:cs="仿宋_GB2312"/>
          <w:spacing w:val="-6"/>
          <w:sz w:val="32"/>
          <w:szCs w:val="32"/>
          <w:highlight w:val="none"/>
        </w:rPr>
        <w:t>长</w:t>
      </w:r>
      <w:r>
        <w:rPr>
          <w:rFonts w:hint="eastAsia" w:ascii="仿宋_GB2312" w:hAnsi="仿宋_GB2312" w:eastAsia="仿宋_GB2312" w:cs="仿宋_GB2312"/>
          <w:spacing w:val="-6"/>
          <w:sz w:val="32"/>
          <w:szCs w:val="32"/>
          <w:highlight w:val="none"/>
          <w:lang w:val="en-US" w:eastAsia="zh-CN"/>
        </w:rPr>
        <w:t>0.2</w:t>
      </w:r>
      <w:r>
        <w:rPr>
          <w:rFonts w:hint="eastAsia" w:ascii="仿宋_GB2312" w:hAnsi="仿宋_GB2312" w:eastAsia="仿宋_GB2312" w:cs="仿宋_GB2312"/>
          <w:spacing w:val="-6"/>
          <w:sz w:val="32"/>
          <w:szCs w:val="32"/>
          <w:highlight w:val="none"/>
        </w:rPr>
        <w:t>公里，红线宽</w:t>
      </w:r>
      <w:r>
        <w:rPr>
          <w:rFonts w:hint="eastAsia" w:ascii="仿宋_GB2312" w:hAnsi="仿宋_GB2312" w:eastAsia="仿宋_GB2312" w:cs="仿宋_GB2312"/>
          <w:spacing w:val="-6"/>
          <w:sz w:val="32"/>
          <w:szCs w:val="32"/>
          <w:highlight w:val="none"/>
          <w:lang w:val="en-US" w:eastAsia="zh-CN"/>
        </w:rPr>
        <w:t>20</w:t>
      </w:r>
      <w:r>
        <w:rPr>
          <w:rFonts w:hint="eastAsia" w:ascii="仿宋_GB2312" w:hAnsi="仿宋_GB2312" w:eastAsia="仿宋_GB2312" w:cs="仿宋_GB2312"/>
          <w:spacing w:val="-6"/>
          <w:sz w:val="32"/>
          <w:szCs w:val="32"/>
          <w:highlight w:val="none"/>
        </w:rPr>
        <w:t>米；</w:t>
      </w:r>
      <w:r>
        <w:rPr>
          <w:rFonts w:hint="eastAsia" w:ascii="仿宋_GB2312" w:hAnsi="仿宋_GB2312" w:eastAsia="仿宋_GB2312" w:cs="仿宋_GB2312"/>
          <w:spacing w:val="-6"/>
          <w:sz w:val="32"/>
          <w:szCs w:val="32"/>
          <w:highlight w:val="none"/>
          <w:lang w:eastAsia="zh-CN"/>
        </w:rPr>
        <w:t>怀柔科学城东区云西支七路（水杨红街-水泉街）道路工程</w:t>
      </w:r>
      <w:r>
        <w:rPr>
          <w:rFonts w:hint="eastAsia" w:ascii="仿宋_GB2312" w:hAnsi="仿宋_GB2312" w:eastAsia="仿宋_GB2312" w:cs="仿宋_GB2312"/>
          <w:spacing w:val="-6"/>
          <w:sz w:val="32"/>
          <w:szCs w:val="32"/>
          <w:highlight w:val="none"/>
        </w:rPr>
        <w:t>长</w:t>
      </w:r>
      <w:r>
        <w:rPr>
          <w:rFonts w:hint="eastAsia" w:ascii="仿宋_GB2312" w:hAnsi="仿宋_GB2312" w:eastAsia="仿宋_GB2312" w:cs="仿宋_GB2312"/>
          <w:spacing w:val="-6"/>
          <w:sz w:val="32"/>
          <w:szCs w:val="32"/>
          <w:highlight w:val="none"/>
          <w:lang w:val="en-US" w:eastAsia="zh-CN"/>
        </w:rPr>
        <w:t>0.39</w:t>
      </w:r>
      <w:r>
        <w:rPr>
          <w:rFonts w:hint="eastAsia" w:ascii="仿宋_GB2312" w:hAnsi="仿宋_GB2312" w:eastAsia="仿宋_GB2312" w:cs="仿宋_GB2312"/>
          <w:spacing w:val="-6"/>
          <w:sz w:val="32"/>
          <w:szCs w:val="32"/>
          <w:highlight w:val="none"/>
        </w:rPr>
        <w:t>公里，红线宽</w:t>
      </w:r>
      <w:r>
        <w:rPr>
          <w:rFonts w:hint="eastAsia" w:ascii="仿宋_GB2312" w:hAnsi="仿宋_GB2312" w:eastAsia="仿宋_GB2312" w:cs="仿宋_GB2312"/>
          <w:spacing w:val="-6"/>
          <w:sz w:val="32"/>
          <w:szCs w:val="32"/>
          <w:highlight w:val="none"/>
          <w:lang w:val="en-US" w:eastAsia="zh-CN"/>
        </w:rPr>
        <w:t>20</w:t>
      </w:r>
      <w:r>
        <w:rPr>
          <w:rFonts w:hint="eastAsia" w:ascii="仿宋_GB2312" w:hAnsi="仿宋_GB2312" w:eastAsia="仿宋_GB2312" w:cs="仿宋_GB2312"/>
          <w:spacing w:val="-6"/>
          <w:sz w:val="32"/>
          <w:szCs w:val="32"/>
          <w:highlight w:val="none"/>
        </w:rPr>
        <w:t>米；</w:t>
      </w:r>
      <w:r>
        <w:rPr>
          <w:rFonts w:hint="eastAsia" w:ascii="仿宋_GB2312" w:hAnsi="仿宋_GB2312" w:eastAsia="仿宋_GB2312" w:cs="仿宋_GB2312"/>
          <w:spacing w:val="-6"/>
          <w:sz w:val="32"/>
          <w:szCs w:val="32"/>
          <w:highlight w:val="none"/>
          <w:lang w:eastAsia="zh-CN"/>
        </w:rPr>
        <w:t>科学城东区云西支八街（云西支七路-云西四路）道路工程</w:t>
      </w:r>
      <w:r>
        <w:rPr>
          <w:rFonts w:hint="eastAsia" w:ascii="仿宋_GB2312" w:hAnsi="仿宋_GB2312" w:eastAsia="仿宋_GB2312" w:cs="仿宋_GB2312"/>
          <w:spacing w:val="-6"/>
          <w:sz w:val="32"/>
          <w:szCs w:val="32"/>
          <w:highlight w:val="none"/>
        </w:rPr>
        <w:t>长</w:t>
      </w:r>
      <w:r>
        <w:rPr>
          <w:rFonts w:hint="eastAsia" w:ascii="仿宋_GB2312" w:hAnsi="仿宋_GB2312" w:eastAsia="仿宋_GB2312" w:cs="仿宋_GB2312"/>
          <w:spacing w:val="-6"/>
          <w:sz w:val="32"/>
          <w:szCs w:val="32"/>
          <w:highlight w:val="none"/>
          <w:lang w:val="en-US" w:eastAsia="zh-CN"/>
        </w:rPr>
        <w:t>0.83</w:t>
      </w:r>
      <w:r>
        <w:rPr>
          <w:rFonts w:hint="eastAsia" w:ascii="仿宋_GB2312" w:hAnsi="仿宋_GB2312" w:eastAsia="仿宋_GB2312" w:cs="仿宋_GB2312"/>
          <w:spacing w:val="-6"/>
          <w:sz w:val="32"/>
          <w:szCs w:val="32"/>
          <w:highlight w:val="none"/>
        </w:rPr>
        <w:t>公里，红线宽</w:t>
      </w:r>
      <w:r>
        <w:rPr>
          <w:rFonts w:hint="eastAsia" w:ascii="仿宋_GB2312" w:hAnsi="仿宋_GB2312" w:eastAsia="仿宋_GB2312" w:cs="仿宋_GB2312"/>
          <w:spacing w:val="-6"/>
          <w:sz w:val="32"/>
          <w:szCs w:val="32"/>
          <w:highlight w:val="none"/>
          <w:lang w:val="en-US" w:eastAsia="zh-CN"/>
        </w:rPr>
        <w:t>20</w:t>
      </w:r>
      <w:r>
        <w:rPr>
          <w:rFonts w:hint="eastAsia" w:ascii="仿宋_GB2312" w:hAnsi="仿宋_GB2312" w:eastAsia="仿宋_GB2312" w:cs="仿宋_GB2312"/>
          <w:spacing w:val="-6"/>
          <w:sz w:val="32"/>
          <w:szCs w:val="32"/>
          <w:highlight w:val="none"/>
        </w:rPr>
        <w:t>米；</w:t>
      </w:r>
      <w:r>
        <w:rPr>
          <w:rFonts w:hint="eastAsia" w:ascii="仿宋_GB2312" w:hAnsi="仿宋_GB2312" w:eastAsia="仿宋_GB2312" w:cs="仿宋_GB2312"/>
          <w:spacing w:val="-6"/>
          <w:sz w:val="32"/>
          <w:szCs w:val="32"/>
          <w:highlight w:val="none"/>
          <w:lang w:eastAsia="zh-CN"/>
        </w:rPr>
        <w:t>怀柔科学城东区云西九街（西统路-云西四路南延）道路工程</w:t>
      </w:r>
      <w:r>
        <w:rPr>
          <w:rFonts w:hint="eastAsia" w:ascii="仿宋_GB2312" w:hAnsi="仿宋_GB2312" w:eastAsia="仿宋_GB2312" w:cs="仿宋_GB2312"/>
          <w:spacing w:val="-6"/>
          <w:sz w:val="32"/>
          <w:szCs w:val="32"/>
          <w:highlight w:val="none"/>
        </w:rPr>
        <w:t>长1.</w:t>
      </w:r>
      <w:r>
        <w:rPr>
          <w:rFonts w:hint="eastAsia" w:ascii="仿宋_GB2312" w:hAnsi="仿宋_GB2312" w:eastAsia="仿宋_GB2312" w:cs="仿宋_GB2312"/>
          <w:spacing w:val="-6"/>
          <w:sz w:val="32"/>
          <w:szCs w:val="32"/>
          <w:highlight w:val="none"/>
          <w:lang w:val="en-US" w:eastAsia="zh-CN"/>
        </w:rPr>
        <w:t>32</w:t>
      </w:r>
      <w:r>
        <w:rPr>
          <w:rFonts w:hint="eastAsia" w:ascii="仿宋_GB2312" w:hAnsi="仿宋_GB2312" w:eastAsia="仿宋_GB2312" w:cs="仿宋_GB2312"/>
          <w:spacing w:val="-6"/>
          <w:sz w:val="32"/>
          <w:szCs w:val="32"/>
          <w:highlight w:val="none"/>
        </w:rPr>
        <w:t>公里，红线宽</w:t>
      </w:r>
      <w:r>
        <w:rPr>
          <w:rFonts w:hint="eastAsia" w:ascii="仿宋_GB2312" w:hAnsi="仿宋_GB2312" w:eastAsia="仿宋_GB2312" w:cs="仿宋_GB2312"/>
          <w:spacing w:val="-6"/>
          <w:sz w:val="32"/>
          <w:szCs w:val="32"/>
          <w:highlight w:val="none"/>
          <w:lang w:val="en-US" w:eastAsia="zh-CN"/>
        </w:rPr>
        <w:t>25</w:t>
      </w:r>
      <w:r>
        <w:rPr>
          <w:rFonts w:hint="eastAsia" w:ascii="仿宋_GB2312" w:hAnsi="仿宋_GB2312" w:eastAsia="仿宋_GB2312" w:cs="仿宋_GB2312"/>
          <w:spacing w:val="-6"/>
          <w:sz w:val="32"/>
          <w:szCs w:val="32"/>
          <w:highlight w:val="none"/>
        </w:rPr>
        <w:t>米</w:t>
      </w:r>
      <w:r>
        <w:rPr>
          <w:rFonts w:hint="eastAsia" w:ascii="仿宋_GB2312" w:hAnsi="仿宋_GB2312" w:eastAsia="仿宋_GB2312" w:cs="仿宋_GB2312"/>
          <w:spacing w:val="-6"/>
          <w:sz w:val="32"/>
          <w:szCs w:val="32"/>
          <w:highlight w:val="none"/>
          <w:lang w:eastAsia="zh-CN"/>
        </w:rPr>
        <w:t>；怀柔科学城东区云西支十二街（西统路-云西三路）道路工程</w:t>
      </w:r>
      <w:r>
        <w:rPr>
          <w:rFonts w:hint="eastAsia" w:ascii="仿宋_GB2312" w:hAnsi="仿宋_GB2312" w:eastAsia="仿宋_GB2312" w:cs="仿宋_GB2312"/>
          <w:spacing w:val="-6"/>
          <w:sz w:val="32"/>
          <w:szCs w:val="32"/>
          <w:highlight w:val="none"/>
        </w:rPr>
        <w:t>长</w:t>
      </w:r>
      <w:r>
        <w:rPr>
          <w:rFonts w:hint="eastAsia" w:ascii="仿宋_GB2312" w:hAnsi="仿宋_GB2312" w:eastAsia="仿宋_GB2312" w:cs="仿宋_GB2312"/>
          <w:spacing w:val="-6"/>
          <w:sz w:val="32"/>
          <w:szCs w:val="32"/>
          <w:highlight w:val="none"/>
          <w:lang w:val="en-US" w:eastAsia="zh-CN"/>
        </w:rPr>
        <w:t>0.78</w:t>
      </w:r>
      <w:r>
        <w:rPr>
          <w:rFonts w:hint="eastAsia" w:ascii="仿宋_GB2312" w:hAnsi="仿宋_GB2312" w:eastAsia="仿宋_GB2312" w:cs="仿宋_GB2312"/>
          <w:spacing w:val="-6"/>
          <w:sz w:val="32"/>
          <w:szCs w:val="32"/>
          <w:highlight w:val="none"/>
        </w:rPr>
        <w:t>公里，红线宽</w:t>
      </w:r>
      <w:r>
        <w:rPr>
          <w:rFonts w:hint="eastAsia" w:ascii="仿宋_GB2312" w:hAnsi="仿宋_GB2312" w:eastAsia="仿宋_GB2312" w:cs="仿宋_GB2312"/>
          <w:spacing w:val="-6"/>
          <w:sz w:val="32"/>
          <w:szCs w:val="32"/>
          <w:highlight w:val="none"/>
          <w:lang w:val="en-US" w:eastAsia="zh-CN"/>
        </w:rPr>
        <w:t>20</w:t>
      </w:r>
      <w:r>
        <w:rPr>
          <w:rFonts w:hint="eastAsia" w:ascii="仿宋_GB2312" w:hAnsi="仿宋_GB2312" w:eastAsia="仿宋_GB2312" w:cs="仿宋_GB2312"/>
          <w:spacing w:val="-6"/>
          <w:sz w:val="32"/>
          <w:szCs w:val="32"/>
          <w:highlight w:val="none"/>
        </w:rPr>
        <w:t>米</w:t>
      </w:r>
      <w:r>
        <w:rPr>
          <w:rFonts w:hint="eastAsia" w:ascii="仿宋_GB2312" w:hAnsi="仿宋_GB2312" w:eastAsia="仿宋_GB2312" w:cs="仿宋_GB2312"/>
          <w:spacing w:val="-6"/>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lang w:val="en-US" w:eastAsia="zh-CN"/>
        </w:rPr>
        <w:t>大辛庄110千伏输变电工程（站址部分）位于十里堡镇，建成后可</w:t>
      </w:r>
      <w:r>
        <w:rPr>
          <w:rFonts w:hint="eastAsia" w:ascii="仿宋_GB2312" w:hAnsi="仿宋_GB2312" w:eastAsia="仿宋_GB2312" w:cs="仿宋_GB2312"/>
          <w:spacing w:val="-6"/>
          <w:sz w:val="32"/>
          <w:szCs w:val="32"/>
          <w:highlight w:val="none"/>
        </w:rPr>
        <w:t>满足规划北京第二实验学校、北京大学怀密医学中心和生命健康小镇等重点项目负荷需求，同时提高地区供电能力和供电可靠性。</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因上述项目位于同一区域，同时取得立项批复并启动，为加快推进项目实施，共同出具上述项目拆迁实施方案。同时，为保障拆迁标准的连续性和统一性，按照北京市、密云区现行政策，并参照《</w:t>
      </w:r>
      <w:r>
        <w:rPr>
          <w:rFonts w:hint="eastAsia" w:ascii="仿宋_GB2312" w:hAnsi="仿宋_GB2312" w:eastAsia="仿宋_GB2312" w:cs="仿宋_GB2312"/>
          <w:spacing w:val="-6"/>
          <w:sz w:val="32"/>
          <w:szCs w:val="32"/>
          <w:highlight w:val="none"/>
          <w:lang w:eastAsia="zh-CN"/>
        </w:rPr>
        <w:t>怀柔科学城东区</w:t>
      </w:r>
      <w:r>
        <w:rPr>
          <w:rFonts w:hint="eastAsia" w:ascii="仿宋_GB2312" w:hAnsi="仿宋_GB2312" w:eastAsia="仿宋_GB2312" w:cs="仿宋_GB2312"/>
          <w:spacing w:val="-6"/>
          <w:sz w:val="32"/>
          <w:szCs w:val="32"/>
          <w:highlight w:val="none"/>
        </w:rPr>
        <w:t>集体土地租赁住房项目地上物腾退补偿方案》《</w:t>
      </w:r>
      <w:r>
        <w:rPr>
          <w:rFonts w:hint="eastAsia" w:ascii="仿宋_GB2312" w:hAnsi="仿宋_GB2312" w:eastAsia="仿宋_GB2312" w:cs="仿宋_GB2312"/>
          <w:spacing w:val="-6"/>
          <w:sz w:val="32"/>
          <w:szCs w:val="32"/>
          <w:highlight w:val="none"/>
          <w:lang w:eastAsia="zh-CN"/>
        </w:rPr>
        <w:t>密云区怀柔科学城东区云西四路南延、云西三路、水杨红街道路工程及王各庄村民回迁楼新建开闭站外电源工程拆迁实施方案</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密新路（韩各庄路口—区界）改建工程拆迁实施方案</w:t>
      </w:r>
      <w:r>
        <w:rPr>
          <w:rFonts w:hint="eastAsia" w:ascii="仿宋_GB2312" w:hAnsi="仿宋_GB2312" w:eastAsia="仿宋_GB2312" w:cs="仿宋_GB2312"/>
          <w:spacing w:val="-6"/>
          <w:sz w:val="32"/>
          <w:szCs w:val="32"/>
          <w:highlight w:val="none"/>
        </w:rPr>
        <w:t>》《罗山220千伏输变电工程、河南寨110千伏变电站35千伏配套送出工程、燕落寨110千伏输变电工程（站址部分）、密云区国道234</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太师屯</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黄土洼</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道路工程、京密高速公路</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六环路至西统路段</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工程（密云段）、巨各庄接收站至密云县城次高压A管线联络线工程拆迁实施方案》，结合各项目实际情况，经征求相关部门意见后，制定本方案。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一、工作任务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各项目拆迁工作任务为：对上述项目用地范围内涉及的所有地上物进行拆迁补偿、拆除及地上、地下管（杆）线及树木移改或补偿，完成交地工作。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二、工作原则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kern w:val="2"/>
          <w:sz w:val="32"/>
          <w:szCs w:val="32"/>
          <w:highlight w:val="none"/>
          <w:lang w:val="en-US" w:eastAsia="zh-CN" w:bidi="ar-SA"/>
        </w:rPr>
        <w:t>（一）</w:t>
      </w:r>
      <w:r>
        <w:rPr>
          <w:rFonts w:hint="eastAsia" w:ascii="楷体_GB2312" w:hAnsi="楷体_GB2312" w:eastAsia="楷体_GB2312" w:cs="楷体_GB2312"/>
          <w:sz w:val="32"/>
          <w:szCs w:val="32"/>
          <w:highlight w:val="none"/>
        </w:rPr>
        <w:t>维护公平正义</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必须坚持公平、公正、公开的原则，在“四抢”（抢栽、抢种、抢养、抢建）行为、村界、个人权属认定等方面，工作人员要实事求是、不徇私情；各工作组、服务机构要坚持原则，实事求是，不弄虚作假，不违法操作；坚决打击“四抢”等不法行为，一经确认，一律不予补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kern w:val="2"/>
          <w:sz w:val="32"/>
          <w:szCs w:val="32"/>
          <w:highlight w:val="none"/>
          <w:lang w:val="en-US" w:eastAsia="zh-CN" w:bidi="ar-SA"/>
        </w:rPr>
        <w:t>（二）</w:t>
      </w:r>
      <w:r>
        <w:rPr>
          <w:rFonts w:hint="eastAsia" w:ascii="楷体_GB2312" w:hAnsi="楷体_GB2312" w:eastAsia="楷体_GB2312" w:cs="楷体_GB2312"/>
          <w:sz w:val="32"/>
          <w:szCs w:val="32"/>
          <w:highlight w:val="none"/>
        </w:rPr>
        <w:t>严格统一标准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要严格执行统一标准，禁止一切幕后交易、相互勾结和暗箱操作。各工作组、拆迁公司、评估公司等拆迁补偿工作人员无权擅自答应或办理超出评估报告单金额以外的补偿。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kern w:val="2"/>
          <w:sz w:val="32"/>
          <w:szCs w:val="32"/>
          <w:highlight w:val="none"/>
          <w:lang w:val="en-US" w:eastAsia="zh-CN" w:bidi="ar-SA"/>
        </w:rPr>
        <w:t>（三）</w:t>
      </w:r>
      <w:r>
        <w:rPr>
          <w:rFonts w:hint="eastAsia" w:ascii="楷体_GB2312" w:hAnsi="楷体_GB2312" w:eastAsia="楷体_GB2312" w:cs="楷体_GB2312"/>
          <w:sz w:val="32"/>
          <w:szCs w:val="32"/>
          <w:highlight w:val="none"/>
        </w:rPr>
        <w:t>规范操作流程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要严格规范操作流程，按照要求、步骤履行相关程序，对工作中出现的不规范行为及时制止，严禁违法、违规操作。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黑体" w:cs="仿宋_GB2312"/>
          <w:b/>
          <w:bCs/>
          <w:sz w:val="32"/>
          <w:szCs w:val="32"/>
          <w:highlight w:val="none"/>
        </w:rPr>
      </w:pPr>
      <w:r>
        <w:rPr>
          <w:rFonts w:hint="eastAsia" w:ascii="黑体" w:hAnsi="黑体" w:eastAsia="黑体" w:cs="黑体"/>
          <w:kern w:val="2"/>
          <w:sz w:val="32"/>
          <w:szCs w:val="32"/>
          <w:highlight w:val="none"/>
          <w:lang w:val="zh-CN" w:eastAsia="zh-CN" w:bidi="ar-SA"/>
        </w:rPr>
        <w:t>三</w:t>
      </w:r>
      <w:r>
        <w:rPr>
          <w:rFonts w:hint="eastAsia" w:ascii="黑体" w:hAnsi="黑体" w:eastAsia="黑体" w:cs="黑体"/>
          <w:sz w:val="32"/>
          <w:szCs w:val="32"/>
          <w:highlight w:val="none"/>
          <w:lang w:val="zh-CN"/>
        </w:rPr>
        <w:t>、组织机构</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为确保各项目的顺利实施，按时圆满完成拆迁工作任务，建立</w:t>
      </w:r>
      <w:r>
        <w:rPr>
          <w:rFonts w:hint="eastAsia" w:ascii="仿宋_GB2312" w:hAnsi="仿宋_GB2312" w:eastAsia="仿宋_GB2312" w:cs="仿宋_GB2312"/>
          <w:sz w:val="32"/>
          <w:szCs w:val="32"/>
          <w:highlight w:val="none"/>
          <w:lang w:eastAsia="zh-CN"/>
        </w:rPr>
        <w:t>密云区怀柔科学城东区云西支一街（云西二路-西统路）道路工程等七条道路及大辛庄110千伏输变电工程（站址部分）</w:t>
      </w:r>
      <w:r>
        <w:rPr>
          <w:rFonts w:hint="eastAsia" w:ascii="仿宋_GB2312" w:hAnsi="仿宋_GB2312" w:eastAsia="仿宋_GB2312" w:cs="仿宋_GB2312"/>
          <w:sz w:val="32"/>
          <w:szCs w:val="32"/>
          <w:highlight w:val="none"/>
        </w:rPr>
        <w:t>拆迁部门联席会议制度。</w:t>
      </w:r>
      <w:r>
        <w:rPr>
          <w:rFonts w:hint="eastAsia" w:ascii="仿宋_GB2312" w:hAnsi="仿宋_GB2312" w:eastAsia="仿宋_GB2312" w:cs="仿宋_GB2312"/>
          <w:sz w:val="32"/>
          <w:szCs w:val="32"/>
          <w:highlight w:val="none"/>
          <w:lang w:eastAsia="zh-CN"/>
        </w:rPr>
        <w:t>区城市管理委</w:t>
      </w:r>
      <w:r>
        <w:rPr>
          <w:rFonts w:hint="eastAsia" w:ascii="仿宋_GB2312" w:hAnsi="仿宋_GB2312" w:eastAsia="仿宋_GB2312" w:cs="仿宋_GB2312"/>
          <w:sz w:val="32"/>
          <w:szCs w:val="32"/>
          <w:highlight w:val="none"/>
        </w:rPr>
        <w:t>为牵头单位，市规划</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自然资源</w:t>
      </w:r>
      <w:r>
        <w:rPr>
          <w:rFonts w:hint="eastAsia" w:ascii="仿宋_GB2312" w:hAnsi="仿宋_GB2312" w:eastAsia="仿宋_GB2312" w:cs="仿宋_GB2312"/>
          <w:sz w:val="32"/>
          <w:szCs w:val="32"/>
          <w:highlight w:val="none"/>
          <w:lang w:eastAsia="zh-CN"/>
        </w:rPr>
        <w:t>委员会</w:t>
      </w:r>
      <w:r>
        <w:rPr>
          <w:rFonts w:hint="eastAsia" w:ascii="仿宋_GB2312" w:hAnsi="仿宋_GB2312" w:eastAsia="仿宋_GB2312" w:cs="仿宋_GB2312"/>
          <w:sz w:val="32"/>
          <w:szCs w:val="32"/>
          <w:highlight w:val="none"/>
        </w:rPr>
        <w:t>密云分局、</w:t>
      </w:r>
      <w:r>
        <w:rPr>
          <w:rFonts w:hint="eastAsia" w:ascii="仿宋_GB2312" w:hAnsi="仿宋_GB2312" w:eastAsia="仿宋_GB2312" w:cs="仿宋_GB2312"/>
          <w:sz w:val="32"/>
          <w:szCs w:val="32"/>
          <w:highlight w:val="none"/>
          <w:lang w:eastAsia="zh-CN"/>
        </w:rPr>
        <w:t>区住房城乡建设委</w:t>
      </w:r>
      <w:r>
        <w:rPr>
          <w:rFonts w:hint="eastAsia" w:ascii="仿宋_GB2312" w:hAnsi="仿宋_GB2312" w:eastAsia="仿宋_GB2312" w:cs="仿宋_GB2312"/>
          <w:sz w:val="32"/>
          <w:szCs w:val="32"/>
          <w:highlight w:val="none"/>
        </w:rPr>
        <w:t>、区园林绿化局、</w:t>
      </w:r>
      <w:r>
        <w:rPr>
          <w:rFonts w:hint="eastAsia" w:ascii="仿宋_GB2312" w:hAnsi="仿宋_GB2312" w:eastAsia="仿宋_GB2312" w:cs="仿宋_GB2312"/>
          <w:sz w:val="32"/>
          <w:szCs w:val="32"/>
          <w:highlight w:val="none"/>
          <w:lang w:eastAsia="zh-CN"/>
        </w:rPr>
        <w:t>区园林中心</w:t>
      </w:r>
      <w:r>
        <w:rPr>
          <w:rFonts w:hint="eastAsia" w:ascii="仿宋_GB2312" w:hAnsi="仿宋_GB2312" w:eastAsia="仿宋_GB2312" w:cs="仿宋_GB2312"/>
          <w:sz w:val="32"/>
          <w:szCs w:val="32"/>
          <w:highlight w:val="none"/>
        </w:rPr>
        <w:t>、区农业农村局、区司法局、区财政局、区经管站、十里堡镇、西田各庄镇、</w:t>
      </w:r>
      <w:r>
        <w:rPr>
          <w:rFonts w:hint="eastAsia" w:ascii="仿宋_GB2312" w:hAnsi="仿宋_GB2312" w:eastAsia="仿宋_GB2312" w:cs="仿宋_GB2312"/>
          <w:sz w:val="32"/>
          <w:szCs w:val="32"/>
          <w:highlight w:val="none"/>
          <w:lang w:eastAsia="zh-CN"/>
        </w:rPr>
        <w:t>中关村密云园管委会、</w:t>
      </w:r>
      <w:r>
        <w:rPr>
          <w:rFonts w:hint="eastAsia" w:ascii="仿宋_GB2312" w:hAnsi="仿宋_GB2312" w:eastAsia="仿宋_GB2312" w:cs="仿宋_GB2312"/>
          <w:sz w:val="32"/>
          <w:szCs w:val="32"/>
          <w:highlight w:val="none"/>
          <w:lang w:val="en-US" w:eastAsia="zh-CN"/>
        </w:rPr>
        <w:t>国网北京市电力公司密云供电公司</w:t>
      </w:r>
      <w:r>
        <w:rPr>
          <w:rFonts w:hint="eastAsia" w:ascii="仿宋_GB2312" w:hAnsi="仿宋_GB2312" w:eastAsia="仿宋_GB2312" w:cs="仿宋_GB2312"/>
          <w:sz w:val="32"/>
          <w:szCs w:val="32"/>
          <w:highlight w:val="none"/>
        </w:rPr>
        <w:t>等为成员单位。联席会议办公室设立在</w:t>
      </w:r>
      <w:r>
        <w:rPr>
          <w:rFonts w:hint="eastAsia" w:ascii="仿宋_GB2312" w:hAnsi="仿宋_GB2312" w:eastAsia="仿宋_GB2312" w:cs="仿宋_GB2312"/>
          <w:sz w:val="32"/>
          <w:szCs w:val="32"/>
          <w:highlight w:val="none"/>
          <w:lang w:eastAsia="zh-CN"/>
        </w:rPr>
        <w:t>区城市管理委</w:t>
      </w:r>
      <w:r>
        <w:rPr>
          <w:rFonts w:hint="eastAsia" w:ascii="仿宋_GB2312" w:hAnsi="仿宋_GB2312" w:eastAsia="仿宋_GB2312" w:cs="仿宋_GB2312"/>
          <w:sz w:val="32"/>
          <w:szCs w:val="32"/>
          <w:highlight w:val="none"/>
        </w:rPr>
        <w:t>，共同商议解决在工作中遇到的重大问题。</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四、相关部门职责</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（一）区城市管理委</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1.负责本单位项目各项前期手续的办理工作；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2.负责提供本单位项目准确的用地需求；</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3.负责办理</w:t>
      </w:r>
      <w:r>
        <w:rPr>
          <w:rFonts w:hint="eastAsia" w:ascii="仿宋_GB2312" w:hAnsi="仿宋_GB2312" w:eastAsia="仿宋_GB2312" w:cs="仿宋_GB2312"/>
          <w:sz w:val="32"/>
          <w:szCs w:val="32"/>
          <w:highlight w:val="none"/>
          <w:lang w:val="en-US" w:eastAsia="zh-CN"/>
        </w:rPr>
        <w:t>道路工程</w:t>
      </w:r>
      <w:r>
        <w:rPr>
          <w:rFonts w:hint="eastAsia" w:ascii="仿宋_GB2312" w:hAnsi="仿宋_GB2312" w:eastAsia="仿宋_GB2312" w:cs="仿宋_GB2312"/>
          <w:sz w:val="32"/>
          <w:szCs w:val="32"/>
          <w:highlight w:val="none"/>
        </w:rPr>
        <w:t>林地使用许可等相关手续；</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4.负责办理</w:t>
      </w:r>
      <w:r>
        <w:rPr>
          <w:rFonts w:hint="eastAsia" w:ascii="仿宋_GB2312" w:hAnsi="仿宋_GB2312" w:eastAsia="仿宋_GB2312" w:cs="仿宋_GB2312"/>
          <w:sz w:val="32"/>
          <w:szCs w:val="32"/>
          <w:highlight w:val="none"/>
          <w:lang w:val="en-US" w:eastAsia="zh-CN"/>
        </w:rPr>
        <w:t>道路工程</w:t>
      </w:r>
      <w:r>
        <w:rPr>
          <w:rFonts w:hint="eastAsia" w:ascii="仿宋_GB2312" w:hAnsi="仿宋_GB2312" w:eastAsia="仿宋_GB2312" w:cs="仿宋_GB2312"/>
          <w:sz w:val="32"/>
          <w:szCs w:val="32"/>
          <w:highlight w:val="none"/>
        </w:rPr>
        <w:t>项目征地相关手续；</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5.按照工作职责，负责项目拆迁补偿统筹协调工作，组织召开相关工作会议；</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.完成用地范围内产权为政府相关部门、央（国）企、区属企业等单位的苗木、林木、设施、管道、地上地下管（杆）线等调查工作，统筹各产权单位编制、审查、优化拆改移方案，并及时完成拆改移等工作；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（二）市规划和自然资源委员会密云分局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1.依据实施单位提供的用地范围，按需求核查土地相关情况，并出具核查意见；</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2.对实施单位无法认定合法性的建筑物（构筑物）的审批情况进行核实并出具意见；</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3.负责配合实施单位做好“四抢”认定工作，对用地范围内存在抢栽、抢种、抢养、抢建行为依据本部门职责出具认定意见；</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（三）区住房城乡建设委</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1.指导各项目涉及的拆迁工作，对涉及到本项目的相关拆迁文件及补偿方案把关，并出具意见和建议；</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（四）区园林绿化局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1.依法对用地范围内规划林地的性质进行认定，指导相关部门依法办理使用林地行政许可、砍伐、恢复等相关手续；</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2.负责配合实施单位做好“四抢”认定工作，对用地范围内存在抢栽、抢种、抢养、抢建行为依据本部门职责出具认定意见；</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（五）区园林中心</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1.负责配合建设单位对用地范围内本部门产权附属物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包括苗木、林木、设施等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进行拆改移工作；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2.负责对各项目拆迁补偿方案提供专业性意见；</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w:t>
      </w:r>
      <w:r>
        <w:rPr>
          <w:rFonts w:hint="eastAsia" w:ascii="楷体_GB2312" w:hAnsi="楷体_GB2312" w:eastAsia="楷体_GB2312" w:cs="楷体_GB2312"/>
          <w:sz w:val="32"/>
          <w:szCs w:val="32"/>
          <w:highlight w:val="none"/>
          <w:lang w:val="en-US" w:eastAsia="zh-CN"/>
        </w:rPr>
        <w:t>六</w:t>
      </w:r>
      <w:r>
        <w:rPr>
          <w:rFonts w:hint="eastAsia" w:ascii="楷体_GB2312" w:hAnsi="楷体_GB2312" w:eastAsia="楷体_GB2312" w:cs="楷体_GB2312"/>
          <w:sz w:val="32"/>
          <w:szCs w:val="32"/>
          <w:highlight w:val="none"/>
          <w:lang w:val="zh-CN"/>
        </w:rPr>
        <w:t>）区农业农村局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1.负责对用地范围内的设施农业、大棚、鱼池、养殖业是否经过审批出具证明文件；</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2.负责配合实施单位做好“四抢”认定工作，对用地范围内存在抢栽、抢种、抢养、抢建行为依据本部门职责出具认定意见；</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（七）区司法局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eastAsia="仿宋_GB2312"/>
          <w:highlight w:val="none"/>
          <w:lang w:val="en-US" w:eastAsia="zh-CN"/>
        </w:rPr>
      </w:pPr>
      <w:r>
        <w:rPr>
          <w:rFonts w:hint="eastAsia" w:ascii="仿宋_GB2312" w:hAnsi="仿宋_GB2312" w:eastAsia="仿宋_GB2312" w:cs="仿宋_GB2312"/>
          <w:sz w:val="32"/>
          <w:szCs w:val="32"/>
          <w:highlight w:val="none"/>
        </w:rPr>
        <w:t>1.对以区政府或区政府办名义印发的涉及本项目的行政规范性文件进行合法性审查；</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2.对项目拆迁补偿工作中遇到的法律问题提供支持；</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（八）区财政局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1.负责筹措并及时拨付各项目征地拆迁费及需要区级财政负担的费用；</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2.负责做好各项目征地拆迁服务费用的财政评审工作；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（九）区经管站</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1.对镇（村）土地补偿费的分配进行业务指导；</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2.对涉及占地村民的农村集体土地承包、其他方式承包、土地承包经营权流转、备案等工作进行指导；</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highlight w:val="none"/>
        </w:rPr>
      </w:pPr>
      <w:r>
        <w:rPr>
          <w:rFonts w:hint="eastAsia" w:ascii="仿宋_GB2312" w:hAnsi="仿宋_GB2312" w:eastAsia="仿宋_GB2312" w:cs="仿宋_GB2312"/>
          <w:color w:val="000000"/>
          <w:sz w:val="32"/>
          <w:szCs w:val="32"/>
          <w:highlight w:val="none"/>
        </w:rPr>
        <w:t>3.其他需要协调事宜。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（十）十里堡镇、西田各庄镇</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作为实施单位负责用地范围内的拆迁工作，负责组织用地范围内全部拆迁工作的具体实施及协调工作。落实本项目实施方案，按时间要求完成拆迁补偿及拆除交地工作，统一领导组织拆迁工作，确保拆迁过程中无违纪、违法行为，维护社会秩序，保持社会和谐稳定；</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2.成立“四抢”行为认定工作组，按照相关要求认定“四抢”行为，并依法予以无偿拆除；</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3.严格做好拆迁费管理使用工作，及时发放拆迁补偿款等相关费用；</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4.与牵头单位共同制定拆迁补偿方案；</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5.积极开展本项目涉及的拆迁政策答疑工作，解决拆迁过程中的重点、难点问题，负责辖区内“12345”及信访接待解答工作；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6.组织并参与本辖区涉及的土地房屋等相关认定工作；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.十里堡镇负责涉及北京中关村密云园发展集团有限公司征为国有用地上的拆迁工作；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（十一）</w:t>
      </w:r>
      <w:r>
        <w:rPr>
          <w:rFonts w:hint="eastAsia" w:ascii="楷体_GB2312" w:hAnsi="楷体_GB2312" w:eastAsia="楷体_GB2312" w:cs="楷体_GB2312"/>
          <w:sz w:val="32"/>
          <w:szCs w:val="32"/>
          <w:highlight w:val="none"/>
          <w:lang w:eastAsia="zh-CN"/>
        </w:rPr>
        <w:t>中关村密云园管委会</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eastAsia="仿宋_GB231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负责配合建设单位对</w:t>
      </w:r>
      <w:r>
        <w:rPr>
          <w:rFonts w:hint="eastAsia" w:ascii="仿宋_GB2312" w:hAnsi="仿宋_GB2312" w:eastAsia="仿宋_GB2312" w:cs="仿宋_GB2312"/>
          <w:sz w:val="32"/>
          <w:szCs w:val="32"/>
          <w:highlight w:val="none"/>
        </w:rPr>
        <w:t>用地范围内</w:t>
      </w:r>
      <w:r>
        <w:rPr>
          <w:rFonts w:hint="eastAsia" w:ascii="仿宋_GB2312" w:hAnsi="仿宋_GB2312" w:eastAsia="仿宋_GB2312" w:cs="仿宋_GB2312"/>
          <w:sz w:val="32"/>
          <w:szCs w:val="32"/>
          <w:highlight w:val="none"/>
          <w:lang w:val="en-US" w:eastAsia="zh-CN"/>
        </w:rPr>
        <w:t>本部门产权</w:t>
      </w:r>
      <w:r>
        <w:rPr>
          <w:rFonts w:hint="eastAsia" w:ascii="仿宋_GB2312" w:hAnsi="仿宋_GB2312" w:eastAsia="仿宋_GB2312" w:cs="仿宋_GB2312"/>
          <w:sz w:val="32"/>
          <w:szCs w:val="32"/>
          <w:highlight w:val="none"/>
        </w:rPr>
        <w:t>附属物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包括苗木、林木、设施等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进行</w:t>
      </w:r>
      <w:r>
        <w:rPr>
          <w:rFonts w:hint="eastAsia" w:ascii="仿宋_GB2312" w:hAnsi="仿宋_GB2312" w:eastAsia="仿宋_GB2312" w:cs="仿宋_GB2312"/>
          <w:sz w:val="32"/>
          <w:szCs w:val="32"/>
          <w:highlight w:val="none"/>
        </w:rPr>
        <w:t>拆改移工作；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2.负责配合办理土地划拨等手续；</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3.其他需要协调事宜。</w:t>
      </w:r>
    </w:p>
    <w:p>
      <w:pPr>
        <w:autoSpaceDE w:val="0"/>
        <w:autoSpaceDN w:val="0"/>
        <w:adjustRightInd w:val="0"/>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（十</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）国网北京市电力公司密云供电公司</w:t>
      </w:r>
    </w:p>
    <w:p>
      <w:pPr>
        <w:autoSpaceDE w:val="0"/>
        <w:autoSpaceDN w:val="0"/>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1.负责电力项目各项前期手续的办理工作；</w:t>
      </w:r>
    </w:p>
    <w:p>
      <w:pPr>
        <w:autoSpaceDE w:val="0"/>
        <w:autoSpaceDN w:val="0"/>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2.负责对电力项目建设单位提供的占地需求进行审核；</w:t>
      </w:r>
    </w:p>
    <w:p>
      <w:pPr>
        <w:autoSpaceDE w:val="0"/>
        <w:autoSpaceDN w:val="0"/>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3.负责电力项目占地范围内本部门产权的线路进行移改；</w:t>
      </w:r>
    </w:p>
    <w:p>
      <w:pPr>
        <w:autoSpaceDE w:val="0"/>
        <w:autoSpaceDN w:val="0"/>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4.负责电力项目办理林地使用许可等相关手续；</w:t>
      </w:r>
    </w:p>
    <w:p>
      <w:pPr>
        <w:autoSpaceDE w:val="0"/>
        <w:autoSpaceDN w:val="0"/>
        <w:adjustRightIn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在临时占地期限内，完成施工占用土地地貌恢复工作，恢复情况需经镇村两级联合验收，场清地净达到原有土地使用功能，将临时占地交还镇村。在土地移交施工单位前，需与属地政府签订恢复地貌的多方协议，协议应明确恢复标准、恢复时限等，对未达到恢复标准逾期交付土地的，各协议方应承担相应责任。临时占用林地需办理相关临时占地手续，按园林部门要求进行林地恢复工作并通过验收；</w:t>
      </w:r>
    </w:p>
    <w:p>
      <w:pPr>
        <w:autoSpaceDE w:val="0"/>
        <w:autoSpaceDN w:val="0"/>
        <w:adjustRightInd w:val="0"/>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rPr>
        <w:t>.协助项目涉及的属地政府做好地上物清登及拆除工作；</w:t>
      </w:r>
    </w:p>
    <w:p>
      <w:pPr>
        <w:autoSpaceDE w:val="0"/>
        <w:autoSpaceDN w:val="0"/>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7.负责办理项目涉及水务、公路等产权范围内的树木伐移、林地使用许可等相关手续；</w:t>
      </w:r>
    </w:p>
    <w:p>
      <w:pPr>
        <w:autoSpaceDE w:val="0"/>
        <w:autoSpaceDN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8.严格落实永久基本农田保护制度，项目临时占地不得占用永久基本农田保护区和耕地保护目标，确需占用的，依法依规办理相关占地手续；</w:t>
      </w:r>
    </w:p>
    <w:p>
      <w:pPr>
        <w:autoSpaceDE w:val="0"/>
        <w:autoSpaceDN w:val="0"/>
        <w:adjustRightIn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rPr>
        <w:t>.其他需要协调事宜。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（十</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）其他涉及拆改移工作的产权单位</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1.负责配合建设单位对用地范围内本部门产权附属物（包括苗木、林木、设施、管道、地上地下管（杆）线等）开展调查、编制拆改移方案，并按照拆改移工作流程及时完成拆改移等工作；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2.其他需要协调事宜</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（十</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rPr>
        <w:t>）区公安</w:t>
      </w:r>
      <w:r>
        <w:rPr>
          <w:rFonts w:hint="eastAsia" w:ascii="楷体_GB2312" w:hAnsi="楷体_GB2312" w:eastAsia="楷体_GB2312" w:cs="楷体_GB2312"/>
          <w:sz w:val="32"/>
          <w:szCs w:val="32"/>
          <w:highlight w:val="none"/>
          <w:lang w:eastAsia="zh-CN"/>
        </w:rPr>
        <w:t>分</w:t>
      </w:r>
      <w:r>
        <w:rPr>
          <w:rFonts w:hint="eastAsia" w:ascii="楷体_GB2312" w:hAnsi="楷体_GB2312" w:eastAsia="楷体_GB2312" w:cs="楷体_GB2312"/>
          <w:sz w:val="32"/>
          <w:szCs w:val="32"/>
          <w:highlight w:val="none"/>
        </w:rPr>
        <w:t>局、区人力社保局、区民政局</w:t>
      </w:r>
    </w:p>
    <w:p>
      <w:pPr>
        <w:keepNext w:val="0"/>
        <w:keepLines w:val="0"/>
        <w:pageBreakBefore w:val="0"/>
        <w:widowControl w:val="0"/>
        <w:kinsoku/>
        <w:wordWrap/>
        <w:overflowPunct/>
        <w:topLinePunct w:val="0"/>
        <w:autoSpaceDE w:val="0"/>
        <w:autoSpaceDN w:val="0"/>
        <w:bidi w:val="0"/>
        <w:adjustRightInd w:val="0"/>
        <w:spacing w:line="560" w:lineRule="exact"/>
        <w:ind w:firstLine="63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负责依法办理转非、转非劳动力、超转方面的各项手续，保障群众的合法权益，以及其他需要协调事宜。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五、拆迁补偿工作流程</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（一）召开项目启动会</w:t>
      </w:r>
    </w:p>
    <w:p>
      <w:pPr>
        <w:keepNext w:val="0"/>
        <w:keepLines w:val="0"/>
        <w:pageBreakBefore w:val="0"/>
        <w:widowControl w:val="0"/>
        <w:kinsoku/>
        <w:wordWrap/>
        <w:overflowPunct/>
        <w:topLinePunct w:val="0"/>
        <w:bidi w:val="0"/>
        <w:snapToGrid w:val="0"/>
        <w:spacing w:line="56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召开各项目拆迁工作启动会，明确各部门工作任务、工作目标、工作原则，确定组织机构、职责分工、工作流程和时限等工作要求。</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（二）发布公告</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对项目用地范围进行航拍，确定项目拆迁前地上物现状。由实施单位在项目用地范围</w:t>
      </w:r>
      <w:r>
        <w:rPr>
          <w:rFonts w:hint="eastAsia" w:ascii="仿宋_GB2312" w:hAnsi="仿宋_GB2312" w:eastAsia="仿宋_GB2312" w:cs="仿宋_GB2312"/>
          <w:color w:val="000000"/>
          <w:sz w:val="32"/>
          <w:szCs w:val="32"/>
          <w:highlight w:val="none"/>
        </w:rPr>
        <w:t>所涉及</w:t>
      </w:r>
      <w:r>
        <w:rPr>
          <w:rFonts w:hint="eastAsia" w:ascii="仿宋_GB2312" w:hAnsi="仿宋_GB2312" w:eastAsia="仿宋_GB2312" w:cs="仿宋_GB2312"/>
          <w:sz w:val="32"/>
          <w:szCs w:val="32"/>
          <w:highlight w:val="none"/>
        </w:rPr>
        <w:t>村、单位现场张贴《关于严禁非法抢栽、抢种、抢养、抢建等行为的通告》，明确“四抢”（抢栽、抢种、抢养、抢建）地上物不予补偿，并留存张贴通告的原始影像资料。</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（三）认定“四抢”行为</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施单位牵头组织测绘单位按照建设单位提供的占地图纸定桩、放线，并对本项目用地范围内的地上物进行初步摸底工作，成立现场“四抢”行为认定工作组。根据相关职能部门出具的“四抢”认定意见，确定“四抢”行为，确属违法的，由实施单位依法予以无偿拆除。</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（四）地上物清登</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不属于“四抢”地上物的部分且在项目用地范围以内的地上物，由实施单位组织各服务公司根据各自工作职责开展地上物清登工作。测绘公司负责测量用地面积及被拆迁人或经营人的土地、建筑面积并绘制平面图；评估公司负责清登房屋、附属物、附着物（树木及青苗）等，并留存影像资料；审计公司负责监督，对当天清登现场及底单进行影像留存。对被拆迁人的认定清登结果要公开公示，公示时间为5个自然日。</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（五）制定拆迁实施方案</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结合本市现行政策及各项目地上物清登实际情况，制定项目拆迁实施方案，按流程报请区政府审议后实施。</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（六）补偿协议签订及补偿款发放</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照项目拆迁补偿方案，由实施单位根据清登底单以及评估公司出具的初步评估结果，拆迁公司据此与被拆迁人进行地上物补偿协商，双方达成一致意见后，由审计公司进行预审（如预审发现问题则由拆迁公司与被拆迁人继续协商，直至达成一致意见再次报审计公司审核），预审通过后由实施单位与被拆迁人签订正式补偿协议，审计公司正式审核无误后发放补偿款。</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（七）地上物清除交地</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统一签订地上物拆迁补偿协议和土地流转协议后清除地上物，由实施单位和拆除公司共同将土地交由施工方，施工方按时进场。拆除后的地上物残值由实施单位进行合理处置。</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（八）资料整理和归档</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实施单位组织相关服务公司进行拆迁补偿资料整理，同时完成纸质及电子版档案归档工作。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六、拆迁费来源、用途及支付流程</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（一）拆迁费来源为区级财政、地方政府债券、市级资金补助等资金，确保专款专用。</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拆迁费用于支付拆迁补偿费、拆改移费、牵头单位和实施单位的拆迁工作经费、相关服务公司服务费以及因项目实施形成的必要支出。使用地方政府债券资金支付的，应严格按照地方政府债券资金使用及管理相关规定执行。</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（三）为加快拆迁速度、提高补偿效率、推进重大项目尽快落地、完成固定资产投资任务，确定拆迁补偿费支付流程如下：</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1.单笔拆迁补偿费数额在200万以下的，在审计公司出具审核确认单后，由实施单位负责将拆迁补偿费拨付至被拆迁人，不再进行区财政评审。</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2.单笔拆迁补偿费数额在200万（含）以上的，在审计公司出具审核确认单后，由实施单位请示</w:t>
      </w:r>
      <w:r>
        <w:rPr>
          <w:rFonts w:hint="eastAsia" w:ascii="仿宋_GB2312" w:hAnsi="仿宋_GB2312" w:eastAsia="仿宋_GB2312" w:cs="仿宋_GB2312"/>
          <w:sz w:val="32"/>
          <w:szCs w:val="32"/>
          <w:highlight w:val="none"/>
          <w:lang w:eastAsia="zh-CN"/>
        </w:rPr>
        <w:t>区城市管理委</w:t>
      </w:r>
      <w:r>
        <w:rPr>
          <w:rFonts w:hint="eastAsia" w:ascii="仿宋_GB2312" w:hAnsi="仿宋_GB2312" w:eastAsia="仿宋_GB2312" w:cs="仿宋_GB2312"/>
          <w:sz w:val="32"/>
          <w:szCs w:val="32"/>
          <w:highlight w:val="none"/>
        </w:rPr>
        <w:t>召集相关成员单位召开联席会议审议。各成员单位依据职责并按照相关文件规定进行审核。审核合格后，依法依规确定拆迁涉及个案补偿金额，由实施单位负责将拆迁补偿费拨付至被拆迁人。相关会议纪要与相关资料一并存档。不再进行区财政评审。</w:t>
      </w:r>
    </w:p>
    <w:p>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七、工作要求</w:t>
      </w:r>
    </w:p>
    <w:p>
      <w:pPr>
        <w:keepNext w:val="0"/>
        <w:keepLines w:val="0"/>
        <w:pageBreakBefore w:val="0"/>
        <w:widowControl w:val="0"/>
        <w:kinsoku/>
        <w:wordWrap/>
        <w:overflowPunct/>
        <w:topLinePunct w:val="0"/>
        <w:bidi w:val="0"/>
        <w:spacing w:line="560" w:lineRule="exact"/>
        <w:ind w:firstLine="640" w:firstLineChars="200"/>
        <w:rPr>
          <w:rStyle w:val="50"/>
          <w:rFonts w:hint="eastAsia" w:ascii="楷体_GB2312" w:hAnsi="楷体_GB2312" w:eastAsia="楷体_GB2312" w:cs="楷体_GB2312"/>
          <w:sz w:val="32"/>
          <w:szCs w:val="32"/>
          <w:highlight w:val="none"/>
        </w:rPr>
      </w:pPr>
      <w:r>
        <w:rPr>
          <w:rStyle w:val="50"/>
          <w:rFonts w:hint="eastAsia" w:ascii="楷体_GB2312" w:hAnsi="楷体_GB2312" w:eastAsia="楷体_GB2312" w:cs="楷体_GB2312"/>
          <w:sz w:val="32"/>
          <w:szCs w:val="32"/>
          <w:highlight w:val="none"/>
        </w:rPr>
        <w:t>（一）高度重视</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Style w:val="50"/>
          <w:rFonts w:hint="eastAsia" w:ascii="仿宋_GB2312" w:eastAsia="仿宋_GB2312"/>
          <w:sz w:val="32"/>
          <w:szCs w:val="32"/>
          <w:highlight w:val="none"/>
        </w:rPr>
        <w:t>各项目为区级重点工程，为确保项目的顺利实施，各相关部门和实施单位要进一步提高认识，将此项工作作为本部门重点工作，遇重大事项要研究部署解决问题，有力推进各项工作开展</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1"/>
        </w:numPr>
        <w:kinsoku/>
        <w:wordWrap/>
        <w:overflowPunct/>
        <w:topLinePunct w:val="0"/>
        <w:bidi w:val="0"/>
        <w:spacing w:line="560" w:lineRule="exact"/>
        <w:ind w:firstLine="640" w:firstLineChars="200"/>
        <w:rPr>
          <w:rStyle w:val="50"/>
          <w:rFonts w:hint="eastAsia" w:ascii="楷体_GB2312" w:hAnsi="楷体_GB2312" w:eastAsia="楷体_GB2312" w:cs="楷体_GB2312"/>
          <w:sz w:val="32"/>
          <w:szCs w:val="32"/>
          <w:highlight w:val="none"/>
        </w:rPr>
      </w:pPr>
      <w:r>
        <w:rPr>
          <w:rStyle w:val="50"/>
          <w:rFonts w:hint="eastAsia" w:ascii="楷体_GB2312" w:hAnsi="楷体_GB2312" w:eastAsia="楷体_GB2312" w:cs="楷体_GB2312"/>
          <w:sz w:val="32"/>
          <w:szCs w:val="32"/>
          <w:highlight w:val="none"/>
        </w:rPr>
        <w:t>压实责任</w:t>
      </w:r>
    </w:p>
    <w:p>
      <w:pPr>
        <w:keepNext w:val="0"/>
        <w:keepLines w:val="0"/>
        <w:pageBreakBefore w:val="0"/>
        <w:widowControl w:val="0"/>
        <w:numPr>
          <w:ilvl w:val="0"/>
          <w:numId w:val="0"/>
        </w:numPr>
        <w:kinsoku/>
        <w:wordWrap/>
        <w:overflowPunct/>
        <w:topLinePunct w:val="0"/>
        <w:bidi w:val="0"/>
        <w:spacing w:line="560" w:lineRule="exact"/>
        <w:ind w:firstLine="640" w:firstLineChars="200"/>
        <w:rPr>
          <w:rStyle w:val="50"/>
          <w:rFonts w:hint="eastAsia" w:ascii="仿宋_GB2312" w:eastAsia="仿宋_GB2312"/>
          <w:sz w:val="32"/>
          <w:szCs w:val="32"/>
          <w:highlight w:val="none"/>
        </w:rPr>
      </w:pPr>
      <w:r>
        <w:rPr>
          <w:rStyle w:val="50"/>
          <w:rFonts w:hint="eastAsia" w:ascii="仿宋_GB2312" w:eastAsia="仿宋_GB2312"/>
          <w:sz w:val="32"/>
          <w:szCs w:val="32"/>
          <w:highlight w:val="none"/>
        </w:rPr>
        <w:t>各相关部门和实施单位要认真落实各自职责，全面安排部署，落实责任人，形成区级统筹、部门联动的良好格局，确保拆迁补偿等各个环节有序推进。</w:t>
      </w:r>
    </w:p>
    <w:p>
      <w:pPr>
        <w:keepNext w:val="0"/>
        <w:keepLines w:val="0"/>
        <w:pageBreakBefore w:val="0"/>
        <w:widowControl w:val="0"/>
        <w:numPr>
          <w:ilvl w:val="0"/>
          <w:numId w:val="1"/>
        </w:numPr>
        <w:kinsoku/>
        <w:wordWrap/>
        <w:overflowPunct/>
        <w:topLinePunct w:val="0"/>
        <w:bidi w:val="0"/>
        <w:spacing w:line="560" w:lineRule="exact"/>
        <w:ind w:left="0" w:leftChars="0" w:firstLine="640" w:firstLineChars="200"/>
        <w:rPr>
          <w:rStyle w:val="50"/>
          <w:rFonts w:hint="eastAsia" w:ascii="楷体_GB2312" w:hAnsi="楷体_GB2312" w:eastAsia="楷体_GB2312" w:cs="楷体_GB2312"/>
          <w:sz w:val="32"/>
          <w:szCs w:val="32"/>
          <w:highlight w:val="none"/>
        </w:rPr>
      </w:pPr>
      <w:r>
        <w:rPr>
          <w:rStyle w:val="50"/>
          <w:rFonts w:hint="eastAsia" w:ascii="楷体_GB2312" w:hAnsi="楷体_GB2312" w:eastAsia="楷体_GB2312" w:cs="楷体_GB2312"/>
          <w:sz w:val="32"/>
          <w:szCs w:val="32"/>
          <w:highlight w:val="none"/>
        </w:rPr>
        <w:t>严明纪律</w:t>
      </w:r>
    </w:p>
    <w:p>
      <w:pPr>
        <w:keepNext w:val="0"/>
        <w:keepLines w:val="0"/>
        <w:pageBreakBefore w:val="0"/>
        <w:widowControl w:val="0"/>
        <w:numPr>
          <w:ilvl w:val="0"/>
          <w:numId w:val="0"/>
        </w:numPr>
        <w:kinsoku/>
        <w:wordWrap/>
        <w:overflowPunct/>
        <w:topLinePunct w:val="0"/>
        <w:bidi w:val="0"/>
        <w:spacing w:line="560" w:lineRule="exact"/>
        <w:ind w:firstLine="640" w:firstLineChars="200"/>
        <w:rPr>
          <w:rStyle w:val="50"/>
          <w:rFonts w:ascii="仿宋_GB2312" w:eastAsia="仿宋_GB2312"/>
          <w:sz w:val="32"/>
          <w:szCs w:val="32"/>
          <w:highlight w:val="none"/>
        </w:rPr>
      </w:pPr>
      <w:r>
        <w:rPr>
          <w:rStyle w:val="50"/>
          <w:rFonts w:hint="eastAsia" w:ascii="仿宋_GB2312" w:eastAsia="仿宋_GB2312"/>
          <w:sz w:val="32"/>
          <w:szCs w:val="32"/>
          <w:highlight w:val="none"/>
        </w:rPr>
        <w:t>牵头部门、实施单位及各参与部门严格按照本方案执行，所有工作人员要严格遵守保密制度，不得参与抢栽、抢种、抢养、抢建等套取国家拆迁补偿资金等行为，更不能有行贿受贿行为。如有违纪、违法行为，由纪检监察部门追究其责任，触犯刑法的移交司法机关追究其刑事责任。</w:t>
      </w:r>
    </w:p>
    <w:p>
      <w:pPr>
        <w:pStyle w:val="6"/>
        <w:keepNext w:val="0"/>
        <w:keepLines w:val="0"/>
        <w:pageBreakBefore w:val="0"/>
        <w:widowControl w:val="0"/>
        <w:kinsoku/>
        <w:wordWrap/>
        <w:overflowPunct/>
        <w:topLinePunct w:val="0"/>
        <w:bidi w:val="0"/>
        <w:spacing w:line="560" w:lineRule="exact"/>
        <w:rPr>
          <w:rFonts w:hint="eastAsia"/>
          <w:highlight w:val="none"/>
        </w:rPr>
      </w:pPr>
    </w:p>
    <w:p>
      <w:pPr>
        <w:keepNext w:val="0"/>
        <w:keepLines w:val="0"/>
        <w:pageBreakBefore w:val="0"/>
        <w:widowControl w:val="0"/>
        <w:kinsoku/>
        <w:wordWrap/>
        <w:overflowPunct/>
        <w:topLinePunct w:val="0"/>
        <w:bidi w:val="0"/>
        <w:spacing w:line="540" w:lineRule="exact"/>
        <w:ind w:left="1895" w:leftChars="304" w:hanging="1257" w:hangingChars="39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密云区怀柔科学城东区云西支一街（云西二路－西统路）道路工程等七条道路及大辛庄110千伏输变电工程（站址部分）</w:t>
      </w:r>
      <w:r>
        <w:rPr>
          <w:rFonts w:hint="eastAsia" w:ascii="仿宋_GB2312" w:hAnsi="仿宋_GB2312" w:eastAsia="仿宋_GB2312" w:cs="仿宋_GB2312"/>
          <w:sz w:val="32"/>
          <w:szCs w:val="32"/>
          <w:highlight w:val="none"/>
        </w:rPr>
        <w:t>拆迁补偿方案</w:t>
      </w:r>
    </w:p>
    <w:p>
      <w:pPr>
        <w:keepNext w:val="0"/>
        <w:keepLines w:val="0"/>
        <w:pageBreakBefore w:val="0"/>
        <w:widowControl w:val="0"/>
        <w:kinsoku/>
        <w:wordWrap/>
        <w:overflowPunct/>
        <w:topLinePunct w:val="0"/>
        <w:bidi w:val="0"/>
        <w:spacing w:line="540" w:lineRule="exact"/>
        <w:ind w:left="1890" w:leftChars="760" w:hanging="294" w:hangingChars="9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.林木青苗补偿标准</w:t>
      </w:r>
    </w:p>
    <w:p>
      <w:pPr>
        <w:keepNext w:val="0"/>
        <w:keepLines w:val="0"/>
        <w:pageBreakBefore w:val="0"/>
        <w:widowControl w:val="0"/>
        <w:numPr>
          <w:ilvl w:val="0"/>
          <w:numId w:val="0"/>
        </w:numPr>
        <w:kinsoku/>
        <w:wordWrap/>
        <w:overflowPunct/>
        <w:topLinePunct w:val="0"/>
        <w:bidi w:val="0"/>
        <w:spacing w:line="540" w:lineRule="exact"/>
        <w:ind w:left="1895" w:leftChars="761" w:hanging="297" w:hangingChars="93"/>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3</w:t>
      </w:r>
      <w:r>
        <w:rPr>
          <w:rFonts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sz w:val="32"/>
          <w:szCs w:val="32"/>
          <w:highlight w:val="none"/>
        </w:rPr>
        <w:t>相关附属物及地埋管道补偿标准</w:t>
      </w:r>
    </w:p>
    <w:p>
      <w:pPr>
        <w:keepNext w:val="0"/>
        <w:keepLines w:val="0"/>
        <w:pageBreakBefore w:val="0"/>
        <w:widowControl w:val="0"/>
        <w:numPr>
          <w:ilvl w:val="0"/>
          <w:numId w:val="0"/>
        </w:numPr>
        <w:kinsoku/>
        <w:wordWrap/>
        <w:overflowPunct/>
        <w:topLinePunct w:val="0"/>
        <w:bidi w:val="0"/>
        <w:spacing w:line="540" w:lineRule="exact"/>
        <w:ind w:left="1895" w:leftChars="761" w:hanging="297" w:hangingChars="93"/>
        <w:rPr>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2025年3月至2026年2月猪、牛、羊、禽等动物强制扑杀补偿基准指导价格表</w:t>
      </w:r>
    </w:p>
    <w:p>
      <w:pPr>
        <w:keepNext w:val="0"/>
        <w:keepLines w:val="0"/>
        <w:pageBreakBefore w:val="0"/>
        <w:kinsoku/>
        <w:overflowPunct/>
        <w:topLinePunct w:val="0"/>
        <w:bidi w:val="0"/>
        <w:spacing w:line="540" w:lineRule="exact"/>
        <w:rPr>
          <w:highlight w:val="none"/>
        </w:rPr>
      </w:pPr>
    </w:p>
    <w:p>
      <w:pPr>
        <w:keepNext w:val="0"/>
        <w:keepLines w:val="0"/>
        <w:pageBreakBefore w:val="0"/>
        <w:kinsoku/>
        <w:overflowPunct/>
        <w:topLinePunct w:val="0"/>
        <w:bidi w:val="0"/>
        <w:spacing w:line="540" w:lineRule="exact"/>
        <w:rPr>
          <w:rFonts w:ascii="黑体" w:hAnsi="黑体" w:eastAsia="黑体" w:cs="方正黑体_GBK"/>
          <w:sz w:val="32"/>
          <w:szCs w:val="32"/>
          <w:highlight w:val="none"/>
        </w:rPr>
      </w:pPr>
      <w:r>
        <w:rPr>
          <w:rFonts w:ascii="黑体" w:hAnsi="黑体" w:eastAsia="黑体" w:cs="方正黑体_GBK"/>
          <w:sz w:val="32"/>
          <w:szCs w:val="32"/>
          <w:highlight w:val="none"/>
        </w:rPr>
        <w:br w:type="page"/>
      </w:r>
    </w:p>
    <w:p>
      <w:pPr>
        <w:keepNext w:val="0"/>
        <w:keepLines w:val="0"/>
        <w:pageBreakBefore w:val="0"/>
        <w:kinsoku/>
        <w:overflowPunct/>
        <w:topLinePunct w:val="0"/>
        <w:bidi w:val="0"/>
        <w:spacing w:line="540" w:lineRule="exact"/>
        <w:rPr>
          <w:rFonts w:hint="eastAsia" w:ascii="黑体" w:hAnsi="黑体" w:eastAsia="黑体" w:cs="方正黑体_GBK"/>
          <w:sz w:val="32"/>
          <w:szCs w:val="32"/>
          <w:highlight w:val="none"/>
        </w:rPr>
      </w:pPr>
      <w:r>
        <w:rPr>
          <w:rFonts w:ascii="黑体" w:hAnsi="黑体" w:eastAsia="黑体" w:cs="方正黑体_GBK"/>
          <w:sz w:val="32"/>
          <w:szCs w:val="32"/>
          <w:highlight w:val="none"/>
        </w:rPr>
        <w:t>附件</w:t>
      </w:r>
      <w:r>
        <w:rPr>
          <w:rFonts w:hint="eastAsia" w:ascii="黑体" w:hAnsi="黑体" w:eastAsia="黑体" w:cs="方正黑体_GBK"/>
          <w:sz w:val="32"/>
          <w:szCs w:val="32"/>
          <w:highlight w:val="none"/>
        </w:rPr>
        <w:t>1</w:t>
      </w:r>
    </w:p>
    <w:p>
      <w:pPr>
        <w:pStyle w:val="36"/>
        <w:rPr>
          <w:rFonts w:hint="eastAsia"/>
          <w:highlight w:val="none"/>
        </w:rPr>
      </w:pPr>
    </w:p>
    <w:p>
      <w:pPr>
        <w:spacing w:line="600" w:lineRule="exact"/>
        <w:contextualSpacing/>
        <w:jc w:val="center"/>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密云区怀柔科学城东区云西支一街（云西二路－西统路）道路工程等七条道路及大辛庄110千伏输变电工程（站址部分）</w:t>
      </w:r>
    </w:p>
    <w:p>
      <w:pPr>
        <w:spacing w:line="600" w:lineRule="exact"/>
        <w:contextualSpacing/>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拆迁补偿方案</w:t>
      </w:r>
    </w:p>
    <w:p>
      <w:pPr>
        <w:spacing w:line="560" w:lineRule="exact"/>
        <w:jc w:val="center"/>
        <w:rPr>
          <w:rFonts w:ascii="黑体" w:hAnsi="黑体" w:eastAsia="黑体" w:cs="黑体"/>
          <w:sz w:val="32"/>
          <w:szCs w:val="32"/>
          <w:highlight w:val="none"/>
        </w:rPr>
      </w:pPr>
    </w:p>
    <w:p>
      <w:pPr>
        <w:spacing w:line="56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第一章 总  则</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为保障</w:t>
      </w:r>
      <w:r>
        <w:rPr>
          <w:rFonts w:hint="eastAsia" w:ascii="仿宋_GB2312" w:hAnsi="仿宋_GB2312" w:eastAsia="仿宋_GB2312" w:cs="仿宋_GB2312"/>
          <w:sz w:val="32"/>
          <w:szCs w:val="32"/>
          <w:highlight w:val="none"/>
          <w:lang w:eastAsia="zh-CN"/>
        </w:rPr>
        <w:t>密云区怀柔科学城东区云西支一街（云西二路－西统路）道路工程等七条道路及大辛庄110千伏输变电工程（站址部分）</w:t>
      </w:r>
      <w:r>
        <w:rPr>
          <w:rFonts w:hint="eastAsia" w:ascii="仿宋_GB2312" w:hAnsi="仿宋_GB2312" w:eastAsia="仿宋_GB2312" w:cs="仿宋_GB2312"/>
          <w:sz w:val="32"/>
          <w:szCs w:val="32"/>
          <w:highlight w:val="none"/>
        </w:rPr>
        <w:t>（以下简称各项目）拆迁工作顺利实施，根据相关法律法规，按照北京市、密云区现行政策，并参照</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怀柔科学城东区</w:t>
      </w:r>
      <w:r>
        <w:rPr>
          <w:rFonts w:hint="eastAsia" w:ascii="仿宋_GB2312" w:hAnsi="仿宋_GB2312" w:eastAsia="仿宋_GB2312" w:cs="仿宋_GB2312"/>
          <w:spacing w:val="-6"/>
          <w:sz w:val="32"/>
          <w:szCs w:val="32"/>
          <w:highlight w:val="none"/>
        </w:rPr>
        <w:t>集体土地租赁住房项目地上物腾退补偿方案》《</w:t>
      </w:r>
      <w:r>
        <w:rPr>
          <w:rFonts w:hint="eastAsia" w:ascii="仿宋_GB2312" w:hAnsi="仿宋_GB2312" w:eastAsia="仿宋_GB2312" w:cs="仿宋_GB2312"/>
          <w:spacing w:val="-6"/>
          <w:sz w:val="32"/>
          <w:szCs w:val="32"/>
          <w:highlight w:val="none"/>
          <w:lang w:eastAsia="zh-CN"/>
        </w:rPr>
        <w:t>密云区怀柔科学城东区云西四路南延、云西三路、水杨红街道路工程及王各庄村民回迁楼新建开闭站外电源工程拆迁实施方案</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密新路（韩各庄路口—区界）改建工程拆迁实施方案</w:t>
      </w:r>
      <w:r>
        <w:rPr>
          <w:rFonts w:hint="eastAsia" w:ascii="仿宋_GB2312" w:hAnsi="仿宋_GB2312" w:eastAsia="仿宋_GB2312" w:cs="仿宋_GB2312"/>
          <w:spacing w:val="-6"/>
          <w:sz w:val="32"/>
          <w:szCs w:val="32"/>
          <w:highlight w:val="none"/>
        </w:rPr>
        <w:t>》《罗山220千伏输变电工程、河南寨110千伏变电站35千伏配套送出工程、燕落寨110千伏输变电工程（站址部分）、密云区国道234</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太师屯</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黄土洼</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道路工程、京密高速公路</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六环路至西统路段</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工程（密云段）、巨各庄接收站至密云县城次高压A管线联络线工程拆迁实施方案》</w:t>
      </w:r>
      <w:r>
        <w:rPr>
          <w:rFonts w:hint="eastAsia" w:ascii="仿宋_GB2312" w:hAnsi="仿宋_GB2312" w:eastAsia="仿宋_GB2312" w:cs="仿宋_GB2312"/>
          <w:sz w:val="32"/>
          <w:szCs w:val="32"/>
          <w:highlight w:val="none"/>
        </w:rPr>
        <w:t>，结合各项目实际情况，经征求相关部门意见后，制定本方案。</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第一条</w:t>
      </w:r>
      <w:r>
        <w:rPr>
          <w:rFonts w:hint="eastAsia" w:ascii="仿宋_GB2312" w:hAnsi="楷体_GB2312" w:eastAsia="仿宋_GB2312" w:cs="楷体_GB2312"/>
          <w:bCs/>
          <w:sz w:val="32"/>
          <w:szCs w:val="32"/>
          <w:highlight w:val="none"/>
        </w:rPr>
        <w:t xml:space="preserve"> </w:t>
      </w:r>
      <w:r>
        <w:rPr>
          <w:rFonts w:hint="eastAsia" w:ascii="仿宋_GB2312" w:hAnsi="仿宋" w:eastAsia="仿宋_GB2312"/>
          <w:sz w:val="32"/>
          <w:szCs w:val="32"/>
          <w:highlight w:val="none"/>
        </w:rPr>
        <w:t>工程概况</w:t>
      </w:r>
    </w:p>
    <w:p>
      <w:pPr>
        <w:spacing w:line="560" w:lineRule="exact"/>
        <w:ind w:firstLine="616" w:firstLineChars="200"/>
        <w:rPr>
          <w:rFonts w:hint="eastAsia" w:ascii="仿宋_GB2312" w:hAnsi="仿宋" w:eastAsia="仿宋_GB2312"/>
          <w:sz w:val="32"/>
          <w:szCs w:val="32"/>
          <w:highlight w:val="none"/>
        </w:rPr>
      </w:pPr>
      <w:r>
        <w:rPr>
          <w:rFonts w:hint="eastAsia" w:ascii="仿宋_GB2312" w:hAnsi="仿宋_GB2312" w:eastAsia="仿宋_GB2312" w:cs="仿宋_GB2312"/>
          <w:spacing w:val="-6"/>
          <w:sz w:val="32"/>
          <w:szCs w:val="32"/>
          <w:highlight w:val="none"/>
          <w:lang w:eastAsia="zh-CN"/>
        </w:rPr>
        <w:t>密云区怀柔科学城东区云西支一街（云西二路－西统路）道路工程等七条道路</w:t>
      </w:r>
      <w:r>
        <w:rPr>
          <w:rFonts w:hint="eastAsia" w:ascii="仿宋_GB2312" w:hAnsi="仿宋_GB2312" w:eastAsia="仿宋_GB2312" w:cs="仿宋_GB2312"/>
          <w:spacing w:val="-6"/>
          <w:sz w:val="32"/>
          <w:szCs w:val="32"/>
          <w:highlight w:val="none"/>
          <w:lang w:val="en-US" w:eastAsia="zh-CN"/>
        </w:rPr>
        <w:t>包含</w:t>
      </w:r>
      <w:r>
        <w:rPr>
          <w:rFonts w:hint="eastAsia" w:ascii="仿宋_GB2312" w:hAnsi="仿宋_GB2312" w:eastAsia="仿宋_GB2312" w:cs="仿宋_GB2312"/>
          <w:spacing w:val="-6"/>
          <w:sz w:val="32"/>
          <w:szCs w:val="32"/>
          <w:highlight w:val="none"/>
          <w:lang w:eastAsia="zh-CN"/>
        </w:rPr>
        <w:t>怀柔科学城东区云西支一街（云西二路－西统路）道路工程、科学城东区云西支二路（云西二街－密新路）道路工程、怀柔科学城东区云西支六路（统军庄街－云西九街）道路工程、怀柔科学城东区云西支七路（水杨红街－水泉街）道路工程、科学城东区云西支八街（云西支七路－云西四路）道路工程、怀柔科学城东区云西九街（西统路－云西四路南延）道路工程</w:t>
      </w:r>
      <w:r>
        <w:rPr>
          <w:rFonts w:hint="eastAsia" w:ascii="仿宋_GB2312" w:hAnsi="仿宋_GB2312" w:eastAsia="仿宋_GB2312" w:cs="仿宋_GB2312"/>
          <w:spacing w:val="-6"/>
          <w:sz w:val="32"/>
          <w:szCs w:val="32"/>
          <w:highlight w:val="none"/>
          <w:lang w:val="en-US" w:eastAsia="zh-CN"/>
        </w:rPr>
        <w:t>及</w:t>
      </w:r>
      <w:r>
        <w:rPr>
          <w:rFonts w:hint="eastAsia" w:ascii="仿宋_GB2312" w:hAnsi="仿宋_GB2312" w:eastAsia="仿宋_GB2312" w:cs="仿宋_GB2312"/>
          <w:spacing w:val="-6"/>
          <w:sz w:val="32"/>
          <w:szCs w:val="32"/>
          <w:highlight w:val="none"/>
          <w:lang w:eastAsia="zh-CN"/>
        </w:rPr>
        <w:t>怀柔科学城东区云西支十二街（西统路－云西三路）道路工程，</w:t>
      </w:r>
      <w:r>
        <w:rPr>
          <w:rFonts w:hint="eastAsia" w:ascii="仿宋_GB2312" w:hAnsi="仿宋_GB2312" w:eastAsia="仿宋_GB2312" w:cs="仿宋_GB2312"/>
          <w:spacing w:val="-6"/>
          <w:sz w:val="32"/>
          <w:szCs w:val="32"/>
          <w:highlight w:val="none"/>
          <w:lang w:val="en-US" w:eastAsia="zh-CN"/>
        </w:rPr>
        <w:t>属于</w:t>
      </w:r>
      <w:r>
        <w:rPr>
          <w:rFonts w:hint="eastAsia" w:ascii="仿宋_GB2312" w:hAnsi="仿宋_GB2312" w:eastAsia="仿宋_GB2312" w:cs="仿宋_GB2312"/>
          <w:spacing w:val="-6"/>
          <w:sz w:val="32"/>
          <w:szCs w:val="32"/>
          <w:highlight w:val="none"/>
          <w:lang w:eastAsia="zh-CN"/>
        </w:rPr>
        <w:t>密云区怀柔科学城东区支路网道路工程。</w:t>
      </w:r>
      <w:r>
        <w:rPr>
          <w:rFonts w:hint="eastAsia" w:ascii="仿宋_GB2312" w:hAnsi="仿宋_GB2312" w:eastAsia="仿宋_GB2312" w:cs="仿宋_GB2312"/>
          <w:spacing w:val="-6"/>
          <w:sz w:val="32"/>
          <w:szCs w:val="32"/>
          <w:highlight w:val="none"/>
          <w:lang w:val="en-US" w:eastAsia="zh-CN"/>
        </w:rPr>
        <w:t>为</w:t>
      </w:r>
      <w:r>
        <w:rPr>
          <w:rFonts w:hint="eastAsia" w:ascii="仿宋_GB2312" w:hAnsi="仿宋_GB2312" w:eastAsia="仿宋_GB2312" w:cs="仿宋_GB2312"/>
          <w:spacing w:val="-6"/>
          <w:sz w:val="32"/>
          <w:szCs w:val="32"/>
          <w:highlight w:val="none"/>
        </w:rPr>
        <w:t>配合科学城东区国家水生态环境智慧监测业务与实验平台项目、北京大学怀密医学中心项目及北京第二实验学校周边、怀柔科学城东区集体土地租赁住房项目等重点项目</w:t>
      </w:r>
      <w:r>
        <w:rPr>
          <w:rFonts w:hint="eastAsia" w:ascii="仿宋_GB2312" w:hAnsi="仿宋_GB2312" w:eastAsia="仿宋_GB2312" w:cs="仿宋_GB2312"/>
          <w:spacing w:val="-6"/>
          <w:sz w:val="32"/>
          <w:szCs w:val="32"/>
          <w:highlight w:val="none"/>
          <w:lang w:val="en-US" w:eastAsia="zh-CN"/>
        </w:rPr>
        <w:t>建设</w:t>
      </w:r>
      <w:r>
        <w:rPr>
          <w:rFonts w:hint="eastAsia" w:ascii="仿宋_GB2312" w:hAnsi="仿宋_GB2312" w:eastAsia="仿宋_GB2312" w:cs="仿宋_GB2312"/>
          <w:spacing w:val="-6"/>
          <w:sz w:val="32"/>
          <w:szCs w:val="32"/>
          <w:highlight w:val="none"/>
        </w:rPr>
        <w:t>，完善区域路网结构</w:t>
      </w:r>
      <w:r>
        <w:rPr>
          <w:rFonts w:hint="eastAsia" w:ascii="仿宋_GB2312" w:hAnsi="仿宋_GB2312" w:eastAsia="仿宋_GB2312" w:cs="仿宋_GB2312"/>
          <w:spacing w:val="-6"/>
          <w:sz w:val="32"/>
          <w:szCs w:val="32"/>
          <w:highlight w:val="none"/>
          <w:lang w:eastAsia="zh-CN"/>
        </w:rPr>
        <w:t>，提供相关管线路由</w:t>
      </w:r>
      <w:r>
        <w:rPr>
          <w:rFonts w:hint="eastAsia" w:ascii="仿宋_GB2312" w:hAnsi="仿宋_GB2312" w:eastAsia="仿宋_GB2312" w:cs="仿宋_GB2312"/>
          <w:spacing w:val="-6"/>
          <w:sz w:val="32"/>
          <w:szCs w:val="32"/>
          <w:highlight w:val="none"/>
        </w:rPr>
        <w:t>。</w:t>
      </w:r>
    </w:p>
    <w:p>
      <w:pPr>
        <w:pStyle w:val="6"/>
        <w:ind w:firstLine="616" w:firstLineChars="200"/>
        <w:rPr>
          <w:highlight w:val="none"/>
        </w:rPr>
      </w:pPr>
      <w:r>
        <w:rPr>
          <w:rFonts w:hint="eastAsia" w:ascii="仿宋_GB2312" w:hAnsi="仿宋_GB2312" w:eastAsia="仿宋_GB2312" w:cs="仿宋_GB2312"/>
          <w:spacing w:val="-6"/>
          <w:sz w:val="32"/>
          <w:szCs w:val="32"/>
          <w:highlight w:val="none"/>
          <w:lang w:val="en-US" w:eastAsia="zh-CN"/>
        </w:rPr>
        <w:t>大辛庄110千伏输变电工程（站址部分）位于十里堡镇，建成后可</w:t>
      </w:r>
      <w:r>
        <w:rPr>
          <w:rFonts w:hint="eastAsia" w:ascii="仿宋_GB2312" w:hAnsi="仿宋_GB2312" w:eastAsia="仿宋_GB2312" w:cs="仿宋_GB2312"/>
          <w:spacing w:val="-6"/>
          <w:sz w:val="32"/>
          <w:szCs w:val="32"/>
          <w:highlight w:val="none"/>
        </w:rPr>
        <w:t>满足规划北京第二实验学校、北京大学怀密医学中心和生命健康小镇等重点项目负荷需求，同时提高地区供电能力和供电可靠性。</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 xml:space="preserve">第二条 </w:t>
      </w:r>
      <w:r>
        <w:rPr>
          <w:rFonts w:hint="eastAsia" w:ascii="仿宋_GB2312" w:hAnsi="仿宋" w:eastAsia="仿宋_GB2312"/>
          <w:sz w:val="32"/>
          <w:szCs w:val="32"/>
          <w:highlight w:val="none"/>
        </w:rPr>
        <w:t>拆迁范围</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项目用地范围以建设单位提供的占地图纸或道路钉桩红线为准（包括工程必要的配套用地）。拆迁范围为上述用地范围内所有的房屋、构筑物、附属物及附着物。</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跨越占地红线的房屋（大棚）及院落以实施单位认定并公示的面积为准，对其地上物给予补偿，红线内、外补偿标准一致（红线外部分不享受工程配合奖）。</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 xml:space="preserve">第三条 </w:t>
      </w:r>
      <w:r>
        <w:rPr>
          <w:rFonts w:hint="eastAsia" w:ascii="仿宋_GB2312" w:hAnsi="仿宋" w:eastAsia="仿宋_GB2312"/>
          <w:sz w:val="32"/>
          <w:szCs w:val="32"/>
          <w:highlight w:val="none"/>
        </w:rPr>
        <w:t>补偿方式</w:t>
      </w:r>
    </w:p>
    <w:p>
      <w:pPr>
        <w:spacing w:line="560" w:lineRule="exact"/>
        <w:ind w:firstLine="640" w:firstLineChars="200"/>
        <w:rPr>
          <w:rFonts w:ascii="仿宋_GB2312" w:hAnsi="仿宋" w:eastAsia="仿宋_GB2312"/>
          <w:color w:val="000000"/>
          <w:sz w:val="32"/>
          <w:szCs w:val="32"/>
          <w:highlight w:val="none"/>
        </w:rPr>
      </w:pPr>
      <w:r>
        <w:rPr>
          <w:rFonts w:ascii="仿宋_GB2312" w:hAnsi="仿宋" w:eastAsia="仿宋_GB2312"/>
          <w:color w:val="000000"/>
          <w:sz w:val="32"/>
          <w:szCs w:val="32"/>
          <w:highlight w:val="none"/>
        </w:rPr>
        <w:t>以货币方式进行补偿。</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 xml:space="preserve">第四条 </w:t>
      </w:r>
      <w:r>
        <w:rPr>
          <w:rFonts w:hint="eastAsia" w:ascii="仿宋_GB2312" w:hAnsi="仿宋" w:eastAsia="仿宋_GB2312"/>
          <w:sz w:val="32"/>
          <w:szCs w:val="32"/>
          <w:highlight w:val="none"/>
        </w:rPr>
        <w:t>房屋及附属物重置成新价补偿标准</w:t>
      </w:r>
    </w:p>
    <w:p>
      <w:pPr>
        <w:spacing w:line="560" w:lineRule="exact"/>
        <w:ind w:firstLine="616"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pacing w:val="-6"/>
          <w:sz w:val="32"/>
          <w:szCs w:val="32"/>
          <w:highlight w:val="none"/>
        </w:rPr>
        <w:t>各项目拆迁范围内的房屋及附属物重置成新评估执行《北京市房屋重置成新价评估技术标准》（北估秘〔2016〕001号）规定。</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sz w:val="32"/>
          <w:szCs w:val="32"/>
          <w:highlight w:val="none"/>
        </w:rPr>
        <w:t xml:space="preserve">第五条 </w:t>
      </w:r>
      <w:r>
        <w:rPr>
          <w:rFonts w:hint="eastAsia" w:ascii="仿宋_GB2312" w:hAnsi="仿宋" w:eastAsia="仿宋_GB2312"/>
          <w:sz w:val="32"/>
          <w:szCs w:val="32"/>
          <w:highlight w:val="none"/>
        </w:rPr>
        <w:t>林木、果树、青苗补偿标准及适宜栽植密度标准详见附件2，相关附属物及地埋管道补偿标准详见附件3</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rPr>
        <w:t xml:space="preserve">条 </w:t>
      </w:r>
      <w:r>
        <w:rPr>
          <w:rFonts w:hint="eastAsia" w:ascii="仿宋_GB2312" w:hAnsi="仿宋" w:eastAsia="仿宋_GB2312"/>
          <w:sz w:val="32"/>
          <w:szCs w:val="32"/>
          <w:highlight w:val="none"/>
        </w:rPr>
        <w:t>集体土地非住宅及农用地的认定</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1.认定原则：以“依法依规、实事求是、尊重历史、合情合理”为宗旨，具体认定原则如下：</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（1）集体土地非住宅以合法有效的承租合同等确定相关信息，未能提供承租合同等材料或存在争议的，由认定工作组出具认定意见。</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（2）农用地以与村委会或村集体经济组织签订的土地使用合同、协议等确定相关信息，未能提供使用合同等材料或存在争议的，由认定工作组出具认定意见。</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（3）以上集体土地非住宅、农用地等认定结果，在村委会及拆迁范围内公示，公示时间为5个自然日，公示结果作为补偿依据。认定结果需镇村两级确认并盖章。</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2.认定内容</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包括但不限于拆迁范围内集体土地非住宅及地上物的权属、面积等其他情况；农用地及地上物的权属、面积等其他情况。</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3.认定工作组的成员及产生</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1）成员组成：依据《中华人民共和国村民委员会组织法》（中华人民共和国主席令第37号），通过民主程序，由村民代表大会选举产生认定工作组成员，成员需为5人以上单数，具备以身作则、熟悉村情、阅历丰富、公道正派、德高望重等条件，成员须签订《公正履行认定工作承诺书》。</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2）认定表决原则：原则上认定工作组成员需全部同意并确认、签字后有效；对于存在因亲属原因等需要回避的特殊情况，需认定工作组成员2/3以上参加认定会，半数（不含半数）以上同意并确认、签字后有效。</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（3）工作职责：对集体土地非住宅及农用地产权人、占地面积等进行评议及表决，形成认定结果，并在《集体土地非住宅认定表》或《农用地认定表》上确认并签字。</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4.认定领导小组成员和职责</w:t>
      </w:r>
    </w:p>
    <w:p>
      <w:pPr>
        <w:spacing w:line="560" w:lineRule="exact"/>
        <w:ind w:firstLine="616"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pacing w:val="-6"/>
          <w:sz w:val="32"/>
          <w:szCs w:val="32"/>
          <w:highlight w:val="none"/>
        </w:rPr>
        <w:t>认定领导小组由</w:t>
      </w:r>
      <w:r>
        <w:rPr>
          <w:rFonts w:hint="eastAsia" w:ascii="仿宋_GB2312" w:hAnsi="仿宋_GB2312" w:eastAsia="仿宋_GB2312" w:cs="仿宋_GB2312"/>
          <w:spacing w:val="-6"/>
          <w:sz w:val="32"/>
          <w:szCs w:val="32"/>
          <w:highlight w:val="none"/>
          <w:lang w:eastAsia="zh-CN"/>
        </w:rPr>
        <w:t>区城市管理委</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区住房城乡建设委</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市规划和自然资源委员会密云分局</w:t>
      </w:r>
      <w:r>
        <w:rPr>
          <w:rFonts w:hint="eastAsia" w:ascii="仿宋_GB2312" w:hAnsi="仿宋_GB2312" w:eastAsia="仿宋_GB2312" w:cs="仿宋_GB2312"/>
          <w:spacing w:val="-6"/>
          <w:sz w:val="32"/>
          <w:szCs w:val="32"/>
          <w:highlight w:val="none"/>
        </w:rPr>
        <w:t>、区农业农村局、属地政府等职能部门组成，认定工作组在认定领导小组的领导、监督下开展认定工作，认定领导小组对认定工作中出现的重点难点问题，集中研究讨论制定解决办法，认定领导小组有权否定认定工作组认定结果，并组织认定工作组重新认定。</w:t>
      </w:r>
    </w:p>
    <w:p>
      <w:pPr>
        <w:numPr>
          <w:ilvl w:val="0"/>
          <w:numId w:val="0"/>
        </w:numPr>
        <w:spacing w:line="560" w:lineRule="exact"/>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kern w:val="2"/>
          <w:sz w:val="32"/>
          <w:szCs w:val="32"/>
          <w:highlight w:val="none"/>
          <w:lang w:val="en-US" w:eastAsia="zh-CN" w:bidi="ar-SA"/>
        </w:rPr>
        <w:t xml:space="preserve">第二章 </w:t>
      </w:r>
      <w:r>
        <w:rPr>
          <w:rFonts w:hint="eastAsia" w:ascii="黑体" w:hAnsi="黑体" w:eastAsia="黑体" w:cs="黑体"/>
          <w:b w:val="0"/>
          <w:bCs w:val="0"/>
          <w:color w:val="000000"/>
          <w:sz w:val="32"/>
          <w:szCs w:val="32"/>
          <w:highlight w:val="none"/>
        </w:rPr>
        <w:t>耕地、果园、林地、设施农业、房屋</w:t>
      </w:r>
    </w:p>
    <w:p>
      <w:pPr>
        <w:numPr>
          <w:ilvl w:val="0"/>
          <w:numId w:val="0"/>
        </w:numPr>
        <w:spacing w:line="560" w:lineRule="exact"/>
        <w:ind w:firstLine="2240" w:firstLineChars="700"/>
        <w:jc w:val="both"/>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及其他地上附着物拆迁补偿</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七</w:t>
      </w:r>
      <w:r>
        <w:rPr>
          <w:rFonts w:hint="eastAsia" w:ascii="黑体" w:hAnsi="黑体" w:eastAsia="黑体" w:cs="黑体"/>
          <w:b w:val="0"/>
          <w:bCs w:val="0"/>
          <w:sz w:val="32"/>
          <w:szCs w:val="32"/>
          <w:highlight w:val="none"/>
        </w:rPr>
        <w:t xml:space="preserve">条 </w:t>
      </w:r>
      <w:r>
        <w:rPr>
          <w:rFonts w:hint="eastAsia" w:ascii="仿宋_GB2312" w:hAnsi="仿宋" w:eastAsia="仿宋_GB2312"/>
          <w:sz w:val="32"/>
          <w:szCs w:val="32"/>
          <w:highlight w:val="none"/>
        </w:rPr>
        <w:t>签约主体</w:t>
      </w:r>
    </w:p>
    <w:p>
      <w:pPr>
        <w:spacing w:line="56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用地范围内耕地、果园、林地、设施农业、房屋及其他地上附着物拆迁补偿协议由实施单位与被拆迁人签订。</w:t>
      </w:r>
    </w:p>
    <w:p>
      <w:pPr>
        <w:spacing w:line="56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被拆迁人按照土地使用类型，分为如下几种情况：</w:t>
      </w:r>
    </w:p>
    <w:p>
      <w:pPr>
        <w:spacing w:line="56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与村委会或村集体经济组织签订土地使用合同、协议等能够确认土地使用权属的权利人为被拆迁人；自留地、菜地的所在村土地台账登记确认的村民为被拆迁人；平原造林地的村集体经济组织为被拆迁人；耕地保护空间复耕地块村集体经济组织为被拆迁人，但已完成复耕后由村集体经民主程序另行签订土地使用合同、协议的，按合同、协议约定确定被拆迁人</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开荒地等未被确权给村民的土地，土地补偿被拆迁人为村委会或村集体经济组织，经认定后的地上物所有权人为被拆迁人。</w:t>
      </w:r>
    </w:p>
    <w:p>
      <w:pPr>
        <w:spacing w:line="56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征收集体农用地土地补偿对象为村委会或村集体经济组织，征收农用地以外的其他土地（包括集体建设用地、未利用地）参照执行。</w:t>
      </w:r>
    </w:p>
    <w:p>
      <w:pPr>
        <w:spacing w:line="56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如被拆迁人无法提供上述权属证明资料或存在争议的，以认定工作组认定并公示的结果为准。</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 w:eastAsia="仿宋_GB2312"/>
          <w:color w:val="000000"/>
          <w:sz w:val="32"/>
          <w:szCs w:val="32"/>
          <w:highlight w:val="none"/>
        </w:rPr>
        <w:t>如权属界线存在异议，由</w:t>
      </w:r>
      <w:r>
        <w:rPr>
          <w:rFonts w:hint="eastAsia" w:ascii="仿宋_GB2312" w:hAnsi="仿宋" w:eastAsia="仿宋_GB2312"/>
          <w:color w:val="000000"/>
          <w:sz w:val="32"/>
          <w:szCs w:val="32"/>
          <w:highlight w:val="none"/>
          <w:lang w:eastAsia="zh-CN"/>
        </w:rPr>
        <w:t>市规划和自然资源委员会密云分局</w:t>
      </w:r>
      <w:r>
        <w:rPr>
          <w:rFonts w:hint="eastAsia" w:ascii="仿宋_GB2312" w:hAnsi="仿宋" w:eastAsia="仿宋_GB2312"/>
          <w:color w:val="000000"/>
          <w:sz w:val="32"/>
          <w:szCs w:val="32"/>
          <w:highlight w:val="none"/>
        </w:rPr>
        <w:t>负责查询相关权属档案资料，并由联席会进行认定</w:t>
      </w:r>
      <w:r>
        <w:rPr>
          <w:rFonts w:hint="eastAsia" w:ascii="仿宋_GB2312" w:hAnsi="仿宋_GB2312" w:eastAsia="仿宋_GB2312" w:cs="仿宋_GB2312"/>
          <w:sz w:val="32"/>
          <w:szCs w:val="32"/>
          <w:highlight w:val="none"/>
        </w:rPr>
        <w:t>。</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八</w:t>
      </w:r>
      <w:r>
        <w:rPr>
          <w:rFonts w:hint="eastAsia" w:ascii="黑体" w:hAnsi="黑体" w:eastAsia="黑体" w:cs="黑体"/>
          <w:b w:val="0"/>
          <w:bCs w:val="0"/>
          <w:sz w:val="32"/>
          <w:szCs w:val="32"/>
          <w:highlight w:val="none"/>
        </w:rPr>
        <w:t xml:space="preserve">条 </w:t>
      </w:r>
      <w:r>
        <w:rPr>
          <w:rFonts w:hint="eastAsia" w:ascii="仿宋_GB2312" w:hAnsi="仿宋" w:eastAsia="仿宋_GB2312"/>
          <w:sz w:val="32"/>
          <w:szCs w:val="32"/>
          <w:highlight w:val="none"/>
        </w:rPr>
        <w:t>认定和清登工作</w:t>
      </w:r>
    </w:p>
    <w:p>
      <w:pPr>
        <w:spacing w:line="560"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入户清登评估时，被拆迁人不到场或不配合的，由实施单位、村委会、评估机构现场签字认可，留存地上物详细影像资料，并由公证处进行公证，不影响清登评估工作的进行。</w:t>
      </w:r>
    </w:p>
    <w:p>
      <w:pPr>
        <w:spacing w:line="560" w:lineRule="exact"/>
        <w:ind w:firstLine="616"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pacing w:val="-6"/>
          <w:sz w:val="32"/>
          <w:szCs w:val="32"/>
          <w:highlight w:val="none"/>
        </w:rPr>
        <w:t>认定工作组对地上物的权属、面积等情况进行认定，认定结果及地上物清登结果要公示，公示时间为5个自然日，并留存影像资料。认定结果需镇村两级确认并盖章。</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九</w:t>
      </w:r>
      <w:r>
        <w:rPr>
          <w:rFonts w:hint="eastAsia" w:ascii="黑体" w:hAnsi="黑体" w:eastAsia="黑体" w:cs="黑体"/>
          <w:b w:val="0"/>
          <w:bCs w:val="0"/>
          <w:sz w:val="32"/>
          <w:szCs w:val="32"/>
          <w:highlight w:val="none"/>
        </w:rPr>
        <w:t xml:space="preserve">条 </w:t>
      </w:r>
      <w:r>
        <w:rPr>
          <w:rFonts w:hint="eastAsia" w:ascii="仿宋_GB2312" w:hAnsi="仿宋" w:eastAsia="仿宋_GB2312"/>
          <w:sz w:val="32"/>
          <w:szCs w:val="32"/>
          <w:highlight w:val="none"/>
        </w:rPr>
        <w:t>严厉打击违法犯罪行为</w:t>
      </w:r>
    </w:p>
    <w:p>
      <w:pPr>
        <w:spacing w:line="560" w:lineRule="exact"/>
        <w:ind w:firstLine="616"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pacing w:val="-6"/>
          <w:sz w:val="32"/>
          <w:szCs w:val="32"/>
          <w:highlight w:val="none"/>
        </w:rPr>
        <w:t>坚决依法严厉打击以骗取高额补偿为目的，团伙化、公司化、规模化运作的“四抢”违法行为和涉嫌诈骗、敲诈勒索等犯罪行为。</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 xml:space="preserve">第十条 </w:t>
      </w:r>
      <w:r>
        <w:rPr>
          <w:rFonts w:hint="eastAsia" w:ascii="仿宋_GB2312" w:hAnsi="仿宋" w:eastAsia="仿宋_GB2312"/>
          <w:sz w:val="32"/>
          <w:szCs w:val="32"/>
          <w:highlight w:val="none"/>
        </w:rPr>
        <w:t>征收农用地补偿标准、人员安置标准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按照《北京市人民政府关于重新公布&lt;北京市征收农用地区片综合地价标准&gt;的通知》（京政发〔2024〕15号），《北京市密云区人民政府关于公布征收农用地区片综合地价比例的通知》（密政发〔2021〕35号）标准执行，征收农用地以外的其他土地（包括集体建设用地、未利用地）参照执行。</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人员安置按照《北京市建设征地补偿安置办法》（北京市人民政府第148号令）执行。</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 xml:space="preserve">条 </w:t>
      </w:r>
      <w:r>
        <w:rPr>
          <w:rFonts w:hint="eastAsia" w:ascii="仿宋_GB2312" w:hAnsi="仿宋" w:eastAsia="仿宋_GB2312"/>
          <w:sz w:val="32"/>
          <w:szCs w:val="32"/>
          <w:highlight w:val="none"/>
        </w:rPr>
        <w:t>“抢栽、抢种、抢养、抢建”地上物的判定和处理</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1.“四抢”地上物</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“四抢”地上物是指在各项目用地范围内的耕地、园地和林地上，违反合同约定、工程设计标准和操作规范，反季节，超密度，违背生长规律抢栽抢种的植物、抢养的养殖物，以及抢建的违法建筑物、构筑物。</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2.判定“四抢”地上物的四步工作法</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第一步，《关于严禁非法抢栽、抢种、抢养、抢建等行为的通告》发布后，新增的各类地上物属于“四抢”地上物。通告发布之日前发生的属于“四抢”形态的地上物同样不予补偿。</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第二步，退耕还林地、平原造林地、农田林网工程、道路两侧绿化树、公路绿化工程等地块内存在违反合同约定和工程设计标准种植、养殖的地上物属于“四抢”地上物。</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三步，利用违法用地违法建设，尤其是占用基本农田种植、养殖的，没有相关养殖批准手续的，超过农业设施合理建设密度的，不符合农业设施建设规范的，超过适宜栽植密度的，不具备必要生长环境条件的，未采取必要管护措施的，不符合混交林栽植方式的，与周边地上物品种、密度存在明显差异的地上物属于“四抢”地上物。</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第四步，已经干枯或死亡的；根系不完整的，无树冠的，树埯掩埋不规范的地上物属于“四抢”地上物。</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未取得园林绿化部门核发的林木种子生产许可证和经营许可证的“苗圃”或虽然已取得园林绿化部门核发的林木种子生产许可证和经营许可证的苗圃，但核发的生产地点与实际育苗地不符的，若存在以下三种情况，即属于“四抢”地上物，一是超过《关于遏止本市基础设施建设征地拆迁过程中抢栽抢种树木苗木行为的意见》（京政办发〔2007〕20号）规定的苗圃苗木栽植密度的部分；二是不具备水利、道路等基本种植配套设施的部分；三是人员无法进入管护的部分。</w:t>
      </w:r>
    </w:p>
    <w:p>
      <w:pPr>
        <w:spacing w:line="560" w:lineRule="exact"/>
        <w:ind w:firstLine="640" w:firstLineChars="200"/>
        <w:rPr>
          <w:rFonts w:hint="eastAsia" w:ascii="仿宋_GB2312" w:hAnsi="楷体_GB2312" w:eastAsia="仿宋_GB2312" w:cs="楷体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3.“四抢”地上物一律不予补偿</w:t>
      </w:r>
      <w:r>
        <w:rPr>
          <w:rFonts w:hint="eastAsia" w:ascii="仿宋_GB2312" w:hAnsi="楷体_GB2312" w:eastAsia="仿宋_GB2312" w:cs="楷体_GB2312"/>
          <w:color w:val="000000"/>
          <w:sz w:val="32"/>
          <w:szCs w:val="32"/>
          <w:highlight w:val="none"/>
          <w:lang w:eastAsia="zh-CN"/>
        </w:rPr>
        <w:t>。</w:t>
      </w:r>
    </w:p>
    <w:p>
      <w:pPr>
        <w:spacing w:line="560" w:lineRule="exact"/>
        <w:ind w:firstLine="640" w:firstLineChars="200"/>
        <w:rPr>
          <w:rFonts w:hint="eastAsia" w:ascii="仿宋_GB2312" w:hAnsi="仿宋" w:eastAsia="仿宋_GB2312"/>
          <w:sz w:val="32"/>
          <w:szCs w:val="32"/>
          <w:highlight w:val="none"/>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 xml:space="preserve">条 </w:t>
      </w:r>
      <w:r>
        <w:rPr>
          <w:rFonts w:hint="eastAsia" w:ascii="仿宋_GB2312" w:hAnsi="仿宋" w:eastAsia="仿宋_GB2312"/>
          <w:sz w:val="32"/>
          <w:szCs w:val="32"/>
          <w:highlight w:val="none"/>
        </w:rPr>
        <w:t>补偿内容</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补偿款=耕地、果园、林地、设施农业评估价＋房屋重置成新价+地上附着物评估价＋其它补助+工程配合奖</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一）耕地、果园、林地、设施农业评估价、房屋重置成新价及地上附着物评估价由评估公司按照本方案附件及《北京市房屋重置成新价评估技术标准》（北估秘〔2016〕001号）及估价规范确定的相关标准评估确定。</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（二）其它补助</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1.单坟按照5000元/座、双坟按照1万元/座的标准给予迁移补助。</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2.畜禽养殖拆迁补助</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 xml:space="preserve">（1）畜禽补助费=畜禽数量×补助标准×30% </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（2）畜禽数量计算方法：畜禽数量=（养殖总数÷总占地面积）×征地面积。圈养的畜禽种类及养殖数量由实施单位现场认定、清登，超过饲养密度的不予补助。</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73"/>
        <w:gridCol w:w="2694"/>
        <w:gridCol w:w="3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blHeader/>
          <w:jc w:val="center"/>
        </w:trPr>
        <w:tc>
          <w:tcPr>
            <w:tcW w:w="972" w:type="dxa"/>
            <w:noWrap w:val="0"/>
            <w:vAlign w:val="center"/>
          </w:tcPr>
          <w:p>
            <w:pPr>
              <w:spacing w:line="560" w:lineRule="exact"/>
              <w:jc w:val="center"/>
              <w:rPr>
                <w:rFonts w:ascii="仿宋_GB2312" w:hAnsi="楷体" w:eastAsia="仿宋_GB2312"/>
                <w:b/>
                <w:bCs/>
                <w:sz w:val="30"/>
                <w:szCs w:val="30"/>
                <w:highlight w:val="none"/>
              </w:rPr>
            </w:pPr>
            <w:r>
              <w:rPr>
                <w:rFonts w:hint="eastAsia" w:ascii="仿宋_GB2312" w:hAnsi="楷体" w:eastAsia="仿宋_GB2312"/>
                <w:b/>
                <w:bCs/>
                <w:sz w:val="30"/>
                <w:szCs w:val="30"/>
                <w:highlight w:val="none"/>
              </w:rPr>
              <w:t>序号</w:t>
            </w:r>
          </w:p>
        </w:tc>
        <w:tc>
          <w:tcPr>
            <w:tcW w:w="3667" w:type="dxa"/>
            <w:gridSpan w:val="2"/>
            <w:noWrap w:val="0"/>
            <w:vAlign w:val="center"/>
          </w:tcPr>
          <w:p>
            <w:pPr>
              <w:spacing w:line="560" w:lineRule="exact"/>
              <w:jc w:val="center"/>
              <w:rPr>
                <w:rFonts w:ascii="仿宋_GB2312" w:hAnsi="楷体" w:eastAsia="仿宋_GB2312"/>
                <w:b/>
                <w:bCs/>
                <w:sz w:val="30"/>
                <w:szCs w:val="30"/>
                <w:highlight w:val="none"/>
              </w:rPr>
            </w:pPr>
            <w:r>
              <w:rPr>
                <w:rFonts w:hint="eastAsia" w:ascii="仿宋_GB2312" w:hAnsi="楷体" w:eastAsia="仿宋_GB2312"/>
                <w:b/>
                <w:bCs/>
                <w:sz w:val="30"/>
                <w:szCs w:val="30"/>
                <w:highlight w:val="none"/>
              </w:rPr>
              <w:t>种类</w:t>
            </w:r>
          </w:p>
        </w:tc>
        <w:tc>
          <w:tcPr>
            <w:tcW w:w="3559" w:type="dxa"/>
            <w:noWrap w:val="0"/>
            <w:vAlign w:val="center"/>
          </w:tcPr>
          <w:p>
            <w:pPr>
              <w:spacing w:line="560" w:lineRule="exact"/>
              <w:jc w:val="center"/>
              <w:rPr>
                <w:rFonts w:ascii="仿宋_GB2312" w:hAnsi="楷体" w:eastAsia="仿宋_GB2312"/>
                <w:b/>
                <w:bCs/>
                <w:sz w:val="30"/>
                <w:szCs w:val="30"/>
                <w:highlight w:val="none"/>
              </w:rPr>
            </w:pPr>
            <w:r>
              <w:rPr>
                <w:rFonts w:hint="eastAsia" w:ascii="仿宋_GB2312" w:hAnsi="楷体" w:eastAsia="仿宋_GB2312"/>
                <w:b/>
                <w:bCs/>
                <w:sz w:val="30"/>
                <w:szCs w:val="30"/>
                <w:highlight w:val="none"/>
              </w:rPr>
              <w:t>最大饲养密度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972" w:type="dxa"/>
            <w:tcBorders>
              <w:right w:val="single" w:color="auto" w:sz="4" w:space="0"/>
            </w:tcBorders>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1</w:t>
            </w:r>
          </w:p>
        </w:tc>
        <w:tc>
          <w:tcPr>
            <w:tcW w:w="3667" w:type="dxa"/>
            <w:gridSpan w:val="2"/>
            <w:tcBorders>
              <w:left w:val="single" w:color="auto" w:sz="4" w:space="0"/>
            </w:tcBorders>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肉鸡</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8000只/亩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72" w:type="dxa"/>
            <w:vMerge w:val="restart"/>
            <w:tcBorders>
              <w:right w:val="single" w:color="auto" w:sz="4" w:space="0"/>
            </w:tcBorders>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2</w:t>
            </w:r>
          </w:p>
        </w:tc>
        <w:tc>
          <w:tcPr>
            <w:tcW w:w="973" w:type="dxa"/>
            <w:vMerge w:val="restart"/>
            <w:tcBorders>
              <w:left w:val="single" w:color="auto" w:sz="4" w:space="0"/>
            </w:tcBorders>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蛋鸡</w:t>
            </w:r>
          </w:p>
        </w:tc>
        <w:tc>
          <w:tcPr>
            <w:tcW w:w="2694"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幼鸡</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13000只/亩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972" w:type="dxa"/>
            <w:vMerge w:val="continue"/>
            <w:tcBorders>
              <w:right w:val="single" w:color="auto" w:sz="4" w:space="0"/>
            </w:tcBorders>
            <w:noWrap w:val="0"/>
            <w:vAlign w:val="center"/>
          </w:tcPr>
          <w:p>
            <w:pPr>
              <w:spacing w:line="560" w:lineRule="exact"/>
              <w:jc w:val="center"/>
              <w:rPr>
                <w:rFonts w:ascii="仿宋_GB2312" w:hAnsi="楷体" w:eastAsia="仿宋_GB2312"/>
                <w:sz w:val="30"/>
                <w:szCs w:val="30"/>
                <w:highlight w:val="none"/>
              </w:rPr>
            </w:pPr>
          </w:p>
        </w:tc>
        <w:tc>
          <w:tcPr>
            <w:tcW w:w="973" w:type="dxa"/>
            <w:vMerge w:val="continue"/>
            <w:tcBorders>
              <w:left w:val="single" w:color="auto" w:sz="4" w:space="0"/>
            </w:tcBorders>
            <w:noWrap w:val="0"/>
            <w:vAlign w:val="center"/>
          </w:tcPr>
          <w:p>
            <w:pPr>
              <w:spacing w:line="560" w:lineRule="exact"/>
              <w:jc w:val="center"/>
              <w:rPr>
                <w:rFonts w:ascii="仿宋_GB2312" w:hAnsi="楷体" w:eastAsia="仿宋_GB2312"/>
                <w:sz w:val="30"/>
                <w:szCs w:val="30"/>
                <w:highlight w:val="none"/>
              </w:rPr>
            </w:pPr>
          </w:p>
        </w:tc>
        <w:tc>
          <w:tcPr>
            <w:tcW w:w="2694"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成年鸡</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6600只/亩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972" w:type="dxa"/>
            <w:vMerge w:val="continue"/>
            <w:tcBorders>
              <w:right w:val="single" w:color="auto" w:sz="4" w:space="0"/>
            </w:tcBorders>
            <w:noWrap w:val="0"/>
            <w:vAlign w:val="center"/>
          </w:tcPr>
          <w:p>
            <w:pPr>
              <w:spacing w:line="560" w:lineRule="exact"/>
              <w:jc w:val="center"/>
              <w:rPr>
                <w:rFonts w:ascii="仿宋_GB2312" w:hAnsi="楷体" w:eastAsia="仿宋_GB2312"/>
                <w:sz w:val="30"/>
                <w:szCs w:val="30"/>
                <w:highlight w:val="none"/>
              </w:rPr>
            </w:pPr>
          </w:p>
        </w:tc>
        <w:tc>
          <w:tcPr>
            <w:tcW w:w="973" w:type="dxa"/>
            <w:vMerge w:val="continue"/>
            <w:tcBorders>
              <w:left w:val="single" w:color="auto" w:sz="4" w:space="0"/>
            </w:tcBorders>
            <w:noWrap w:val="0"/>
            <w:vAlign w:val="center"/>
          </w:tcPr>
          <w:p>
            <w:pPr>
              <w:spacing w:line="560" w:lineRule="exact"/>
              <w:jc w:val="center"/>
              <w:rPr>
                <w:rFonts w:ascii="仿宋_GB2312" w:hAnsi="楷体" w:eastAsia="仿宋_GB2312"/>
                <w:sz w:val="30"/>
                <w:szCs w:val="30"/>
                <w:highlight w:val="none"/>
              </w:rPr>
            </w:pPr>
          </w:p>
        </w:tc>
        <w:tc>
          <w:tcPr>
            <w:tcW w:w="2694"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三层笼养成鸡</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10667只/亩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972" w:type="dxa"/>
            <w:vMerge w:val="continue"/>
            <w:tcBorders>
              <w:right w:val="single" w:color="auto" w:sz="4" w:space="0"/>
            </w:tcBorders>
            <w:noWrap w:val="0"/>
            <w:vAlign w:val="center"/>
          </w:tcPr>
          <w:p>
            <w:pPr>
              <w:spacing w:line="560" w:lineRule="exact"/>
              <w:jc w:val="center"/>
              <w:rPr>
                <w:rFonts w:ascii="仿宋_GB2312" w:hAnsi="楷体" w:eastAsia="仿宋_GB2312"/>
                <w:sz w:val="30"/>
                <w:szCs w:val="30"/>
                <w:highlight w:val="none"/>
              </w:rPr>
            </w:pPr>
          </w:p>
        </w:tc>
        <w:tc>
          <w:tcPr>
            <w:tcW w:w="973" w:type="dxa"/>
            <w:vMerge w:val="continue"/>
            <w:tcBorders>
              <w:left w:val="single" w:color="auto" w:sz="4" w:space="0"/>
            </w:tcBorders>
            <w:noWrap w:val="0"/>
            <w:vAlign w:val="center"/>
          </w:tcPr>
          <w:p>
            <w:pPr>
              <w:spacing w:line="560" w:lineRule="exact"/>
              <w:jc w:val="center"/>
              <w:rPr>
                <w:rFonts w:ascii="仿宋_GB2312" w:hAnsi="楷体" w:eastAsia="仿宋_GB2312"/>
                <w:sz w:val="30"/>
                <w:szCs w:val="30"/>
                <w:highlight w:val="none"/>
              </w:rPr>
            </w:pPr>
          </w:p>
        </w:tc>
        <w:tc>
          <w:tcPr>
            <w:tcW w:w="2694"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四层笼养成鸡</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13333只/亩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72"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3</w:t>
            </w:r>
          </w:p>
        </w:tc>
        <w:tc>
          <w:tcPr>
            <w:tcW w:w="3667" w:type="dxa"/>
            <w:gridSpan w:val="2"/>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生猪</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440头/亩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72"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4</w:t>
            </w:r>
          </w:p>
        </w:tc>
        <w:tc>
          <w:tcPr>
            <w:tcW w:w="3667" w:type="dxa"/>
            <w:gridSpan w:val="2"/>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肉羊</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660只/亩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972"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5</w:t>
            </w:r>
          </w:p>
        </w:tc>
        <w:tc>
          <w:tcPr>
            <w:tcW w:w="3667" w:type="dxa"/>
            <w:gridSpan w:val="2"/>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奶牛</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35头/亩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72"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6</w:t>
            </w:r>
          </w:p>
        </w:tc>
        <w:tc>
          <w:tcPr>
            <w:tcW w:w="3667" w:type="dxa"/>
            <w:gridSpan w:val="2"/>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肉牛</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66头/亩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72"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7</w:t>
            </w:r>
          </w:p>
        </w:tc>
        <w:tc>
          <w:tcPr>
            <w:tcW w:w="3667" w:type="dxa"/>
            <w:gridSpan w:val="2"/>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鸭</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3000只/亩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972"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8</w:t>
            </w:r>
          </w:p>
        </w:tc>
        <w:tc>
          <w:tcPr>
            <w:tcW w:w="3667" w:type="dxa"/>
            <w:gridSpan w:val="2"/>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鹅</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1500只/亩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72"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9</w:t>
            </w:r>
          </w:p>
        </w:tc>
        <w:tc>
          <w:tcPr>
            <w:tcW w:w="3667" w:type="dxa"/>
            <w:gridSpan w:val="2"/>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兔子</w:t>
            </w:r>
          </w:p>
        </w:tc>
        <w:tc>
          <w:tcPr>
            <w:tcW w:w="3559" w:type="dxa"/>
            <w:noWrap w:val="0"/>
            <w:vAlign w:val="center"/>
          </w:tcPr>
          <w:p>
            <w:pPr>
              <w:spacing w:line="560" w:lineRule="exact"/>
              <w:jc w:val="center"/>
              <w:rPr>
                <w:rFonts w:ascii="仿宋_GB2312" w:hAnsi="楷体" w:eastAsia="仿宋_GB2312"/>
                <w:sz w:val="30"/>
                <w:szCs w:val="30"/>
                <w:highlight w:val="none"/>
              </w:rPr>
            </w:pPr>
            <w:r>
              <w:rPr>
                <w:rFonts w:hint="eastAsia" w:ascii="仿宋_GB2312" w:hAnsi="楷体" w:eastAsia="仿宋_GB2312"/>
                <w:sz w:val="30"/>
                <w:szCs w:val="30"/>
                <w:highlight w:val="none"/>
              </w:rPr>
              <w:t>5000只/亩</w:t>
            </w:r>
          </w:p>
        </w:tc>
      </w:tr>
    </w:tbl>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（3）畜禽补助标准</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畜禽按照本方案附件4标准执行。</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（4）拆迁补助后畜禽由被拆迁人自行处理。</w:t>
      </w:r>
    </w:p>
    <w:p>
      <w:pPr>
        <w:spacing w:line="560" w:lineRule="exact"/>
        <w:ind w:firstLine="640" w:firstLineChars="200"/>
        <w:rPr>
          <w:rFonts w:hint="eastAsia"/>
          <w:highlight w:val="none"/>
          <w:lang w:val="en-US" w:eastAsia="zh-CN"/>
        </w:rPr>
      </w:pPr>
      <w:r>
        <w:rPr>
          <w:rFonts w:hint="eastAsia" w:ascii="仿宋_GB2312" w:hAnsi="楷体_GB2312" w:eastAsia="仿宋_GB2312" w:cs="楷体_GB2312"/>
          <w:sz w:val="32"/>
          <w:szCs w:val="32"/>
          <w:highlight w:val="none"/>
          <w:lang w:val="en-US" w:eastAsia="zh-CN"/>
        </w:rPr>
        <w:t>（5）本标准未列入项目，评估公司依据相关法律法规，按照市场价格结合具体情况进行评估作价，由属地政府进行审核后报联席会审定。</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3.搬迁费</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按照合法批准文件载明或经认定的房屋建筑面积每平方米50元计算。</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4.各项移机、移装费</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（1）每部电话、宽带移机费235元；</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（2）有线电视移装费300元；</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（3）每台空调移装费400元；</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rPr>
        <w:t>（4）每个热水器移装费300元。</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5.取得合法有效的营业执照，且标明的营业场所与被拆迁位置一致的，按照每个被拆迁人每个营业执照3万元给予补助，同一被拆迁人在同一被拆迁位置取得多个营业执照的，按一个营业执照补助。</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（三）奖励标准</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工程配合奖：按照所占土地面积计算，具体标准如下：被拆迁人在签约公告发布的签约公告期限内签约的，给予4万元/亩的奖励；未按签约公告期限签约的，不享受奖励。</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（四）工程必要配套用地涉及的永久用地、临时用地补偿</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工程必要的配套用地分为永久用地及临时用地，给予土地、地上物补偿及工程配合奖。</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永久用地按照《北京市人民政府关于重新公布〈北京市征收农用地区片综合地价标准〉的通知》（京政发〔2024〕15号）给予补偿，不进行人员安置；地上物补偿标准与红线内补偿标准一致。</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临时占地土地补偿标准为：1500元/亩/年，补偿期限为自签订补偿协议起2年，不足2年的按2年给予补偿。临时占地补偿期限如超过2年，则按照实际占用时间计算，按1500元/亩/年的标准支付相关费用。地上物及工程配合奖补偿标准与红线内补偿标准一致。</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条</w:t>
      </w:r>
      <w:r>
        <w:rPr>
          <w:rFonts w:hint="eastAsia" w:ascii="仿宋_GB2312" w:hAnsi="楷体_GB2312" w:eastAsia="仿宋_GB2312" w:cs="楷体_GB2312"/>
          <w:sz w:val="32"/>
          <w:szCs w:val="32"/>
          <w:highlight w:val="none"/>
        </w:rPr>
        <w:t xml:space="preserve"> 跨越占地红线的房屋（大棚）、院落等地上物补偿标准</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跨越占地红线的房屋（大棚）及院落以实施单位认定并公示的面积为准，对其地上物给予补偿，红线内、外补偿标准一致（红线外部分不享受工程配合奖）。</w:t>
      </w:r>
    </w:p>
    <w:p>
      <w:pPr>
        <w:spacing w:line="560" w:lineRule="exact"/>
        <w:ind w:firstLine="640" w:firstLineChars="200"/>
        <w:jc w:val="left"/>
        <w:rPr>
          <w:rFonts w:hint="eastAsia" w:ascii="仿宋_GB2312" w:hAnsi="仿宋_GB2312" w:eastAsia="仿宋_GB2312" w:cs="仿宋_GB2312"/>
          <w:kern w:val="0"/>
          <w:sz w:val="32"/>
          <w:szCs w:val="32"/>
          <w:highlight w:val="none"/>
          <w:lang w:bidi="ar"/>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十四</w:t>
      </w:r>
      <w:r>
        <w:rPr>
          <w:rFonts w:hint="eastAsia" w:ascii="黑体" w:hAnsi="黑体" w:eastAsia="黑体" w:cs="黑体"/>
          <w:sz w:val="32"/>
          <w:szCs w:val="32"/>
          <w:highlight w:val="none"/>
        </w:rPr>
        <w:t xml:space="preserve">条 </w:t>
      </w:r>
      <w:r>
        <w:rPr>
          <w:rFonts w:hint="eastAsia" w:ascii="仿宋_GB2312" w:hAnsi="仿宋_GB2312" w:eastAsia="仿宋_GB2312" w:cs="仿宋_GB2312"/>
          <w:kern w:val="0"/>
          <w:sz w:val="32"/>
          <w:szCs w:val="32"/>
          <w:highlight w:val="none"/>
          <w:lang w:bidi="ar"/>
        </w:rPr>
        <w:t>边角地的认定：同一被拆迁人所属的地块范围内，因本项目征地红线占用后形成的面积小于100平方米（含）的剩余地块属于边角地。</w:t>
      </w:r>
    </w:p>
    <w:p>
      <w:pPr>
        <w:spacing w:line="560" w:lineRule="exact"/>
        <w:ind w:firstLine="640" w:firstLineChars="200"/>
        <w:jc w:val="left"/>
        <w:rPr>
          <w:rFonts w:hint="eastAsia" w:ascii="黑体" w:hAnsi="黑体" w:eastAsia="黑体" w:cs="黑体"/>
          <w:b w:val="0"/>
          <w:bCs w:val="0"/>
          <w:sz w:val="32"/>
          <w:szCs w:val="32"/>
          <w:highlight w:val="none"/>
        </w:rPr>
      </w:pPr>
      <w:r>
        <w:rPr>
          <w:rFonts w:hint="eastAsia" w:ascii="仿宋_GB2312" w:hAnsi="仿宋_GB2312" w:eastAsia="仿宋_GB2312" w:cs="仿宋_GB2312"/>
          <w:kern w:val="0"/>
          <w:sz w:val="32"/>
          <w:szCs w:val="32"/>
          <w:highlight w:val="none"/>
          <w:lang w:bidi="ar"/>
        </w:rPr>
        <w:t>边角地的补偿：不对地上物进行补偿，不享受奖励，对涉及的边角地按照1500元/亩/年，补偿至该地块本轮土地承包期限终止之日。被拆迁人为村集体的不予补偿。</w:t>
      </w:r>
    </w:p>
    <w:p>
      <w:pPr>
        <w:spacing w:line="560" w:lineRule="exact"/>
        <w:ind w:firstLine="640" w:firstLineChars="200"/>
        <w:rPr>
          <w:rFonts w:ascii="仿宋_GB2312" w:hAnsi="楷体_GB2312" w:eastAsia="仿宋_GB2312" w:cs="楷体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十五</w:t>
      </w:r>
      <w:r>
        <w:rPr>
          <w:rFonts w:hint="eastAsia" w:ascii="黑体" w:hAnsi="黑体" w:eastAsia="黑体" w:cs="黑体"/>
          <w:b w:val="0"/>
          <w:bCs w:val="0"/>
          <w:sz w:val="32"/>
          <w:szCs w:val="32"/>
          <w:highlight w:val="none"/>
        </w:rPr>
        <w:t>条</w:t>
      </w:r>
      <w:r>
        <w:rPr>
          <w:rFonts w:hint="eastAsia" w:ascii="仿宋_GB2312" w:hAnsi="楷体_GB2312" w:eastAsia="仿宋_GB2312" w:cs="楷体_GB2312"/>
          <w:sz w:val="32"/>
          <w:szCs w:val="32"/>
          <w:highlight w:val="none"/>
        </w:rPr>
        <w:t xml:space="preserve"> 项目范围涉及北京中关村密云园发展集团有限公司征为国有用地但未给予征地补偿地块上的耕地、果园、林地、设施农业、房屋及其他地上附着物拆迁补偿参照本章执行。</w:t>
      </w:r>
    </w:p>
    <w:p>
      <w:pPr>
        <w:spacing w:line="560" w:lineRule="exact"/>
        <w:jc w:val="center"/>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 xml:space="preserve">章 其 </w:t>
      </w:r>
      <w:r>
        <w:rPr>
          <w:rFonts w:hint="eastAsia" w:ascii="黑体" w:hAnsi="黑体" w:eastAsia="黑体" w:cs="黑体"/>
          <w:b w:val="0"/>
          <w:bCs w:val="0"/>
          <w:sz w:val="32"/>
          <w:szCs w:val="32"/>
          <w:highlight w:val="none"/>
          <w:lang w:eastAsia="zh-CN"/>
        </w:rPr>
        <w:t>他</w:t>
      </w:r>
    </w:p>
    <w:p>
      <w:pPr>
        <w:spacing w:line="560" w:lineRule="exact"/>
        <w:ind w:firstLine="640" w:firstLineChars="200"/>
        <w:rPr>
          <w:rFonts w:hint="eastAsia" w:ascii="仿宋_GB2312" w:hAnsi="楷体_GB2312" w:eastAsia="仿宋_GB2312" w:cs="楷体_GB2312"/>
          <w:color w:val="00000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十六</w:t>
      </w:r>
      <w:r>
        <w:rPr>
          <w:rFonts w:hint="eastAsia" w:ascii="黑体" w:hAnsi="黑体" w:eastAsia="黑体" w:cs="黑体"/>
          <w:b w:val="0"/>
          <w:bCs w:val="0"/>
          <w:sz w:val="32"/>
          <w:szCs w:val="32"/>
          <w:highlight w:val="none"/>
        </w:rPr>
        <w:t>条</w:t>
      </w:r>
      <w:r>
        <w:rPr>
          <w:rFonts w:hint="eastAsia" w:ascii="仿宋_GB2312" w:hAnsi="楷体_GB2312" w:eastAsia="仿宋_GB2312" w:cs="楷体_GB2312"/>
          <w:color w:val="000000"/>
          <w:sz w:val="32"/>
          <w:szCs w:val="32"/>
          <w:highlight w:val="none"/>
        </w:rPr>
        <w:t xml:space="preserve"> 各项目涉及北京中关村密云园发展集团有限公司已办理征地手续的土地，其土地由建设单位无偿使用。</w:t>
      </w:r>
    </w:p>
    <w:p>
      <w:pPr>
        <w:spacing w:line="560" w:lineRule="exact"/>
        <w:ind w:firstLine="640" w:firstLineChars="200"/>
        <w:rPr>
          <w:rFonts w:ascii="仿宋_GB2312" w:hAnsi="楷体_GB2312" w:eastAsia="仿宋_GB2312" w:cs="楷体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十七</w:t>
      </w:r>
      <w:r>
        <w:rPr>
          <w:rFonts w:hint="eastAsia" w:ascii="黑体" w:hAnsi="黑体" w:eastAsia="黑体" w:cs="黑体"/>
          <w:b w:val="0"/>
          <w:bCs w:val="0"/>
          <w:sz w:val="32"/>
          <w:szCs w:val="32"/>
          <w:highlight w:val="none"/>
        </w:rPr>
        <w:t>条</w:t>
      </w:r>
      <w:r>
        <w:rPr>
          <w:rFonts w:hint="eastAsia" w:ascii="仿宋_GB2312" w:hAnsi="楷体_GB2312" w:eastAsia="仿宋_GB2312" w:cs="楷体_GB2312"/>
          <w:sz w:val="32"/>
          <w:szCs w:val="32"/>
          <w:highlight w:val="none"/>
        </w:rPr>
        <w:t xml:space="preserve"> 服务公司的选取</w:t>
      </w:r>
    </w:p>
    <w:p>
      <w:pPr>
        <w:spacing w:line="560" w:lineRule="exact"/>
        <w:ind w:firstLine="640" w:firstLineChars="200"/>
        <w:rPr>
          <w:rFonts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由实施单位负责项目拆迁范围内的拆迁、评估、拆除等服务公司的选取工作。</w:t>
      </w:r>
    </w:p>
    <w:p>
      <w:pPr>
        <w:spacing w:line="560" w:lineRule="exact"/>
        <w:ind w:firstLine="640" w:firstLineChars="200"/>
        <w:rPr>
          <w:rFonts w:ascii="仿宋_GB2312" w:hAnsi="楷体_GB2312" w:eastAsia="仿宋_GB2312" w:cs="楷体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十八</w:t>
      </w:r>
      <w:r>
        <w:rPr>
          <w:rFonts w:hint="eastAsia" w:ascii="黑体" w:hAnsi="黑体" w:eastAsia="黑体" w:cs="黑体"/>
          <w:b w:val="0"/>
          <w:bCs w:val="0"/>
          <w:sz w:val="32"/>
          <w:szCs w:val="32"/>
          <w:highlight w:val="none"/>
        </w:rPr>
        <w:t>条</w:t>
      </w:r>
      <w:r>
        <w:rPr>
          <w:rFonts w:hint="eastAsia" w:ascii="仿宋_GB2312" w:hAnsi="楷体_GB2312" w:eastAsia="仿宋_GB2312" w:cs="楷体_GB2312"/>
          <w:sz w:val="32"/>
          <w:szCs w:val="32"/>
          <w:highlight w:val="none"/>
        </w:rPr>
        <w:t xml:space="preserve"> 为了保证项目的公平和公正，由</w:t>
      </w:r>
      <w:r>
        <w:rPr>
          <w:rFonts w:hint="eastAsia" w:ascii="仿宋_GB2312" w:hAnsi="楷体_GB2312" w:eastAsia="仿宋_GB2312" w:cs="楷体_GB2312"/>
          <w:sz w:val="32"/>
          <w:szCs w:val="32"/>
          <w:highlight w:val="none"/>
          <w:lang w:eastAsia="zh-CN"/>
        </w:rPr>
        <w:t>区城市管理委</w:t>
      </w:r>
      <w:r>
        <w:rPr>
          <w:rFonts w:hint="eastAsia" w:ascii="仿宋_GB2312" w:hAnsi="楷体_GB2312" w:eastAsia="仿宋_GB2312" w:cs="楷体_GB2312"/>
          <w:sz w:val="32"/>
          <w:szCs w:val="32"/>
          <w:highlight w:val="none"/>
        </w:rPr>
        <w:t>负责聘请专业的第三方测绘、审计、管理公司、律师事务所等对各项目进行全过程测绘、跟踪审计、项目管理和法律服务工作。</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十九</w:t>
      </w:r>
      <w:r>
        <w:rPr>
          <w:rFonts w:hint="eastAsia" w:ascii="黑体" w:hAnsi="黑体" w:eastAsia="黑体" w:cs="黑体"/>
          <w:b w:val="0"/>
          <w:bCs w:val="0"/>
          <w:sz w:val="32"/>
          <w:szCs w:val="32"/>
          <w:highlight w:val="none"/>
        </w:rPr>
        <w:t>条</w:t>
      </w:r>
      <w:r>
        <w:rPr>
          <w:rFonts w:hint="eastAsia" w:ascii="仿宋_GB2312" w:hAnsi="楷体_GB2312" w:eastAsia="仿宋_GB2312" w:cs="楷体_GB2312"/>
          <w:sz w:val="32"/>
          <w:szCs w:val="32"/>
          <w:highlight w:val="none"/>
        </w:rPr>
        <w:t xml:space="preserve"> 拆改移工作由</w:t>
      </w:r>
      <w:r>
        <w:rPr>
          <w:rFonts w:hint="eastAsia" w:ascii="仿宋_GB2312" w:hAnsi="楷体_GB2312" w:eastAsia="仿宋_GB2312" w:cs="楷体_GB2312"/>
          <w:sz w:val="32"/>
          <w:szCs w:val="32"/>
          <w:highlight w:val="none"/>
          <w:lang w:val="en-US" w:eastAsia="zh-CN"/>
        </w:rPr>
        <w:t>牵头单位</w:t>
      </w:r>
      <w:r>
        <w:rPr>
          <w:rFonts w:hint="eastAsia" w:ascii="仿宋_GB2312" w:hAnsi="楷体_GB2312" w:eastAsia="仿宋_GB2312" w:cs="楷体_GB2312"/>
          <w:sz w:val="32"/>
          <w:szCs w:val="32"/>
          <w:highlight w:val="none"/>
        </w:rPr>
        <w:t>负责聘请第三方设计、监理及施工单位，进行预算评审，最终按照实际发生的工作量报区财政进行结算评审，评审结果作为结算依据。</w:t>
      </w:r>
    </w:p>
    <w:p>
      <w:pPr>
        <w:spacing w:line="560" w:lineRule="exact"/>
        <w:ind w:firstLine="640" w:firstLineChars="200"/>
        <w:rPr>
          <w:rFonts w:hint="eastAsia" w:ascii="仿宋_GB2312" w:hAnsi="楷体_GB2312" w:eastAsia="仿宋_GB2312" w:cs="楷体_GB2312"/>
          <w:sz w:val="32"/>
          <w:szCs w:val="32"/>
          <w:highlight w:val="none"/>
          <w:lang w:val="en-US" w:eastAsia="zh-CN"/>
        </w:rPr>
      </w:pPr>
      <w:r>
        <w:rPr>
          <w:rFonts w:hint="default" w:ascii="黑体" w:hAnsi="黑体" w:eastAsia="黑体" w:cs="黑体"/>
          <w:b w:val="0"/>
          <w:bCs w:val="0"/>
          <w:sz w:val="32"/>
          <w:szCs w:val="32"/>
          <w:highlight w:val="none"/>
          <w:lang w:val="en-US" w:eastAsia="zh-CN"/>
        </w:rPr>
        <w:t xml:space="preserve">第二十条 </w:t>
      </w:r>
      <w:r>
        <w:rPr>
          <w:rFonts w:hint="default" w:ascii="仿宋_GB2312" w:hAnsi="楷体_GB2312" w:eastAsia="仿宋_GB2312" w:cs="楷体_GB2312"/>
          <w:sz w:val="32"/>
          <w:szCs w:val="32"/>
          <w:highlight w:val="none"/>
          <w:lang w:val="en-US" w:eastAsia="zh-CN"/>
        </w:rPr>
        <w:t>云西</w:t>
      </w:r>
      <w:r>
        <w:rPr>
          <w:rFonts w:hint="eastAsia" w:ascii="仿宋_GB2312" w:hAnsi="楷体_GB2312" w:eastAsia="仿宋_GB2312" w:cs="楷体_GB2312"/>
          <w:sz w:val="32"/>
          <w:szCs w:val="32"/>
          <w:highlight w:val="none"/>
          <w:lang w:val="en-US" w:eastAsia="zh-CN"/>
        </w:rPr>
        <w:t>九街</w:t>
      </w:r>
      <w:r>
        <w:rPr>
          <w:rFonts w:hint="default" w:ascii="仿宋_GB2312" w:hAnsi="楷体_GB2312" w:eastAsia="仿宋_GB2312" w:cs="楷体_GB2312"/>
          <w:sz w:val="32"/>
          <w:szCs w:val="32"/>
          <w:highlight w:val="none"/>
          <w:lang w:val="en-US" w:eastAsia="zh-CN"/>
        </w:rPr>
        <w:t>道路工程红线内涉及部分地上物已</w:t>
      </w:r>
      <w:r>
        <w:rPr>
          <w:rFonts w:hint="eastAsia" w:ascii="仿宋_GB2312" w:hAnsi="楷体_GB2312" w:eastAsia="仿宋_GB2312" w:cs="楷体_GB2312"/>
          <w:sz w:val="32"/>
          <w:szCs w:val="32"/>
          <w:highlight w:val="none"/>
          <w:lang w:val="en-US" w:eastAsia="zh-CN"/>
        </w:rPr>
        <w:t>在科学城集租房项目中由十里堡镇政府补偿</w:t>
      </w:r>
      <w:r>
        <w:rPr>
          <w:rFonts w:hint="default" w:ascii="仿宋_GB2312" w:hAnsi="楷体_GB2312" w:eastAsia="仿宋_GB2312" w:cs="楷体_GB2312"/>
          <w:sz w:val="32"/>
          <w:szCs w:val="32"/>
          <w:highlight w:val="none"/>
          <w:lang w:val="en-US" w:eastAsia="zh-CN"/>
        </w:rPr>
        <w:t>，</w:t>
      </w:r>
      <w:r>
        <w:rPr>
          <w:rFonts w:hint="eastAsia" w:ascii="仿宋_GB2312" w:hAnsi="楷体_GB2312" w:eastAsia="仿宋_GB2312" w:cs="楷体_GB2312"/>
          <w:sz w:val="32"/>
          <w:szCs w:val="32"/>
          <w:highlight w:val="none"/>
          <w:lang w:val="en-US" w:eastAsia="zh-CN"/>
        </w:rPr>
        <w:t>本项目与科学城集租房重叠的土地地上物补偿费及相关服务费由本项目承担，</w:t>
      </w:r>
      <w:r>
        <w:rPr>
          <w:rFonts w:hint="default" w:ascii="仿宋_GB2312" w:hAnsi="楷体_GB2312" w:eastAsia="仿宋_GB2312" w:cs="楷体_GB2312"/>
          <w:sz w:val="32"/>
          <w:szCs w:val="32"/>
          <w:highlight w:val="none"/>
          <w:lang w:val="en-US" w:eastAsia="zh-CN"/>
        </w:rPr>
        <w:t>费用从云西九街道路工程拆迁费中列支。</w:t>
      </w:r>
    </w:p>
    <w:p>
      <w:pPr>
        <w:spacing w:line="560" w:lineRule="exact"/>
        <w:ind w:firstLine="640" w:firstLineChars="200"/>
        <w:rPr>
          <w:rFonts w:hint="default" w:ascii="仿宋_GB2312" w:hAnsi="楷体_GB2312" w:eastAsia="仿宋_GB2312" w:cs="楷体_GB2312"/>
          <w:sz w:val="32"/>
          <w:szCs w:val="32"/>
          <w:highlight w:val="none"/>
          <w:lang w:val="en-US" w:eastAsia="zh-CN"/>
        </w:rPr>
      </w:pPr>
      <w:r>
        <w:rPr>
          <w:rFonts w:hint="eastAsia" w:ascii="仿宋_GB2312" w:hAnsi="楷体_GB2312" w:eastAsia="仿宋_GB2312" w:cs="楷体_GB2312"/>
          <w:sz w:val="32"/>
          <w:szCs w:val="32"/>
          <w:highlight w:val="none"/>
          <w:lang w:val="en-US" w:eastAsia="zh-CN"/>
        </w:rPr>
        <w:t>该部分地上物补偿费及相关服务费按如下标准计算：按照科学城集租房项目审计后的地上物补偿费及相关服务费总额除以科学城集租房项目总占地面积，乘以本项目与科学城集租房重叠的土地面积计算。</w:t>
      </w:r>
    </w:p>
    <w:p>
      <w:pPr>
        <w:spacing w:line="560" w:lineRule="exact"/>
        <w:ind w:firstLine="640" w:firstLineChars="200"/>
        <w:rPr>
          <w:rFonts w:ascii="仿宋_GB2312" w:hAnsi="楷体_GB2312" w:eastAsia="仿宋_GB2312" w:cs="楷体_GB2312"/>
          <w:color w:val="000000"/>
          <w:sz w:val="32"/>
          <w:szCs w:val="32"/>
          <w:highlight w:val="none"/>
        </w:rPr>
      </w:pPr>
      <w:bookmarkStart w:id="2" w:name="_GoBack"/>
      <w:bookmarkEnd w:id="2"/>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二十一</w:t>
      </w:r>
      <w:r>
        <w:rPr>
          <w:rFonts w:hint="eastAsia" w:ascii="黑体" w:hAnsi="黑体" w:eastAsia="黑体" w:cs="黑体"/>
          <w:b w:val="0"/>
          <w:bCs w:val="0"/>
          <w:sz w:val="32"/>
          <w:szCs w:val="32"/>
          <w:highlight w:val="none"/>
        </w:rPr>
        <w:t xml:space="preserve">条 </w:t>
      </w:r>
      <w:r>
        <w:rPr>
          <w:rFonts w:hint="eastAsia" w:ascii="仿宋_GB2312" w:hAnsi="楷体_GB2312" w:eastAsia="仿宋_GB2312" w:cs="楷体_GB2312"/>
          <w:color w:val="000000"/>
          <w:sz w:val="32"/>
          <w:szCs w:val="32"/>
          <w:highlight w:val="none"/>
        </w:rPr>
        <w:t>各项目拆迁未尽事宜，由牵头部门报区政府审议。</w:t>
      </w:r>
    </w:p>
    <w:p>
      <w:pPr>
        <w:spacing w:line="560" w:lineRule="exact"/>
        <w:ind w:firstLine="640" w:firstLineChars="200"/>
        <w:rPr>
          <w:rFonts w:hint="eastAsia" w:ascii="仿宋_GB2312" w:hAnsi="楷体_GB2312" w:eastAsia="仿宋_GB2312" w:cs="楷体_GB2312"/>
          <w:sz w:val="32"/>
          <w:szCs w:val="32"/>
          <w:highlight w:val="none"/>
        </w:rPr>
      </w:pPr>
      <w:r>
        <w:rPr>
          <w:rFonts w:hint="eastAsia" w:ascii="黑体" w:hAnsi="黑体" w:eastAsia="黑体" w:cs="黑体"/>
          <w:b w:val="0"/>
          <w:bCs w:val="0"/>
          <w:sz w:val="32"/>
          <w:szCs w:val="32"/>
          <w:highlight w:val="none"/>
        </w:rPr>
        <w:t>第二十</w:t>
      </w: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条</w:t>
      </w:r>
      <w:r>
        <w:rPr>
          <w:rFonts w:hint="eastAsia" w:ascii="仿宋_GB2312" w:hAnsi="楷体_GB2312" w:eastAsia="仿宋_GB2312" w:cs="楷体_GB2312"/>
          <w:sz w:val="32"/>
          <w:szCs w:val="32"/>
          <w:highlight w:val="none"/>
        </w:rPr>
        <w:t xml:space="preserve"> 本方案自区政府常务会审议通过后实施，实施单位可依据本方案开展补偿协议签订工作。</w:t>
      </w:r>
    </w:p>
    <w:p>
      <w:pPr>
        <w:spacing w:line="560" w:lineRule="exact"/>
        <w:ind w:firstLine="640" w:firstLineChars="200"/>
        <w:rPr>
          <w:rFonts w:hint="eastAsia" w:ascii="仿宋_GB2312" w:hAnsi="楷体_GB2312" w:eastAsia="仿宋_GB2312" w:cs="楷体_GB2312"/>
          <w:sz w:val="32"/>
          <w:szCs w:val="32"/>
          <w:highlight w:val="none"/>
        </w:rPr>
      </w:pPr>
    </w:p>
    <w:p>
      <w:pPr>
        <w:pStyle w:val="13"/>
        <w:ind w:left="0" w:leftChars="0" w:firstLine="0" w:firstLineChars="0"/>
        <w:rPr>
          <w:rFonts w:hint="eastAsia" w:ascii="黑体" w:hAnsi="黑体" w:eastAsia="黑体" w:cs="方正黑体_GBK"/>
          <w:sz w:val="32"/>
          <w:szCs w:val="32"/>
          <w:highlight w:val="none"/>
        </w:rPr>
      </w:pPr>
      <w:r>
        <w:rPr>
          <w:rFonts w:hint="eastAsia"/>
          <w:highlight w:val="none"/>
        </w:rPr>
        <w:br w:type="page"/>
      </w:r>
      <w:r>
        <w:rPr>
          <w:rFonts w:hint="eastAsia" w:ascii="黑体" w:hAnsi="黑体" w:eastAsia="黑体" w:cs="方正黑体_GBK"/>
          <w:sz w:val="32"/>
          <w:szCs w:val="32"/>
          <w:highlight w:val="none"/>
        </w:rPr>
        <w:t>附件2</w:t>
      </w:r>
    </w:p>
    <w:p>
      <w:pPr>
        <w:spacing w:line="600" w:lineRule="exact"/>
        <w:contextualSpacing/>
        <w:jc w:val="center"/>
        <w:rPr>
          <w:rFonts w:hint="eastAsia" w:ascii="方正小标宋简体" w:eastAsia="方正小标宋简体"/>
          <w:sz w:val="44"/>
          <w:szCs w:val="44"/>
          <w:highlight w:val="none"/>
        </w:rPr>
      </w:pPr>
      <w:bookmarkStart w:id="0" w:name="_Hlk81985553"/>
    </w:p>
    <w:p>
      <w:pPr>
        <w:spacing w:line="600" w:lineRule="exact"/>
        <w:contextualSpacing/>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林木青苗补偿标准</w:t>
      </w:r>
    </w:p>
    <w:p>
      <w:pPr>
        <w:spacing w:line="560" w:lineRule="exact"/>
        <w:ind w:firstLine="640" w:firstLineChars="200"/>
        <w:rPr>
          <w:rFonts w:ascii="仿宋_GB2312" w:hAnsi="宋体" w:eastAsia="仿宋_GB2312"/>
          <w:sz w:val="32"/>
          <w:szCs w:val="32"/>
          <w:highlight w:val="none"/>
        </w:rPr>
      </w:pP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为保障</w:t>
      </w:r>
      <w:r>
        <w:rPr>
          <w:rFonts w:hint="eastAsia" w:ascii="仿宋_GB2312" w:hAnsi="宋体" w:eastAsia="仿宋_GB2312"/>
          <w:sz w:val="32"/>
          <w:szCs w:val="32"/>
          <w:highlight w:val="none"/>
          <w:lang w:eastAsia="zh-CN"/>
        </w:rPr>
        <w:t>密云区怀柔科学城东区云西支一街（云西二路－西统路）道路工程等七条道路及大辛庄110千伏输变电工程（站址部分）</w:t>
      </w:r>
      <w:r>
        <w:rPr>
          <w:rFonts w:hint="eastAsia" w:ascii="仿宋_GB2312" w:hAnsi="宋体" w:eastAsia="仿宋_GB2312"/>
          <w:sz w:val="32"/>
          <w:szCs w:val="32"/>
          <w:highlight w:val="none"/>
        </w:rPr>
        <w:t>拆迁补偿工作顺利进行，规范评估行为，依法确定各类林木、青苗、农业设施等评估价，根据《</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北京市森林资源保护管理条例</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实施办法》（北京市人民政府第133号令）、《北京市建设工程计价依据预算定额》（京建发〔2012〕538号）、《北京市人民政府办公厅关于转发市园林绿化局、市国土局</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关于遏止本市基础设施建设征地拆迁过程中抢栽抢种树木苗木行为意见</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（京政办发〔2007〕20号）文件规定，结合各项目实际情况，特制定本补偿标准。</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被拆迁人持有合法有效《林木种子生产经营许可证》且生产地点与备案地址相符的，其栽植密植度按照《北京市人民政府办公厅关于转发市园林绿化局、市国土局</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关于遏止本市基础设施建设征地拆迁过程中抢栽抢种树木苗木行为意见</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（京政办发〔2007〕20号）文件中关于苗圃苗木栽植密植度进行补偿。</w:t>
      </w:r>
    </w:p>
    <w:p>
      <w:pPr>
        <w:spacing w:line="560" w:lineRule="exact"/>
        <w:ind w:firstLine="640" w:firstLineChars="200"/>
        <w:rPr>
          <w:rFonts w:ascii="黑体" w:hAnsi="黑体" w:eastAsia="黑体" w:cs="宋体"/>
          <w:kern w:val="0"/>
          <w:sz w:val="32"/>
          <w:szCs w:val="32"/>
          <w:highlight w:val="none"/>
        </w:rPr>
      </w:pPr>
      <w:r>
        <w:rPr>
          <w:rFonts w:hint="eastAsia" w:ascii="仿宋_GB2312" w:hAnsi="宋体" w:eastAsia="仿宋_GB2312"/>
          <w:sz w:val="32"/>
          <w:szCs w:val="32"/>
          <w:highlight w:val="none"/>
        </w:rPr>
        <w:t>本标准未列入项目，评估公司依据相关法律法规，按照市场价格结合实物具体情况参照相近树种进行评估作价，由属地政府进行审核后报联席会审定</w:t>
      </w:r>
      <w:r>
        <w:rPr>
          <w:rFonts w:hint="eastAsia" w:ascii="仿宋_GB2312" w:hAnsi="方正小标宋简体" w:eastAsia="仿宋_GB2312" w:cs="方正小标宋简体"/>
          <w:bCs/>
          <w:sz w:val="32"/>
          <w:szCs w:val="32"/>
          <w:highlight w:val="none"/>
        </w:rPr>
        <w:t>。</w:t>
      </w:r>
      <w:bookmarkEnd w:id="0"/>
    </w:p>
    <w:p>
      <w:pPr>
        <w:pStyle w:val="6"/>
        <w:ind w:firstLine="640" w:firstLineChars="200"/>
        <w:rPr>
          <w:rFonts w:ascii="黑体" w:hAnsi="黑体" w:eastAsia="黑体" w:cs="宋体"/>
          <w:kern w:val="0"/>
          <w:sz w:val="32"/>
          <w:szCs w:val="32"/>
          <w:highlight w:val="none"/>
        </w:rPr>
      </w:pPr>
    </w:p>
    <w:p>
      <w:pPr>
        <w:pStyle w:val="6"/>
        <w:ind w:firstLine="640" w:firstLineChars="200"/>
        <w:rPr>
          <w:highlight w:val="none"/>
        </w:rPr>
      </w:pPr>
      <w:r>
        <w:rPr>
          <w:rFonts w:ascii="黑体" w:hAnsi="黑体" w:eastAsia="黑体" w:cs="宋体"/>
          <w:kern w:val="0"/>
          <w:sz w:val="32"/>
          <w:szCs w:val="32"/>
          <w:highlight w:val="none"/>
        </w:rPr>
        <w:t>一、材树补偿标准</w:t>
      </w:r>
    </w:p>
    <w:p>
      <w:pPr>
        <w:jc w:val="center"/>
        <w:rPr>
          <w:rFonts w:hint="eastAsia" w:ascii="方正小标宋简体" w:hAnsi="方正小标宋简体" w:eastAsia="方正小标宋简体" w:cs="方正小标宋简体"/>
          <w:b w:val="0"/>
          <w:bCs/>
          <w:kern w:val="0"/>
          <w:sz w:val="32"/>
          <w:szCs w:val="32"/>
          <w:highlight w:val="none"/>
        </w:rPr>
      </w:pPr>
      <w:r>
        <w:rPr>
          <w:rFonts w:hint="eastAsia" w:ascii="方正小标宋简体" w:hAnsi="方正小标宋简体" w:eastAsia="方正小标宋简体" w:cs="方正小标宋简体"/>
          <w:b w:val="0"/>
          <w:bCs/>
          <w:kern w:val="0"/>
          <w:sz w:val="32"/>
          <w:szCs w:val="32"/>
          <w:highlight w:val="none"/>
        </w:rPr>
        <w:t>材树（杨树、榆树、桑树）</w:t>
      </w:r>
    </w:p>
    <w:p>
      <w:pPr>
        <w:pStyle w:val="13"/>
        <w:rPr>
          <w:rFonts w:hint="eastAsia"/>
          <w:highlight w:val="none"/>
        </w:rPr>
      </w:pPr>
    </w:p>
    <w:tbl>
      <w:tblPr>
        <w:tblStyle w:val="17"/>
        <w:tblW w:w="0" w:type="auto"/>
        <w:jc w:val="center"/>
        <w:tblLayout w:type="fixed"/>
        <w:tblCellMar>
          <w:top w:w="0" w:type="dxa"/>
          <w:left w:w="108" w:type="dxa"/>
          <w:bottom w:w="0" w:type="dxa"/>
          <w:right w:w="108" w:type="dxa"/>
        </w:tblCellMar>
      </w:tblPr>
      <w:tblGrid>
        <w:gridCol w:w="1428"/>
        <w:gridCol w:w="1488"/>
        <w:gridCol w:w="1723"/>
        <w:gridCol w:w="1384"/>
        <w:gridCol w:w="1292"/>
        <w:gridCol w:w="1745"/>
      </w:tblGrid>
      <w:tr>
        <w:tblPrEx>
          <w:tblCellMar>
            <w:top w:w="0" w:type="dxa"/>
            <w:left w:w="108" w:type="dxa"/>
            <w:bottom w:w="0" w:type="dxa"/>
            <w:right w:w="108" w:type="dxa"/>
          </w:tblCellMar>
        </w:tblPrEx>
        <w:trPr>
          <w:trHeight w:val="419"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径级（cm）</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标准单价（元）</w:t>
            </w:r>
          </w:p>
        </w:tc>
        <w:tc>
          <w:tcPr>
            <w:tcW w:w="1723" w:type="dxa"/>
            <w:tcBorders>
              <w:top w:val="single" w:color="auto" w:sz="4" w:space="0"/>
              <w:left w:val="nil"/>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最大种植密度</w:t>
            </w:r>
          </w:p>
          <w:p>
            <w:pPr>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（株/亩）</w:t>
            </w:r>
          </w:p>
        </w:tc>
        <w:tc>
          <w:tcPr>
            <w:tcW w:w="13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径级（cm）</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标准单价（元）</w:t>
            </w:r>
          </w:p>
        </w:tc>
        <w:tc>
          <w:tcPr>
            <w:tcW w:w="1745" w:type="dxa"/>
            <w:tcBorders>
              <w:top w:val="single" w:color="auto" w:sz="4" w:space="0"/>
              <w:left w:val="nil"/>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最大种植密度</w:t>
            </w:r>
          </w:p>
          <w:p>
            <w:pPr>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（株/亩）</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胸径＜3</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3"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1900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44</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2023</w:t>
            </w:r>
          </w:p>
        </w:tc>
        <w:tc>
          <w:tcPr>
            <w:tcW w:w="1745"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60</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3-4</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1200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46</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2206</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1000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48</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2388</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17</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666</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50</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2570</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53</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31</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370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52</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2753</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53</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58</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54</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2935</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51</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91</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3117</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51</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131</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167</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58</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3300</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49</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181</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167</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60</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3482</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49</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18</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235</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62</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3664</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47</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312</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64</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3847</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47</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393</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105</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4029</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45</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24</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480</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105</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68</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4211</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45</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26</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592</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4394</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44</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28</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699</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72</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4576</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44</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30</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833</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74</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4758</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43</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32</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970</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76</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4941</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43</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34</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1125</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78</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5123</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42</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36</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1270</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80</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5305</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42</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38</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1443</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65</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82</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5488</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41</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1639</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65</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84</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5670</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w:t>
            </w:r>
          </w:p>
        </w:tc>
      </w:tr>
      <w:tr>
        <w:tblPrEx>
          <w:tblCellMar>
            <w:top w:w="0" w:type="dxa"/>
            <w:left w:w="108" w:type="dxa"/>
            <w:bottom w:w="0" w:type="dxa"/>
            <w:right w:w="108" w:type="dxa"/>
          </w:tblCellMar>
        </w:tblPrEx>
        <w:trPr>
          <w:trHeight w:val="45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42</w:t>
            </w:r>
          </w:p>
        </w:tc>
        <w:tc>
          <w:tcPr>
            <w:tcW w:w="148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1841</w:t>
            </w:r>
          </w:p>
        </w:tc>
        <w:tc>
          <w:tcPr>
            <w:tcW w:w="172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60</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lang w:eastAsia="zh-CN"/>
              </w:rPr>
              <w:t>&gt;</w:t>
            </w:r>
            <w:r>
              <w:rPr>
                <w:rFonts w:hint="eastAsia" w:ascii="仿宋_GB2312" w:hAnsi="等线" w:eastAsia="仿宋_GB2312" w:cs="宋体"/>
                <w:kern w:val="0"/>
                <w:sz w:val="24"/>
                <w:highlight w:val="none"/>
              </w:rPr>
              <w:t>84</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5670</w:t>
            </w:r>
          </w:p>
        </w:tc>
        <w:tc>
          <w:tcPr>
            <w:tcW w:w="174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w:t>
            </w:r>
          </w:p>
        </w:tc>
      </w:tr>
    </w:tbl>
    <w:p>
      <w:pPr>
        <w:pStyle w:val="69"/>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材树（柳树、椿树、臭椿、刺槐、洋槐、泡桐、构树）</w:t>
      </w:r>
    </w:p>
    <w:p>
      <w:pPr>
        <w:rPr>
          <w:rFonts w:hint="eastAsia"/>
          <w:highlight w:val="none"/>
        </w:rPr>
      </w:pPr>
    </w:p>
    <w:tbl>
      <w:tblPr>
        <w:tblStyle w:val="17"/>
        <w:tblW w:w="0" w:type="auto"/>
        <w:jc w:val="center"/>
        <w:tblLayout w:type="fixed"/>
        <w:tblCellMar>
          <w:top w:w="0" w:type="dxa"/>
          <w:left w:w="108" w:type="dxa"/>
          <w:bottom w:w="0" w:type="dxa"/>
          <w:right w:w="108" w:type="dxa"/>
        </w:tblCellMar>
      </w:tblPr>
      <w:tblGrid>
        <w:gridCol w:w="1434"/>
        <w:gridCol w:w="1583"/>
        <w:gridCol w:w="1700"/>
        <w:gridCol w:w="1183"/>
        <w:gridCol w:w="1474"/>
        <w:gridCol w:w="1700"/>
      </w:tblGrid>
      <w:tr>
        <w:tblPrEx>
          <w:tblCellMar>
            <w:top w:w="0" w:type="dxa"/>
            <w:left w:w="108" w:type="dxa"/>
            <w:bottom w:w="0" w:type="dxa"/>
            <w:right w:w="108" w:type="dxa"/>
          </w:tblCellMar>
        </w:tblPrEx>
        <w:trPr>
          <w:trHeight w:val="634" w:hRule="atLeast"/>
          <w:tblHeader/>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径级</w:t>
            </w:r>
          </w:p>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lang w:eastAsia="zh-CN"/>
              </w:rPr>
              <w:t>(</w:t>
            </w:r>
            <w:r>
              <w:rPr>
                <w:rFonts w:hint="eastAsia" w:ascii="仿宋_GB2312" w:hAnsi="等线" w:eastAsia="仿宋_GB2312" w:cs="宋体"/>
                <w:kern w:val="0"/>
                <w:sz w:val="24"/>
                <w:highlight w:val="none"/>
              </w:rPr>
              <w:t>cm</w:t>
            </w:r>
            <w:r>
              <w:rPr>
                <w:rFonts w:hint="eastAsia" w:ascii="仿宋_GB2312" w:hAnsi="等线" w:eastAsia="仿宋_GB2312" w:cs="宋体"/>
                <w:kern w:val="0"/>
                <w:sz w:val="24"/>
                <w:highlight w:val="none"/>
                <w:lang w:eastAsia="zh-CN"/>
              </w:rPr>
              <w:t>)</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标准单价</w:t>
            </w:r>
          </w:p>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（元）</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distribute"/>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最大种植密度</w:t>
            </w:r>
          </w:p>
          <w:p>
            <w:pPr>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（株/亩）</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径级</w:t>
            </w:r>
          </w:p>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lang w:eastAsia="zh-CN"/>
              </w:rPr>
              <w:t>(</w:t>
            </w:r>
            <w:r>
              <w:rPr>
                <w:rFonts w:hint="eastAsia" w:ascii="仿宋_GB2312" w:hAnsi="等线" w:eastAsia="仿宋_GB2312" w:cs="宋体"/>
                <w:kern w:val="0"/>
                <w:sz w:val="24"/>
                <w:highlight w:val="none"/>
              </w:rPr>
              <w:t>cm</w:t>
            </w:r>
            <w:r>
              <w:rPr>
                <w:rFonts w:hint="eastAsia" w:ascii="仿宋_GB2312" w:hAnsi="等线" w:eastAsia="仿宋_GB2312" w:cs="宋体"/>
                <w:kern w:val="0"/>
                <w:sz w:val="24"/>
                <w:highlight w:val="none"/>
                <w:lang w:eastAsia="zh-CN"/>
              </w:rPr>
              <w:t>)</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标准单价</w:t>
            </w:r>
          </w:p>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（元）</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最大种植密度</w:t>
            </w:r>
          </w:p>
          <w:p>
            <w:pPr>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（株/亩）</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胸径＜3</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1350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44</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1420</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60</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3-4</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860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46</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1563</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48</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1722</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11</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670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50</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1880</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53</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25</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370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52</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2038</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53</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43</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54</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2196</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51</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67</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2354</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51</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100</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167</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58</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2512</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49</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139</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167</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60</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2670</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49</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18</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187</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62</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2828</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47</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239</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64</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2987</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47</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298</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105</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3145</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45</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24</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366</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105</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68</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3303</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45</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26</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440</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3461</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44</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28</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521</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72</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3619</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44</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30</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606</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74</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3777</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43</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32</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703</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76</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3935</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43</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34</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803</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78</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4093</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42</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36</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912</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80</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4252</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42</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38</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1030</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65</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82</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4410</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41</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1148</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65</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84</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4568</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w:t>
            </w:r>
          </w:p>
        </w:tc>
      </w:tr>
      <w:tr>
        <w:tblPrEx>
          <w:tblCellMar>
            <w:top w:w="0" w:type="dxa"/>
            <w:left w:w="108" w:type="dxa"/>
            <w:bottom w:w="0" w:type="dxa"/>
            <w:right w:w="108" w:type="dxa"/>
          </w:tblCellMar>
        </w:tblPrEx>
        <w:trPr>
          <w:trHeight w:val="454"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42</w:t>
            </w:r>
          </w:p>
        </w:tc>
        <w:tc>
          <w:tcPr>
            <w:tcW w:w="15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1280</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60</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lang w:eastAsia="zh-CN"/>
              </w:rPr>
              <w:t>&gt;</w:t>
            </w:r>
            <w:r>
              <w:rPr>
                <w:rFonts w:hint="eastAsia" w:ascii="仿宋_GB2312" w:hAnsi="等线" w:eastAsia="仿宋_GB2312" w:cs="宋体"/>
                <w:kern w:val="0"/>
                <w:sz w:val="24"/>
                <w:highlight w:val="none"/>
              </w:rPr>
              <w:t>84</w:t>
            </w:r>
          </w:p>
        </w:tc>
        <w:tc>
          <w:tcPr>
            <w:tcW w:w="147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4568</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w:t>
            </w:r>
          </w:p>
        </w:tc>
      </w:tr>
    </w:tbl>
    <w:p>
      <w:pPr>
        <w:pStyle w:val="36"/>
        <w:rPr>
          <w:rFonts w:hint="eastAsia"/>
          <w:highlight w:val="none"/>
        </w:rPr>
      </w:pPr>
    </w:p>
    <w:p>
      <w:pPr>
        <w:pStyle w:val="6"/>
        <w:jc w:val="center"/>
        <w:rPr>
          <w:rFonts w:hint="eastAsia" w:ascii="方正小标宋简体" w:hAnsi="方正小标宋简体" w:eastAsia="方正小标宋简体" w:cs="方正小标宋简体"/>
          <w:b w:val="0"/>
          <w:bCs/>
          <w:kern w:val="0"/>
          <w:sz w:val="32"/>
          <w:szCs w:val="32"/>
          <w:highlight w:val="none"/>
        </w:rPr>
      </w:pPr>
    </w:p>
    <w:p>
      <w:pPr>
        <w:pStyle w:val="6"/>
        <w:jc w:val="center"/>
        <w:rPr>
          <w:rFonts w:hint="eastAsia" w:ascii="方正小标宋简体" w:hAnsi="方正小标宋简体" w:eastAsia="方正小标宋简体" w:cs="方正小标宋简体"/>
          <w:b w:val="0"/>
          <w:bCs/>
          <w:kern w:val="0"/>
          <w:sz w:val="32"/>
          <w:szCs w:val="32"/>
          <w:highlight w:val="none"/>
        </w:rPr>
      </w:pPr>
      <w:r>
        <w:rPr>
          <w:rFonts w:hint="eastAsia" w:ascii="方正小标宋简体" w:hAnsi="方正小标宋简体" w:eastAsia="方正小标宋简体" w:cs="方正小标宋简体"/>
          <w:b w:val="0"/>
          <w:bCs/>
          <w:kern w:val="0"/>
          <w:sz w:val="32"/>
          <w:szCs w:val="32"/>
          <w:highlight w:val="none"/>
        </w:rPr>
        <w:t>材树（香椿）</w:t>
      </w:r>
    </w:p>
    <w:p>
      <w:pPr>
        <w:pStyle w:val="36"/>
        <w:rPr>
          <w:rFonts w:hint="eastAsia"/>
          <w:highlight w:val="none"/>
        </w:rPr>
      </w:pPr>
    </w:p>
    <w:tbl>
      <w:tblPr>
        <w:tblStyle w:val="17"/>
        <w:tblW w:w="0" w:type="auto"/>
        <w:tblInd w:w="0" w:type="dxa"/>
        <w:tblLayout w:type="fixed"/>
        <w:tblCellMar>
          <w:top w:w="0" w:type="dxa"/>
          <w:left w:w="108" w:type="dxa"/>
          <w:bottom w:w="0" w:type="dxa"/>
          <w:right w:w="108" w:type="dxa"/>
        </w:tblCellMar>
      </w:tblPr>
      <w:tblGrid>
        <w:gridCol w:w="1290"/>
        <w:gridCol w:w="1417"/>
        <w:gridCol w:w="1700"/>
        <w:gridCol w:w="1163"/>
        <w:gridCol w:w="1676"/>
        <w:gridCol w:w="1814"/>
      </w:tblGrid>
      <w:tr>
        <w:tblPrEx>
          <w:tblCellMar>
            <w:top w:w="0" w:type="dxa"/>
            <w:left w:w="108" w:type="dxa"/>
            <w:bottom w:w="0" w:type="dxa"/>
            <w:right w:w="108" w:type="dxa"/>
          </w:tblCellMar>
        </w:tblPrEx>
        <w:trPr>
          <w:trHeight w:val="634" w:hRule="atLeast"/>
          <w:tblHeader/>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径级（cm）</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标准单价</w:t>
            </w:r>
          </w:p>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（元）</w:t>
            </w:r>
          </w:p>
        </w:tc>
        <w:tc>
          <w:tcPr>
            <w:tcW w:w="17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最大种植密度</w:t>
            </w:r>
          </w:p>
          <w:p>
            <w:pPr>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（株/亩）</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径级（cm）</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标准单价</w:t>
            </w:r>
          </w:p>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（元）</w:t>
            </w:r>
          </w:p>
        </w:tc>
        <w:tc>
          <w:tcPr>
            <w:tcW w:w="181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最大种植密度</w:t>
            </w:r>
          </w:p>
          <w:p>
            <w:pPr>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（株/亩）</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胸径&lt;1</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w:t>
            </w:r>
          </w:p>
        </w:tc>
        <w:tc>
          <w:tcPr>
            <w:tcW w:w="170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1900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27</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648</w:t>
            </w:r>
          </w:p>
        </w:tc>
        <w:tc>
          <w:tcPr>
            <w:tcW w:w="181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145</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1300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28</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672</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140</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29</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696</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140</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560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30</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780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125</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84</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500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31</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806</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125</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7</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98</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450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32</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832</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122</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112</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33</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858</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122</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126</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360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34</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884</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120</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250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910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120</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11</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250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36</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936</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118</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240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235</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37</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962</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118</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260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235</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38</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988</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115</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280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39</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1014</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115</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300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40</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1200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100</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320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208</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41</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1230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100</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17</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340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208</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42</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1260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98</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18</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360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43</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1290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98</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19</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380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44</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1320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96</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20</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480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45</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1350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96</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21</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504</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160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46</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1380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94</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22</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528</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155</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47</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1410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94</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552</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155</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48</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1440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92</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24</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576</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150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49</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1470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91</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25</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600</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150</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50</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1500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90</w:t>
            </w:r>
          </w:p>
        </w:tc>
      </w:tr>
      <w:tr>
        <w:tblPrEx>
          <w:tblCellMar>
            <w:top w:w="0" w:type="dxa"/>
            <w:left w:w="108" w:type="dxa"/>
            <w:bottom w:w="0" w:type="dxa"/>
            <w:right w:w="108" w:type="dxa"/>
          </w:tblCellMar>
        </w:tblPrEx>
        <w:trPr>
          <w:trHeight w:val="42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26</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624</w:t>
            </w:r>
          </w:p>
        </w:tc>
        <w:tc>
          <w:tcPr>
            <w:tcW w:w="1700"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145</w:t>
            </w:r>
          </w:p>
        </w:tc>
        <w:tc>
          <w:tcPr>
            <w:tcW w:w="116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lang w:eastAsia="zh-CN"/>
              </w:rPr>
              <w:t>&gt;</w:t>
            </w:r>
            <w:r>
              <w:rPr>
                <w:rFonts w:hint="eastAsia" w:ascii="仿宋_GB2312" w:hAnsi="等线" w:eastAsia="仿宋_GB2312" w:cs="宋体"/>
                <w:kern w:val="0"/>
                <w:sz w:val="24"/>
                <w:highlight w:val="none"/>
              </w:rPr>
              <w:t>50</w:t>
            </w:r>
          </w:p>
        </w:tc>
        <w:tc>
          <w:tcPr>
            <w:tcW w:w="167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1500</w:t>
            </w:r>
          </w:p>
        </w:tc>
        <w:tc>
          <w:tcPr>
            <w:tcW w:w="1814" w:type="dxa"/>
            <w:tcBorders>
              <w:top w:val="single" w:color="auto" w:sz="4" w:space="0"/>
              <w:left w:val="nil"/>
              <w:bottom w:val="single" w:color="auto" w:sz="4" w:space="0"/>
              <w:right w:val="single" w:color="auto" w:sz="4" w:space="0"/>
            </w:tcBorders>
            <w:noWrap w:val="0"/>
            <w:vAlign w:val="center"/>
          </w:tcPr>
          <w:p>
            <w:pPr>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90</w:t>
            </w:r>
          </w:p>
        </w:tc>
      </w:tr>
    </w:tbl>
    <w:p>
      <w:pPr>
        <w:numPr>
          <w:ilvl w:val="0"/>
          <w:numId w:val="0"/>
        </w:numPr>
        <w:spacing w:before="156" w:beforeLines="50" w:after="156" w:afterLines="50" w:line="560" w:lineRule="exact"/>
        <w:ind w:left="640" w:leftChars="0"/>
        <w:rPr>
          <w:rFonts w:ascii="黑体" w:hAnsi="黑体" w:eastAsia="黑体" w:cs="宋体"/>
          <w:kern w:val="0"/>
          <w:sz w:val="32"/>
          <w:szCs w:val="32"/>
          <w:highlight w:val="none"/>
        </w:rPr>
      </w:pPr>
      <w:r>
        <w:rPr>
          <w:rFonts w:ascii="黑体" w:hAnsi="黑体" w:eastAsia="黑体" w:cs="宋体"/>
          <w:kern w:val="0"/>
          <w:sz w:val="32"/>
          <w:szCs w:val="32"/>
          <w:highlight w:val="none"/>
        </w:rPr>
        <w:br w:type="page"/>
      </w:r>
      <w:r>
        <w:rPr>
          <w:rFonts w:hint="eastAsia" w:ascii="黑体" w:hAnsi="黑体" w:eastAsia="黑体" w:cs="宋体"/>
          <w:kern w:val="0"/>
          <w:sz w:val="32"/>
          <w:szCs w:val="32"/>
          <w:highlight w:val="none"/>
          <w:lang w:val="en-US" w:eastAsia="zh-CN"/>
        </w:rPr>
        <w:t>二、</w:t>
      </w:r>
      <w:r>
        <w:rPr>
          <w:rFonts w:ascii="黑体" w:hAnsi="黑体" w:eastAsia="黑体" w:cs="宋体"/>
          <w:kern w:val="0"/>
          <w:sz w:val="32"/>
          <w:szCs w:val="32"/>
          <w:highlight w:val="none"/>
          <w:lang w:val="en-US" w:eastAsia="zh-CN" w:bidi="ar-SA"/>
        </w:rPr>
        <w:t>经济林补偿标准</w:t>
      </w:r>
    </w:p>
    <w:p>
      <w:pPr>
        <w:pStyle w:val="13"/>
        <w:numPr>
          <w:ilvl w:val="0"/>
          <w:numId w:val="0"/>
        </w:numPr>
        <w:ind w:left="640" w:leftChars="0"/>
        <w:rPr>
          <w:highlight w:val="none"/>
        </w:rPr>
      </w:pPr>
    </w:p>
    <w:tbl>
      <w:tblPr>
        <w:tblStyle w:val="17"/>
        <w:tblW w:w="9169"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455"/>
        <w:gridCol w:w="1591"/>
        <w:gridCol w:w="1799"/>
        <w:gridCol w:w="1720"/>
        <w:gridCol w:w="1716"/>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75" w:hRule="atLeast"/>
          <w:tblHeader/>
        </w:trPr>
        <w:tc>
          <w:tcPr>
            <w:tcW w:w="9156" w:type="dxa"/>
            <w:gridSpan w:val="6"/>
            <w:tcBorders>
              <w:top w:val="nil"/>
              <w:left w:val="nil"/>
              <w:bottom w:val="nil"/>
              <w:right w:val="nil"/>
            </w:tcBorders>
            <w:noWrap w:val="0"/>
            <w:vAlign w:val="center"/>
          </w:tcPr>
          <w:p>
            <w:pPr>
              <w:widowControl/>
              <w:jc w:val="center"/>
              <w:rPr>
                <w:rFonts w:ascii="仿宋_GB2312" w:hAnsi="黑体" w:eastAsia="仿宋_GB2312" w:cs="宋体"/>
                <w:b/>
                <w:kern w:val="0"/>
                <w:sz w:val="32"/>
                <w:szCs w:val="32"/>
                <w:highlight w:val="none"/>
              </w:rPr>
            </w:pPr>
            <w:r>
              <w:rPr>
                <w:rFonts w:hint="eastAsia" w:ascii="方正小标宋简体" w:hAnsi="方正小标宋简体" w:eastAsia="方正小标宋简体" w:cs="方正小标宋简体"/>
                <w:b w:val="0"/>
                <w:bCs/>
                <w:kern w:val="0"/>
                <w:sz w:val="32"/>
                <w:szCs w:val="32"/>
                <w:highlight w:val="none"/>
              </w:rPr>
              <w:t>经济林（鲜果树）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trPr>
        <w:tc>
          <w:tcPr>
            <w:tcW w:w="87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品种</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规格</w:t>
            </w:r>
            <w:r>
              <w:rPr>
                <w:rFonts w:hint="eastAsia" w:ascii="仿宋_GB2312" w:hAnsi="等线" w:eastAsia="仿宋_GB2312" w:cs="宋体"/>
                <w:kern w:val="0"/>
                <w:sz w:val="24"/>
                <w:highlight w:val="none"/>
              </w:rPr>
              <w:br w:type="textWrapping"/>
            </w:r>
            <w:r>
              <w:rPr>
                <w:rFonts w:hint="eastAsia" w:ascii="仿宋_GB2312" w:hAnsi="等线" w:eastAsia="仿宋_GB2312" w:cs="宋体"/>
                <w:kern w:val="0"/>
                <w:sz w:val="24"/>
                <w:highlight w:val="none"/>
              </w:rPr>
              <w:t>（</w:t>
            </w:r>
            <w:r>
              <w:rPr>
                <w:rFonts w:hint="eastAsia" w:ascii="Segoe UI Symbol" w:hAnsi="Segoe UI Symbol" w:eastAsia="Segoe UI Symbol" w:cs="Segoe UI Symbol"/>
                <w:kern w:val="0"/>
                <w:sz w:val="24"/>
                <w:highlight w:val="none"/>
              </w:rPr>
              <w:t>㎝</w:t>
            </w:r>
            <w:r>
              <w:rPr>
                <w:rFonts w:hint="eastAsia" w:ascii="仿宋_GB2312" w:hAnsi="仿宋_GB2312" w:eastAsia="仿宋_GB2312" w:cs="仿宋_GB2312"/>
                <w:kern w:val="0"/>
                <w:sz w:val="24"/>
                <w:highlight w:val="none"/>
              </w:rPr>
              <w:t>）</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产量</w:t>
            </w:r>
            <w:r>
              <w:rPr>
                <w:rFonts w:hint="eastAsia" w:ascii="仿宋_GB2312" w:hAnsi="等线" w:eastAsia="仿宋_GB2312" w:cs="宋体"/>
                <w:kern w:val="0"/>
                <w:sz w:val="24"/>
                <w:highlight w:val="none"/>
              </w:rPr>
              <w:br w:type="textWrapping"/>
            </w:r>
            <w:r>
              <w:rPr>
                <w:rFonts w:hint="eastAsia" w:ascii="仿宋_GB2312" w:hAnsi="等线" w:eastAsia="仿宋_GB2312" w:cs="宋体"/>
                <w:kern w:val="0"/>
                <w:sz w:val="24"/>
                <w:highlight w:val="none"/>
              </w:rPr>
              <w:t>（斤）</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标准单价</w:t>
            </w:r>
            <w:r>
              <w:rPr>
                <w:rFonts w:hint="eastAsia" w:ascii="仿宋_GB2312" w:hAnsi="等线" w:eastAsia="仿宋_GB2312" w:cs="宋体"/>
                <w:kern w:val="0"/>
                <w:sz w:val="24"/>
                <w:highlight w:val="none"/>
              </w:rPr>
              <w:br w:type="textWrapping"/>
            </w:r>
            <w:r>
              <w:rPr>
                <w:rFonts w:hint="eastAsia" w:ascii="仿宋_GB2312" w:hAnsi="等线" w:eastAsia="仿宋_GB2312" w:cs="宋体"/>
                <w:kern w:val="0"/>
                <w:sz w:val="24"/>
                <w:highlight w:val="none"/>
              </w:rPr>
              <w:t>（元/斤）</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标准单价</w:t>
            </w:r>
            <w:r>
              <w:rPr>
                <w:rFonts w:hint="eastAsia" w:ascii="仿宋_GB2312" w:hAnsi="等线" w:eastAsia="仿宋_GB2312" w:cs="宋体"/>
                <w:kern w:val="0"/>
                <w:sz w:val="24"/>
                <w:highlight w:val="none"/>
              </w:rPr>
              <w:br w:type="textWrapping"/>
            </w:r>
            <w:r>
              <w:rPr>
                <w:rFonts w:hint="eastAsia" w:ascii="仿宋_GB2312" w:hAnsi="等线" w:eastAsia="仿宋_GB2312" w:cs="宋体"/>
                <w:kern w:val="0"/>
                <w:sz w:val="24"/>
                <w:highlight w:val="none"/>
              </w:rPr>
              <w:t>（元/株）</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最大种植密度</w:t>
            </w:r>
            <w:r>
              <w:rPr>
                <w:rFonts w:hint="eastAsia" w:ascii="仿宋_GB2312" w:hAnsi="等线" w:eastAsia="仿宋_GB2312" w:cs="宋体"/>
                <w:kern w:val="0"/>
                <w:sz w:val="24"/>
                <w:highlight w:val="none"/>
              </w:rPr>
              <w:br w:type="textWrapping"/>
            </w:r>
            <w:r>
              <w:rPr>
                <w:rFonts w:hint="eastAsia" w:ascii="仿宋_GB2312" w:hAnsi="等线" w:eastAsia="仿宋_GB2312" w:cs="宋体"/>
                <w:kern w:val="0"/>
                <w:sz w:val="24"/>
                <w:highlight w:val="none"/>
              </w:rPr>
              <w:t>（株/亩）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桃树</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地径＜1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28</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504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630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10-14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1260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15-18</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1890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19-20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119</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2142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21-30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140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2520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&gt;30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160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2880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李子</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地径＜1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441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28</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588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10-14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1176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15-20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84</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1764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21-24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112</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2352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25-30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140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2940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31-35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168</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3528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&gt;35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196</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4116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00" w:lineRule="exact"/>
              <w:jc w:val="both"/>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苹果、海棠</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地径＜</w:t>
            </w:r>
            <w:r>
              <w:rPr>
                <w:rFonts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ascii="仿宋_GB2312" w:hAnsi="等线" w:eastAsia="仿宋_GB2312" w:cs="宋体"/>
                <w:kern w:val="0"/>
                <w:sz w:val="24"/>
                <w:highlight w:val="none"/>
              </w:rPr>
              <w:t>1</w:t>
            </w:r>
            <w:r>
              <w:rPr>
                <w:rFonts w:hint="eastAsia" w:ascii="仿宋_GB2312" w:hAnsi="等线" w:eastAsia="仿宋_GB2312" w:cs="宋体"/>
                <w:kern w:val="0"/>
                <w:sz w:val="24"/>
                <w:highlight w:val="none"/>
              </w:rPr>
              <w:t xml:space="preserve">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ascii="仿宋_GB2312" w:hAnsi="等线" w:eastAsia="仿宋_GB2312" w:cs="宋体"/>
                <w:kern w:val="0"/>
                <w:sz w:val="24"/>
                <w:highlight w:val="none"/>
              </w:rPr>
              <w:t>2</w:t>
            </w:r>
            <w:r>
              <w:rPr>
                <w:rFonts w:hint="eastAsia" w:ascii="仿宋_GB2312" w:hAnsi="等线" w:eastAsia="仿宋_GB2312" w:cs="宋体"/>
                <w:kern w:val="0"/>
                <w:sz w:val="24"/>
                <w:highlight w:val="none"/>
              </w:rPr>
              <w:t xml:space="preserve">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28</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840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1050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10-15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2100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16-20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119</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3570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restart"/>
            <w:noWrap w:val="0"/>
            <w:vAlign w:val="center"/>
          </w:tcPr>
          <w:p>
            <w:pPr>
              <w:widowControl/>
              <w:spacing w:line="300" w:lineRule="exact"/>
              <w:jc w:val="both"/>
              <w:rPr>
                <w:rFonts w:ascii="仿宋_GB2312" w:hAnsi="等线" w:eastAsia="仿宋_GB2312" w:cs="宋体"/>
                <w:kern w:val="0"/>
                <w:sz w:val="24"/>
                <w:highlight w:val="none"/>
              </w:rPr>
            </w:pPr>
            <w:r>
              <w:rPr>
                <w:rFonts w:hint="eastAsia" w:ascii="仿宋_GB2312" w:hAnsi="等线" w:eastAsia="仿宋_GB2312" w:cs="宋体"/>
                <w:kern w:val="0"/>
                <w:sz w:val="24"/>
                <w:highlight w:val="none"/>
              </w:rPr>
              <w:t>苹果、海棠</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21-24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175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5250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25-35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6300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36-40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6900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&gt;40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260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7800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jc w:val="center"/>
              <w:textAlignment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苹果</w:t>
            </w:r>
            <w:r>
              <w:rPr>
                <w:rFonts w:hint="eastAsia" w:ascii="仿宋_GB2312" w:hAnsi="等线" w:eastAsia="仿宋_GB2312" w:cs="宋体"/>
                <w:kern w:val="0"/>
                <w:sz w:val="24"/>
                <w:highlight w:val="none"/>
              </w:rPr>
              <w:br w:type="textWrapping"/>
            </w:r>
            <w:r>
              <w:rPr>
                <w:rFonts w:hint="eastAsia" w:ascii="仿宋_GB2312" w:hAnsi="等线" w:eastAsia="仿宋_GB2312" w:cs="宋体"/>
                <w:kern w:val="0"/>
                <w:sz w:val="24"/>
                <w:highlight w:val="none"/>
              </w:rPr>
              <w:t>海棠</w:t>
            </w:r>
            <w:r>
              <w:rPr>
                <w:rFonts w:hint="eastAsia" w:ascii="仿宋_GB2312" w:hAnsi="等线" w:eastAsia="仿宋_GB2312" w:cs="宋体"/>
                <w:kern w:val="0"/>
                <w:sz w:val="24"/>
                <w:highlight w:val="none"/>
              </w:rPr>
              <w:br w:type="textWrapping"/>
            </w:r>
            <w:r>
              <w:rPr>
                <w:rFonts w:hint="eastAsia" w:ascii="仿宋_GB2312" w:hAnsi="等线" w:eastAsia="仿宋_GB2312" w:cs="宋体"/>
                <w:kern w:val="0"/>
                <w:sz w:val="24"/>
                <w:highlight w:val="none"/>
              </w:rPr>
              <w:t>（设施栽培）</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地径＜3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120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200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12</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360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10-13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18</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540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&gt;13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19</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570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20" w:lineRule="exact"/>
              <w:jc w:val="center"/>
              <w:textAlignment w:val="baseline"/>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梨树</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地径＜1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18</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324</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360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10-14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900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15-20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1440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21-30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120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2160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31-40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160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2880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41-50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200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3600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51-60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240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4320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&gt;60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280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5040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杏树</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地径＜1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21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378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28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504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10-14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56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1008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15-20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91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1638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21-30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126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2268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restart"/>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杏树</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31-40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161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2898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&gt;40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196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3528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枣树</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地径＜1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660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840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21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1260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11-12</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28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1680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13-15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2100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16-20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42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2520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21-25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49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2940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26-30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56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3360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31-35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63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3780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&gt;35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4200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柿子</w:t>
            </w:r>
          </w:p>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黑枣</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地径≤1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28</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336</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420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10-15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840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16-20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1260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21-25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145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1740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26-30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185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2220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31-35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225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2700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&gt;35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265</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3180</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樱桃</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lang w:eastAsia="zh-CN"/>
              </w:rPr>
              <w:t>&lt;</w:t>
            </w:r>
            <w:r>
              <w:rPr>
                <w:rFonts w:hint="eastAsia" w:ascii="仿宋_GB2312" w:hAnsi="等线" w:eastAsia="仿宋_GB2312" w:cs="宋体"/>
                <w:kern w:val="0"/>
                <w:sz w:val="24"/>
                <w:highlight w:val="none"/>
              </w:rPr>
              <w:t>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675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restart"/>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樱桃</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810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10.5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945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8</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12.0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1080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13.5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1215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16.5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1485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19.5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1755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12</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22.5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2025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28.5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2565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33.0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2970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37.5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3375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45.0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4050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17</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52.5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4725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18</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5400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62.0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5580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64.0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5760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66.0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5940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22</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68.5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6165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70.5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6345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73.0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6570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75.0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6750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26-30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80.0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7200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31-35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95.0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8550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36-40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105.0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9450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&gt;40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115.0 </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10350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山楂</w:t>
            </w:r>
          </w:p>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红果</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lang w:eastAsia="zh-CN"/>
              </w:rPr>
              <w:t>&lt;</w:t>
            </w:r>
            <w:r>
              <w:rPr>
                <w:rFonts w:hint="eastAsia" w:ascii="仿宋_GB2312" w:hAnsi="等线" w:eastAsia="仿宋_GB2312" w:cs="宋体"/>
                <w:kern w:val="0"/>
                <w:sz w:val="24"/>
                <w:highlight w:val="none"/>
              </w:rPr>
              <w:t>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2-3</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4</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25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5-6</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7-9</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19</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171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10-15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68</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612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restart"/>
            <w:noWrap w:val="0"/>
            <w:vAlign w:val="center"/>
          </w:tcPr>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山楂</w:t>
            </w:r>
          </w:p>
          <w:p>
            <w:pPr>
              <w:widowControl/>
              <w:spacing w:line="300" w:lineRule="exact"/>
              <w:jc w:val="center"/>
              <w:rPr>
                <w:rFonts w:ascii="仿宋_GB2312" w:hAnsi="等线" w:eastAsia="仿宋_GB2312" w:cs="宋体"/>
                <w:kern w:val="0"/>
                <w:sz w:val="24"/>
                <w:highlight w:val="none"/>
              </w:rPr>
            </w:pPr>
            <w:r>
              <w:rPr>
                <w:rFonts w:hint="eastAsia" w:ascii="仿宋_GB2312" w:hAnsi="等线" w:eastAsia="仿宋_GB2312" w:cs="宋体"/>
                <w:kern w:val="0"/>
                <w:sz w:val="24"/>
                <w:highlight w:val="none"/>
              </w:rPr>
              <w:t>红果</w:t>
            </w: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16-20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103</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927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21-25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118</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1062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26-30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136</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1224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31-35</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154</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1386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36-40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172</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1548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highlight w:val="none"/>
              </w:rPr>
            </w:pPr>
          </w:p>
        </w:tc>
        <w:tc>
          <w:tcPr>
            <w:tcW w:w="145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&gt;40</w:t>
            </w:r>
          </w:p>
        </w:tc>
        <w:tc>
          <w:tcPr>
            <w:tcW w:w="159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190</w:t>
            </w:r>
          </w:p>
        </w:tc>
        <w:tc>
          <w:tcPr>
            <w:tcW w:w="1799"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1.5</w:t>
            </w:r>
          </w:p>
        </w:tc>
        <w:tc>
          <w:tcPr>
            <w:tcW w:w="1720"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1710 </w:t>
            </w:r>
          </w:p>
        </w:tc>
        <w:tc>
          <w:tcPr>
            <w:tcW w:w="1729" w:type="dxa"/>
            <w:gridSpan w:val="2"/>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restart"/>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葡萄</w:t>
            </w:r>
          </w:p>
        </w:tc>
        <w:tc>
          <w:tcPr>
            <w:tcW w:w="1455"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3年（含）以下</w:t>
            </w:r>
          </w:p>
        </w:tc>
        <w:tc>
          <w:tcPr>
            <w:tcW w:w="1591"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5.6</w:t>
            </w:r>
          </w:p>
        </w:tc>
        <w:tc>
          <w:tcPr>
            <w:tcW w:w="1799"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5</w:t>
            </w:r>
          </w:p>
        </w:tc>
        <w:tc>
          <w:tcPr>
            <w:tcW w:w="1720"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168</w:t>
            </w:r>
          </w:p>
        </w:tc>
        <w:tc>
          <w:tcPr>
            <w:tcW w:w="1729" w:type="dxa"/>
            <w:gridSpan w:val="2"/>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3-6年（含）</w:t>
            </w:r>
          </w:p>
        </w:tc>
        <w:tc>
          <w:tcPr>
            <w:tcW w:w="1591"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14</w:t>
            </w:r>
          </w:p>
        </w:tc>
        <w:tc>
          <w:tcPr>
            <w:tcW w:w="1799"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5</w:t>
            </w:r>
          </w:p>
        </w:tc>
        <w:tc>
          <w:tcPr>
            <w:tcW w:w="1720"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420</w:t>
            </w:r>
          </w:p>
        </w:tc>
        <w:tc>
          <w:tcPr>
            <w:tcW w:w="1729" w:type="dxa"/>
            <w:gridSpan w:val="2"/>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6年以上</w:t>
            </w:r>
          </w:p>
        </w:tc>
        <w:tc>
          <w:tcPr>
            <w:tcW w:w="1591"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14</w:t>
            </w:r>
          </w:p>
        </w:tc>
        <w:tc>
          <w:tcPr>
            <w:tcW w:w="1799"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5</w:t>
            </w:r>
          </w:p>
        </w:tc>
        <w:tc>
          <w:tcPr>
            <w:tcW w:w="1720" w:type="dxa"/>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420</w:t>
            </w:r>
          </w:p>
        </w:tc>
        <w:tc>
          <w:tcPr>
            <w:tcW w:w="1729" w:type="dxa"/>
            <w:gridSpan w:val="2"/>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restart"/>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猕猴桃</w:t>
            </w: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地径＜1</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15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1</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35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2</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80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3-4</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14</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504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5-6</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23</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828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7-9</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33</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1188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10-12</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39</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1404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13-15</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46</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1656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16-18</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51</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1836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19-20</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57</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2052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&gt;20</w:t>
            </w:r>
          </w:p>
        </w:tc>
        <w:tc>
          <w:tcPr>
            <w:tcW w:w="1591"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64</w:t>
            </w:r>
          </w:p>
        </w:tc>
        <w:tc>
          <w:tcPr>
            <w:tcW w:w="1799"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6</w:t>
            </w:r>
          </w:p>
        </w:tc>
        <w:tc>
          <w:tcPr>
            <w:tcW w:w="1720" w:type="dxa"/>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2304 </w:t>
            </w:r>
          </w:p>
        </w:tc>
        <w:tc>
          <w:tcPr>
            <w:tcW w:w="1729" w:type="dxa"/>
            <w:gridSpan w:val="2"/>
            <w:noWrap w:val="0"/>
            <w:vAlign w:val="top"/>
          </w:tcPr>
          <w:p>
            <w:pPr>
              <w:widowControl/>
              <w:spacing w:line="320" w:lineRule="exact"/>
              <w:jc w:val="center"/>
              <w:textAlignment w:val="baseline"/>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restart"/>
            <w:noWrap w:val="0"/>
            <w:vAlign w:val="center"/>
          </w:tcPr>
          <w:p>
            <w:pPr>
              <w:widowControl/>
              <w:spacing w:line="320" w:lineRule="exact"/>
              <w:jc w:val="center"/>
              <w:textAlignment w:val="baseline"/>
              <w:rPr>
                <w:rFonts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石榴</w:t>
            </w:r>
          </w:p>
        </w:tc>
        <w:tc>
          <w:tcPr>
            <w:tcW w:w="1455"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地径＜1</w:t>
            </w:r>
          </w:p>
        </w:tc>
        <w:tc>
          <w:tcPr>
            <w:tcW w:w="1591"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15 </w:t>
            </w:r>
          </w:p>
        </w:tc>
        <w:tc>
          <w:tcPr>
            <w:tcW w:w="1729" w:type="dxa"/>
            <w:gridSpan w:val="2"/>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1-2</w:t>
            </w:r>
          </w:p>
        </w:tc>
        <w:tc>
          <w:tcPr>
            <w:tcW w:w="1591"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35 </w:t>
            </w:r>
          </w:p>
        </w:tc>
        <w:tc>
          <w:tcPr>
            <w:tcW w:w="1729" w:type="dxa"/>
            <w:gridSpan w:val="2"/>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3-4</w:t>
            </w:r>
          </w:p>
        </w:tc>
        <w:tc>
          <w:tcPr>
            <w:tcW w:w="1591"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80 </w:t>
            </w:r>
          </w:p>
        </w:tc>
        <w:tc>
          <w:tcPr>
            <w:tcW w:w="1729" w:type="dxa"/>
            <w:gridSpan w:val="2"/>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5-6</w:t>
            </w:r>
          </w:p>
        </w:tc>
        <w:tc>
          <w:tcPr>
            <w:tcW w:w="1591"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14</w:t>
            </w:r>
          </w:p>
        </w:tc>
        <w:tc>
          <w:tcPr>
            <w:tcW w:w="1799"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w:t>
            </w:r>
          </w:p>
        </w:tc>
        <w:tc>
          <w:tcPr>
            <w:tcW w:w="1720"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420 </w:t>
            </w:r>
          </w:p>
        </w:tc>
        <w:tc>
          <w:tcPr>
            <w:tcW w:w="1729" w:type="dxa"/>
            <w:gridSpan w:val="2"/>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7-9</w:t>
            </w:r>
          </w:p>
        </w:tc>
        <w:tc>
          <w:tcPr>
            <w:tcW w:w="1591"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w:t>
            </w:r>
          </w:p>
        </w:tc>
        <w:tc>
          <w:tcPr>
            <w:tcW w:w="1799"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w:t>
            </w:r>
          </w:p>
        </w:tc>
        <w:tc>
          <w:tcPr>
            <w:tcW w:w="1720"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600 </w:t>
            </w:r>
          </w:p>
        </w:tc>
        <w:tc>
          <w:tcPr>
            <w:tcW w:w="1729" w:type="dxa"/>
            <w:gridSpan w:val="2"/>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10-12</w:t>
            </w:r>
          </w:p>
        </w:tc>
        <w:tc>
          <w:tcPr>
            <w:tcW w:w="1591"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27</w:t>
            </w:r>
          </w:p>
        </w:tc>
        <w:tc>
          <w:tcPr>
            <w:tcW w:w="1799"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w:t>
            </w:r>
          </w:p>
        </w:tc>
        <w:tc>
          <w:tcPr>
            <w:tcW w:w="1720" w:type="dxa"/>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810 </w:t>
            </w:r>
          </w:p>
        </w:tc>
        <w:tc>
          <w:tcPr>
            <w:tcW w:w="1729" w:type="dxa"/>
            <w:gridSpan w:val="2"/>
            <w:noWrap w:val="0"/>
            <w:vAlign w:val="top"/>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13-15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32</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960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16-18</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39</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1170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19-20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44</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1320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&gt;20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1500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75" w:type="dxa"/>
            <w:vMerge w:val="restart"/>
            <w:noWrap w:val="0"/>
            <w:vAlign w:val="center"/>
          </w:tcPr>
          <w:p>
            <w:pPr>
              <w:widowControl/>
              <w:spacing w:line="320" w:lineRule="exact"/>
              <w:jc w:val="center"/>
              <w:textAlignment w:val="baseline"/>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火龙果</w:t>
            </w:r>
          </w:p>
          <w:p>
            <w:pPr>
              <w:widowControl/>
              <w:spacing w:line="320" w:lineRule="exact"/>
              <w:jc w:val="center"/>
              <w:textAlignment w:val="baseline"/>
              <w:rPr>
                <w:rFonts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（设施栽培）</w:t>
            </w: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未挂果</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挂果</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3.7</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133</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dxa"/>
            <w:vMerge w:val="restart"/>
            <w:noWrap w:val="0"/>
            <w:vAlign w:val="center"/>
          </w:tcPr>
          <w:p>
            <w:pPr>
              <w:widowControl/>
              <w:spacing w:line="320" w:lineRule="exact"/>
              <w:jc w:val="center"/>
              <w:textAlignment w:val="baseline"/>
              <w:rPr>
                <w:rFonts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欧李</w:t>
            </w:r>
          </w:p>
          <w:p>
            <w:pPr>
              <w:widowControl/>
              <w:spacing w:line="320" w:lineRule="exact"/>
              <w:jc w:val="center"/>
              <w:textAlignment w:val="baseline"/>
              <w:rPr>
                <w:rFonts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钙果</w:t>
            </w: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未挂果</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dxa"/>
            <w:vMerge w:val="continue"/>
            <w:noWrap w:val="0"/>
            <w:vAlign w:val="top"/>
          </w:tcPr>
          <w:p>
            <w:pPr>
              <w:widowControl/>
              <w:spacing w:line="300" w:lineRule="exact"/>
              <w:jc w:val="center"/>
              <w:rPr>
                <w:rFonts w:ascii="仿宋_GB2312" w:hAnsi="等线" w:eastAsia="仿宋_GB2312" w:cs="宋体"/>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挂果</w:t>
            </w:r>
          </w:p>
        </w:tc>
        <w:tc>
          <w:tcPr>
            <w:tcW w:w="0" w:type="auto"/>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0.6</w:t>
            </w:r>
          </w:p>
        </w:tc>
        <w:tc>
          <w:tcPr>
            <w:tcW w:w="0" w:type="auto"/>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29</w:t>
            </w:r>
          </w:p>
        </w:tc>
        <w:tc>
          <w:tcPr>
            <w:tcW w:w="0" w:type="auto"/>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2667</w:t>
            </w:r>
          </w:p>
        </w:tc>
      </w:tr>
    </w:tbl>
    <w:p>
      <w:pPr>
        <w:rPr>
          <w:highlight w:val="none"/>
        </w:rPr>
      </w:pPr>
      <w:r>
        <w:rPr>
          <w:vanish/>
          <w:highlight w:val="none"/>
        </w:rPr>
        <w:br w:type="page"/>
      </w:r>
    </w:p>
    <w:tbl>
      <w:tblPr>
        <w:tblStyle w:val="17"/>
        <w:tblW w:w="9169"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455"/>
        <w:gridCol w:w="1591"/>
        <w:gridCol w:w="1799"/>
        <w:gridCol w:w="1720"/>
        <w:gridCol w:w="1716"/>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75" w:hRule="atLeast"/>
          <w:tblHeader/>
        </w:trPr>
        <w:tc>
          <w:tcPr>
            <w:tcW w:w="9156" w:type="dxa"/>
            <w:gridSpan w:val="6"/>
            <w:tcBorders>
              <w:top w:val="nil"/>
              <w:left w:val="nil"/>
              <w:bottom w:val="nil"/>
              <w:right w:val="nil"/>
            </w:tcBorders>
            <w:noWrap w:val="0"/>
            <w:vAlign w:val="center"/>
          </w:tcPr>
          <w:p>
            <w:pPr>
              <w:widowControl/>
              <w:jc w:val="center"/>
              <w:rPr>
                <w:rFonts w:ascii="仿宋_GB2312" w:hAnsi="黑体" w:eastAsia="仿宋_GB2312" w:cs="宋体"/>
                <w:b/>
                <w:kern w:val="0"/>
                <w:sz w:val="32"/>
                <w:szCs w:val="32"/>
                <w:highlight w:val="none"/>
              </w:rPr>
            </w:pPr>
            <w:r>
              <w:rPr>
                <w:rFonts w:hint="eastAsia" w:ascii="方正小标宋简体" w:hAnsi="方正小标宋简体" w:eastAsia="方正小标宋简体" w:cs="方正小标宋简体"/>
                <w:b w:val="0"/>
                <w:bCs/>
                <w:kern w:val="0"/>
                <w:sz w:val="32"/>
                <w:szCs w:val="32"/>
                <w:highlight w:val="none"/>
              </w:rPr>
              <w:t>经济林（</w:t>
            </w:r>
            <w:r>
              <w:rPr>
                <w:rFonts w:hint="eastAsia" w:ascii="方正小标宋简体" w:hAnsi="方正小标宋简体" w:eastAsia="方正小标宋简体" w:cs="方正小标宋简体"/>
                <w:b w:val="0"/>
                <w:bCs/>
                <w:kern w:val="0"/>
                <w:sz w:val="32"/>
                <w:szCs w:val="32"/>
                <w:highlight w:val="none"/>
                <w:lang w:val="en-US" w:eastAsia="zh-CN"/>
              </w:rPr>
              <w:t>干</w:t>
            </w:r>
            <w:r>
              <w:rPr>
                <w:rFonts w:hint="eastAsia" w:ascii="方正小标宋简体" w:hAnsi="方正小标宋简体" w:eastAsia="方正小标宋简体" w:cs="方正小标宋简体"/>
                <w:b w:val="0"/>
                <w:bCs/>
                <w:kern w:val="0"/>
                <w:sz w:val="32"/>
                <w:szCs w:val="32"/>
                <w:highlight w:val="none"/>
              </w:rPr>
              <w:t>果树）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trPr>
        <w:tc>
          <w:tcPr>
            <w:tcW w:w="87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类别</w:t>
            </w:r>
          </w:p>
        </w:tc>
        <w:tc>
          <w:tcPr>
            <w:tcW w:w="1455" w:type="dxa"/>
            <w:noWrap w:val="0"/>
            <w:vAlign w:val="center"/>
          </w:tcPr>
          <w:p>
            <w:pPr>
              <w:widowControl/>
              <w:wordWrap w:val="0"/>
              <w:spacing w:line="320" w:lineRule="exact"/>
              <w:jc w:val="center"/>
              <w:textAlignment w:val="baseline"/>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规格（㎝</w:t>
            </w:r>
            <w:r>
              <w:rPr>
                <w:rFonts w:hint="eastAsia" w:ascii="仿宋_GB2312" w:hAnsi="仿宋_GB2312" w:eastAsia="仿宋_GB2312" w:cs="仿宋_GB2312"/>
                <w:kern w:val="0"/>
                <w:sz w:val="24"/>
                <w:szCs w:val="24"/>
                <w:highlight w:val="none"/>
                <w:lang w:eastAsia="zh-CN"/>
              </w:rPr>
              <w:t>）</w:t>
            </w:r>
          </w:p>
        </w:tc>
        <w:tc>
          <w:tcPr>
            <w:tcW w:w="1591" w:type="dxa"/>
            <w:noWrap w:val="0"/>
            <w:vAlign w:val="center"/>
          </w:tcPr>
          <w:p>
            <w:pPr>
              <w:widowControl/>
              <w:wordWrap w:val="0"/>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产量（斤）</w:t>
            </w:r>
          </w:p>
        </w:tc>
        <w:tc>
          <w:tcPr>
            <w:tcW w:w="1799" w:type="dxa"/>
            <w:noWrap w:val="0"/>
            <w:vAlign w:val="center"/>
          </w:tcPr>
          <w:p>
            <w:pPr>
              <w:widowControl/>
              <w:wordWrap w:val="0"/>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标准单价</w:t>
            </w:r>
          </w:p>
          <w:p>
            <w:pPr>
              <w:widowControl/>
              <w:wordWrap w:val="0"/>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（元/斤）</w:t>
            </w:r>
          </w:p>
        </w:tc>
        <w:tc>
          <w:tcPr>
            <w:tcW w:w="1720"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标准单价</w:t>
            </w:r>
          </w:p>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（元/株）</w:t>
            </w:r>
          </w:p>
        </w:tc>
        <w:tc>
          <w:tcPr>
            <w:tcW w:w="1729" w:type="dxa"/>
            <w:gridSpan w:val="2"/>
            <w:noWrap w:val="0"/>
            <w:vAlign w:val="center"/>
          </w:tcPr>
          <w:p>
            <w:pPr>
              <w:widowControl/>
              <w:wordWrap w:val="0"/>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最大种植密度</w:t>
            </w:r>
          </w:p>
          <w:p>
            <w:pPr>
              <w:widowControl/>
              <w:wordWrap w:val="0"/>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（株/亩）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restart"/>
            <w:noWrap w:val="0"/>
            <w:vAlign w:val="center"/>
          </w:tcPr>
          <w:p>
            <w:pPr>
              <w:widowControl/>
              <w:spacing w:line="300" w:lineRule="exact"/>
              <w:jc w:val="center"/>
              <w:rPr>
                <w:rFonts w:hint="eastAsia"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核桃</w:t>
            </w: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地径＜4</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4</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5-6</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5.6</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538</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7-8</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7.0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672</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9-10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14.0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1344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11-15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21.0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2016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16-20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31.5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3024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21-25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38.5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3696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26-30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44.5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4272</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31-35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50.5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4848</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36-40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56.5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5424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hint="eastAsia"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41-45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62.5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6000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46-50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68.5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6576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51-55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74.5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7152</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56-60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87.0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8352</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61-65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101.5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9744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66-70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118.0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11328</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71-75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137.5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13200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76-80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160.0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15360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81-85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186.5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17904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86-90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217.0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20832</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91-95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253.0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24288</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96-100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295.0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28320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hint="eastAsia"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&gt;100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344.0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12</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33024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ascii="仿宋_GB2312" w:hAnsi="微软雅黑" w:eastAsia="仿宋_GB2312" w:cs="宋体"/>
                <w:kern w:val="0"/>
                <w:sz w:val="24"/>
                <w:szCs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restart"/>
            <w:noWrap w:val="0"/>
            <w:vAlign w:val="center"/>
          </w:tcPr>
          <w:p>
            <w:pPr>
              <w:widowControl/>
              <w:spacing w:line="300" w:lineRule="exact"/>
              <w:jc w:val="center"/>
              <w:rPr>
                <w:rFonts w:hint="eastAsia" w:ascii="仿宋_GB2312" w:hAnsi="等线" w:eastAsia="仿宋_GB2312" w:cs="宋体"/>
                <w:kern w:val="0"/>
                <w:sz w:val="24"/>
                <w:szCs w:val="24"/>
                <w:highlight w:val="none"/>
                <w:lang w:val="en-US" w:eastAsia="zh-CN"/>
              </w:rPr>
            </w:pPr>
            <w:r>
              <w:rPr>
                <w:rFonts w:hint="eastAsia" w:ascii="仿宋_GB2312" w:hAnsi="等线" w:eastAsia="仿宋_GB2312" w:cs="宋体"/>
                <w:kern w:val="0"/>
                <w:sz w:val="24"/>
                <w:szCs w:val="24"/>
                <w:highlight w:val="none"/>
                <w:lang w:val="en-US" w:eastAsia="zh-CN"/>
              </w:rPr>
              <w:t>板栗</w:t>
            </w:r>
          </w:p>
        </w:tc>
        <w:tc>
          <w:tcPr>
            <w:tcW w:w="1455" w:type="dxa"/>
            <w:noWrap w:val="0"/>
            <w:vAlign w:val="center"/>
          </w:tcPr>
          <w:p>
            <w:pPr>
              <w:widowControl/>
              <w:wordWrap w:val="0"/>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地径≤3</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5-6</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336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7-8</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448</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9-10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16</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896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24</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1344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16-20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36</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2016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21-25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44</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2464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26-30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52</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2912</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jc w:val="center"/>
              <w:textAlignment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31-35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3360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36-40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68</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3808</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41-45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3920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46-50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72</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4032</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51-55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84</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4704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56-60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98</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5488</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61-65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114</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6384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66-70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133</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7448</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71-75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155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8680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76-80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181</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10136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81-85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211</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11816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86-90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246</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13776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91-95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287</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16072</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96-100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334</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18704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&gt;100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389</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21784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restart"/>
            <w:noWrap w:val="0"/>
            <w:vAlign w:val="center"/>
          </w:tcPr>
          <w:p>
            <w:pPr>
              <w:widowControl/>
              <w:spacing w:line="320" w:lineRule="exact"/>
              <w:jc w:val="center"/>
              <w:textAlignment w:val="baseline"/>
              <w:rPr>
                <w:rFonts w:hint="eastAsia" w:ascii="仿宋_GB2312" w:hAnsi="等线" w:eastAsia="仿宋_GB2312" w:cs="宋体"/>
                <w:kern w:val="0"/>
                <w:sz w:val="24"/>
                <w:szCs w:val="24"/>
                <w:highlight w:val="none"/>
                <w:lang w:val="en-US" w:eastAsia="zh-CN"/>
              </w:rPr>
            </w:pPr>
            <w:r>
              <w:rPr>
                <w:rFonts w:hint="eastAsia" w:ascii="仿宋_GB2312" w:hAnsi="等线" w:eastAsia="仿宋_GB2312" w:cs="宋体"/>
                <w:kern w:val="0"/>
                <w:sz w:val="24"/>
                <w:szCs w:val="24"/>
                <w:highlight w:val="none"/>
                <w:lang w:val="en-US" w:eastAsia="zh-CN"/>
              </w:rPr>
              <w:t>花椒</w:t>
            </w:r>
          </w:p>
        </w:tc>
        <w:tc>
          <w:tcPr>
            <w:tcW w:w="1455" w:type="dxa"/>
            <w:noWrap w:val="0"/>
            <w:vAlign w:val="center"/>
          </w:tcPr>
          <w:p>
            <w:pPr>
              <w:widowControl/>
              <w:wordWrap w:val="0"/>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地径＜2</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2-3</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35</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hint="eastAsia"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480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880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9</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15.0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1200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19.0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1520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23.0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1840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12</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26.0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2080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13</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30.0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2400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14</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34.0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2720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37.5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3000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16</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41.0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3280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hint="eastAsia"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17</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45.0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3600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18</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50.0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4000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19</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53.0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4240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56.0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4480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21</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58.0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4640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22</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60.0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4800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23</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62.0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4960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24</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64.0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5120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25</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66.0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5280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26</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68.0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5440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27</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70.0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5600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28</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72.0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5760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29</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74.0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5920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5" w:type="dxa"/>
            <w:vMerge w:val="continue"/>
            <w:noWrap w:val="0"/>
            <w:vAlign w:val="center"/>
          </w:tcPr>
          <w:p>
            <w:pPr>
              <w:widowControl/>
              <w:spacing w:line="300" w:lineRule="exact"/>
              <w:jc w:val="center"/>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&gt;29</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76.0</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6080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5" w:type="dxa"/>
            <w:vMerge w:val="restart"/>
            <w:noWrap w:val="0"/>
            <w:vAlign w:val="center"/>
          </w:tcPr>
          <w:p>
            <w:pPr>
              <w:widowControl/>
              <w:spacing w:line="300" w:lineRule="exact"/>
              <w:jc w:val="center"/>
              <w:rPr>
                <w:rFonts w:ascii="仿宋_GB2312" w:hAnsi="等线" w:eastAsia="仿宋_GB2312" w:cs="宋体"/>
                <w:kern w:val="0"/>
                <w:sz w:val="24"/>
                <w:szCs w:val="24"/>
                <w:highlight w:val="none"/>
              </w:rPr>
            </w:pPr>
            <w:r>
              <w:rPr>
                <w:rFonts w:hint="eastAsia" w:ascii="仿宋_GB2312" w:hAnsi="微软雅黑" w:eastAsia="仿宋_GB2312" w:cs="宋体"/>
                <w:kern w:val="0"/>
                <w:sz w:val="24"/>
                <w:szCs w:val="24"/>
                <w:highlight w:val="none"/>
              </w:rPr>
              <w:t>榛子</w:t>
            </w: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地径＜2</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35</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1.4</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224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2.7</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432</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3.6</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576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5-6</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4.9</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784</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7-8</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5.5</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880</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5" w:type="dxa"/>
            <w:vMerge w:val="continue"/>
            <w:noWrap w:val="0"/>
            <w:vAlign w:val="center"/>
          </w:tcPr>
          <w:p>
            <w:pPr>
              <w:widowControl/>
              <w:spacing w:line="320" w:lineRule="exact"/>
              <w:jc w:val="center"/>
              <w:textAlignment w:val="baseline"/>
              <w:rPr>
                <w:rFonts w:ascii="仿宋_GB2312" w:hAnsi="等线" w:eastAsia="仿宋_GB2312" w:cs="宋体"/>
                <w:kern w:val="0"/>
                <w:sz w:val="24"/>
                <w:szCs w:val="24"/>
                <w:highlight w:val="none"/>
              </w:rPr>
            </w:pPr>
          </w:p>
        </w:tc>
        <w:tc>
          <w:tcPr>
            <w:tcW w:w="1455"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&gt;8</w:t>
            </w:r>
          </w:p>
        </w:tc>
        <w:tc>
          <w:tcPr>
            <w:tcW w:w="1591"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5.6</w:t>
            </w:r>
          </w:p>
        </w:tc>
        <w:tc>
          <w:tcPr>
            <w:tcW w:w="1799"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20</w:t>
            </w:r>
          </w:p>
        </w:tc>
        <w:tc>
          <w:tcPr>
            <w:tcW w:w="172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896</w:t>
            </w:r>
          </w:p>
        </w:tc>
        <w:tc>
          <w:tcPr>
            <w:tcW w:w="1729" w:type="dxa"/>
            <w:gridSpan w:val="2"/>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89</w:t>
            </w:r>
          </w:p>
        </w:tc>
      </w:tr>
    </w:tbl>
    <w:p>
      <w:pPr>
        <w:spacing w:before="156" w:beforeLines="50" w:after="156" w:afterLines="50" w:line="560" w:lineRule="exact"/>
        <w:rPr>
          <w:rFonts w:ascii="黑体" w:hAnsi="黑体" w:eastAsia="黑体" w:cs="宋体"/>
          <w:kern w:val="0"/>
          <w:sz w:val="32"/>
          <w:szCs w:val="32"/>
          <w:highlight w:val="none"/>
        </w:rPr>
      </w:pPr>
      <w:r>
        <w:rPr>
          <w:rFonts w:ascii="黑体" w:hAnsi="黑体" w:eastAsia="黑体" w:cs="宋体"/>
          <w:kern w:val="0"/>
          <w:sz w:val="32"/>
          <w:szCs w:val="32"/>
          <w:highlight w:val="none"/>
        </w:rPr>
        <w:br w:type="page"/>
      </w:r>
      <w:r>
        <w:rPr>
          <w:rFonts w:hint="eastAsia" w:ascii="黑体" w:hAnsi="黑体" w:eastAsia="黑体" w:cs="宋体"/>
          <w:kern w:val="0"/>
          <w:sz w:val="32"/>
          <w:szCs w:val="32"/>
          <w:highlight w:val="none"/>
          <w:lang w:val="en-US" w:eastAsia="zh-CN"/>
        </w:rPr>
        <w:t xml:space="preserve">    </w:t>
      </w:r>
      <w:r>
        <w:rPr>
          <w:rFonts w:ascii="黑体" w:hAnsi="黑体" w:eastAsia="黑体" w:cs="宋体"/>
          <w:kern w:val="0"/>
          <w:sz w:val="32"/>
          <w:szCs w:val="32"/>
          <w:highlight w:val="none"/>
        </w:rPr>
        <w:t>三、绿化树木及其它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2095"/>
        <w:gridCol w:w="2906"/>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trPr>
        <w:tc>
          <w:tcPr>
            <w:tcW w:w="9060" w:type="dxa"/>
            <w:gridSpan w:val="4"/>
            <w:tcBorders>
              <w:top w:val="nil"/>
              <w:left w:val="nil"/>
              <w:right w:val="nil"/>
            </w:tcBorders>
            <w:noWrap w:val="0"/>
            <w:vAlign w:val="center"/>
          </w:tcPr>
          <w:p>
            <w:pPr>
              <w:widowControl/>
              <w:jc w:val="center"/>
              <w:rPr>
                <w:rFonts w:ascii="仿宋_GB2312" w:hAnsi="黑体" w:eastAsia="仿宋_GB2312" w:cs="宋体"/>
                <w:b/>
                <w:kern w:val="0"/>
                <w:sz w:val="32"/>
                <w:szCs w:val="32"/>
                <w:highlight w:val="none"/>
              </w:rPr>
            </w:pPr>
            <w:r>
              <w:rPr>
                <w:rFonts w:hint="eastAsia" w:ascii="方正小标宋简体" w:hAnsi="方正小标宋简体" w:eastAsia="方正小标宋简体" w:cs="方正小标宋简体"/>
                <w:b w:val="0"/>
                <w:bCs/>
                <w:kern w:val="0"/>
                <w:sz w:val="32"/>
                <w:szCs w:val="32"/>
                <w:highlight w:val="none"/>
              </w:rPr>
              <w:t>绿化树木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1571"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品种</w:t>
            </w:r>
          </w:p>
        </w:tc>
        <w:tc>
          <w:tcPr>
            <w:tcW w:w="2095"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规格</w:t>
            </w:r>
          </w:p>
        </w:tc>
        <w:tc>
          <w:tcPr>
            <w:tcW w:w="2906"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标准单价</w:t>
            </w:r>
            <w:r>
              <w:rPr>
                <w:rFonts w:hint="eastAsia" w:ascii="仿宋_GB2312" w:hAnsi="等线" w:eastAsia="仿宋_GB2312" w:cs="宋体"/>
                <w:kern w:val="0"/>
                <w:sz w:val="24"/>
                <w:highlight w:val="none"/>
              </w:rPr>
              <w:br w:type="textWrapping"/>
            </w:r>
            <w:r>
              <w:rPr>
                <w:rFonts w:hint="eastAsia" w:ascii="仿宋_GB2312" w:hAnsi="等线" w:eastAsia="仿宋_GB2312" w:cs="宋体"/>
                <w:kern w:val="0"/>
                <w:sz w:val="24"/>
                <w:highlight w:val="none"/>
              </w:rPr>
              <w:t>（元）</w:t>
            </w:r>
          </w:p>
        </w:tc>
        <w:tc>
          <w:tcPr>
            <w:tcW w:w="2488" w:type="dxa"/>
            <w:noWrap w:val="0"/>
            <w:vAlign w:val="center"/>
          </w:tcPr>
          <w:p>
            <w:pPr>
              <w:widowControl/>
              <w:spacing w:line="300" w:lineRule="exact"/>
              <w:jc w:val="center"/>
              <w:rPr>
                <w:rFonts w:hint="eastAsia" w:ascii="仿宋_GB2312" w:hAnsi="等线" w:eastAsia="仿宋_GB2312" w:cs="宋体"/>
                <w:kern w:val="0"/>
                <w:sz w:val="24"/>
                <w:highlight w:val="none"/>
              </w:rPr>
            </w:pPr>
            <w:r>
              <w:rPr>
                <w:rFonts w:hint="eastAsia" w:ascii="仿宋_GB2312" w:hAnsi="等线" w:eastAsia="仿宋_GB2312" w:cs="宋体"/>
                <w:kern w:val="0"/>
                <w:sz w:val="24"/>
                <w:highlight w:val="none"/>
              </w:rPr>
              <w:t>最大种植密度</w:t>
            </w:r>
            <w:r>
              <w:rPr>
                <w:rFonts w:hint="eastAsia" w:ascii="仿宋_GB2312" w:hAnsi="等线" w:eastAsia="仿宋_GB2312" w:cs="宋体"/>
                <w:kern w:val="0"/>
                <w:sz w:val="24"/>
                <w:highlight w:val="none"/>
              </w:rPr>
              <w:br w:type="textWrapping"/>
            </w:r>
            <w:r>
              <w:rPr>
                <w:rFonts w:hint="eastAsia" w:ascii="仿宋_GB2312" w:hAnsi="等线" w:eastAsia="仿宋_GB2312" w:cs="宋体"/>
                <w:kern w:val="0"/>
                <w:sz w:val="24"/>
                <w:highlight w:val="none"/>
              </w:rPr>
              <w:t>（株/亩）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桧柏</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刺柏</w:t>
            </w:r>
          </w:p>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高度＜0.5m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3.1-3.5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5.1-6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6.1-7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7m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油松</w:t>
            </w:r>
          </w:p>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高度＜0.5m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0.5-0.9</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1.0-1.4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3.1-3.5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5.1-6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6.1-7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8.1-9</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4800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10.1-11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12.1-13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13m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侧柏</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高度＜1m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3.1-3.5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5.1-6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6.1-7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8.1-9</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10m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连翘</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金钟花</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高度≤1m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2.5m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金银木</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高度＜1.1m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2.5m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国槐</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国槐</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金枝国槐</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龙爪槐</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杜仲</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杜仲</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464</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16-20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五角枫</w:t>
            </w:r>
          </w:p>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元宝枫</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金叶复叶槭</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16-20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白蜡</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合欢</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8-9</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金叶榆</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金叶榆</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13-14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15-16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白皮松</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高度＜0.5m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3.1-3.5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4.1-4.5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4.6-5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5.1-6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6m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华山松</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高度＜0.5m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3.1-3.5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4.1-4.5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4.6-5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3900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5.1-6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6m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梓树</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楸树</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栾树</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30㎝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黄栌</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红栌</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黄栌</w:t>
            </w:r>
          </w:p>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红栌</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16-20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紫叶李</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女贞</w:t>
            </w:r>
          </w:p>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水蜡</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小蜡</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高度＜0.5m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0.5-0.8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0.9-1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2.5m</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榆叶梅</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地径＜1㎝</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山桃</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山杏</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7-8</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9-10</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15㎝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火炬</w:t>
            </w: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2095"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2906"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2488" w:type="dxa"/>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樱花</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樱花</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法桐</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31-35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36-40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3850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41-45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4340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45㎝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4340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鸡树条、欧洲荚蒾</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高度＜1m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2m以上</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锦带</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高度＜1m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1.5m以上</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银杏</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胸径＜2cm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640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银杏</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2900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3300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3700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4100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29</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4900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雪松</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高度&lt;0.5m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0.5-0.9</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3.1-3.5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5.1-6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3150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6.1-7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4900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7.1-9</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6300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9m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10500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枸杞</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黄刺玫</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高度＜0.5m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丁香</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高度＜0.5m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迎春花</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枝长＜0.3m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0.3-0.5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0.6-0.9</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1.5m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牡丹</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一年生或小于一年生</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二年生</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三年生</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四年生</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五年生</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六年生</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六年生以上</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玉兰</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干径＜4㎝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玉兰</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840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20cm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大叶黄杨球</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高度&lt;1m</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冠幅 100cm</w:t>
            </w:r>
            <w:r>
              <w:rPr>
                <w:rFonts w:hint="eastAsia" w:ascii="仿宋_GB2312" w:hAnsi="仿宋_GB2312" w:eastAsia="仿宋_GB2312" w:cs="仿宋_GB2312"/>
                <w:kern w:val="0"/>
                <w:sz w:val="24"/>
                <w:szCs w:val="24"/>
                <w:highlight w:val="none"/>
                <w:lang w:eastAsia="zh-CN"/>
              </w:rPr>
              <w:t>）</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高度1</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1.2m</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冠幅 120cm</w:t>
            </w:r>
            <w:r>
              <w:rPr>
                <w:rFonts w:hint="eastAsia" w:ascii="仿宋_GB2312" w:hAnsi="仿宋_GB2312" w:eastAsia="仿宋_GB2312" w:cs="仿宋_GB2312"/>
                <w:kern w:val="0"/>
                <w:sz w:val="24"/>
                <w:szCs w:val="24"/>
                <w:highlight w:val="none"/>
                <w:lang w:eastAsia="zh-CN"/>
              </w:rPr>
              <w:t>）</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高度1.2</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1.5m</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冠幅200cm</w:t>
            </w:r>
            <w:r>
              <w:rPr>
                <w:rFonts w:hint="eastAsia" w:ascii="仿宋_GB2312" w:hAnsi="仿宋_GB2312" w:eastAsia="仿宋_GB2312" w:cs="仿宋_GB2312"/>
                <w:kern w:val="0"/>
                <w:sz w:val="24"/>
                <w:szCs w:val="24"/>
                <w:highlight w:val="none"/>
                <w:lang w:eastAsia="zh-CN"/>
              </w:rPr>
              <w:t>）</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290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高度1.5</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1.8m</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冠幅200cm</w:t>
            </w:r>
            <w:r>
              <w:rPr>
                <w:rFonts w:hint="eastAsia" w:ascii="仿宋_GB2312" w:hAnsi="仿宋_GB2312" w:eastAsia="仿宋_GB2312" w:cs="仿宋_GB2312"/>
                <w:kern w:val="0"/>
                <w:sz w:val="24"/>
                <w:szCs w:val="24"/>
                <w:highlight w:val="none"/>
                <w:lang w:eastAsia="zh-CN"/>
              </w:rPr>
              <w:t>）</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高度&gt;1.8m（冠幅&gt;200cm）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黄杨</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高度&lt;0.5m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0.6-0.8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0.9-1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p>
            <w:pPr>
              <w:widowControl/>
              <w:spacing w:line="320" w:lineRule="exact"/>
              <w:jc w:val="center"/>
              <w:textAlignment w:val="baseline"/>
              <w:rPr>
                <w:rFonts w:hint="eastAsia" w:ascii="仿宋_GB2312" w:hAnsi="仿宋_GB2312" w:eastAsia="仿宋_GB2312" w:cs="仿宋_GB2312"/>
                <w:kern w:val="0"/>
                <w:sz w:val="24"/>
                <w:szCs w:val="24"/>
                <w:highlight w:val="none"/>
              </w:rPr>
            </w:pPr>
          </w:p>
          <w:p>
            <w:pPr>
              <w:pStyle w:val="6"/>
              <w:rPr>
                <w:rFonts w:hint="eastAsia"/>
                <w:highlight w:val="none"/>
              </w:rPr>
            </w:pPr>
          </w:p>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碧桃</w:t>
            </w:r>
          </w:p>
          <w:p>
            <w:pPr>
              <w:pStyle w:val="6"/>
              <w:rPr>
                <w:rFonts w:hint="eastAsia" w:ascii="仿宋_GB2312" w:hAnsi="仿宋_GB2312" w:eastAsia="仿宋_GB2312" w:cs="仿宋_GB2312"/>
                <w:kern w:val="0"/>
                <w:sz w:val="24"/>
                <w:szCs w:val="24"/>
                <w:highlight w:val="none"/>
              </w:rPr>
            </w:pPr>
          </w:p>
          <w:p>
            <w:pPr>
              <w:pStyle w:val="7"/>
              <w:rPr>
                <w:rFonts w:hint="eastAsia" w:ascii="仿宋_GB2312" w:hAnsi="仿宋_GB2312" w:eastAsia="仿宋_GB2312" w:cs="仿宋_GB2312"/>
                <w:kern w:val="0"/>
                <w:sz w:val="24"/>
                <w:szCs w:val="24"/>
                <w:highlight w:val="none"/>
              </w:rPr>
            </w:pPr>
          </w:p>
          <w:p>
            <w:pPr>
              <w:rPr>
                <w:rFonts w:hint="eastAsia" w:ascii="仿宋_GB2312" w:hAnsi="仿宋_GB2312" w:eastAsia="仿宋_GB2312" w:cs="仿宋_GB2312"/>
                <w:kern w:val="0"/>
                <w:sz w:val="24"/>
                <w:szCs w:val="24"/>
                <w:highlight w:val="none"/>
              </w:rPr>
            </w:pPr>
          </w:p>
          <w:p>
            <w:pPr>
              <w:rPr>
                <w:rFonts w:hint="eastAsia" w:ascii="仿宋_GB2312" w:hAnsi="仿宋_GB2312" w:eastAsia="仿宋_GB2312" w:cs="仿宋_GB2312"/>
                <w:kern w:val="0"/>
                <w:sz w:val="24"/>
                <w:szCs w:val="24"/>
                <w:highlight w:val="none"/>
              </w:rPr>
            </w:pPr>
          </w:p>
          <w:p>
            <w:pPr>
              <w:pStyle w:val="6"/>
              <w:rPr>
                <w:rFonts w:hint="eastAsia"/>
                <w:highlight w:val="none"/>
              </w:rPr>
            </w:pPr>
          </w:p>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碧桃</w:t>
            </w:r>
          </w:p>
          <w:p>
            <w:pPr>
              <w:pStyle w:val="6"/>
              <w:rPr>
                <w:rFonts w:hint="eastAsia"/>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20cm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紫藤</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凌霄</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7㎝</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金银花</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忍冬</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350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红枫</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胸径＜2㎝</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3-4</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240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7-8</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550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9-10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11-13</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1250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14-15</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1400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16-18</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2200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19-20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3400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21-25</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4500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25㎝</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6050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木槿</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地径≤2㎝</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4-5</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6-7</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110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8-9</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180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10-11</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330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12-13</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360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14-15</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500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16-20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800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20㎝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1000</w:t>
            </w:r>
          </w:p>
        </w:tc>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竹子</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多年生</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百合</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沙地柏</w:t>
            </w:r>
          </w:p>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铺地柏</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高＜0.5m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0.5-0.8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0.9-1</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13</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eastAsia="zh-CN"/>
              </w:rPr>
              <w:t>&gt;</w:t>
            </w:r>
            <w:r>
              <w:rPr>
                <w:rFonts w:hint="eastAsia" w:ascii="仿宋_GB2312" w:hAnsi="仿宋_GB2312" w:eastAsia="仿宋_GB2312" w:cs="仿宋_GB2312"/>
                <w:kern w:val="0"/>
                <w:sz w:val="24"/>
                <w:szCs w:val="24"/>
                <w:highlight w:val="none"/>
              </w:rPr>
              <w:t>1m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restart"/>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月季</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高＜0.5m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8</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5556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1" w:type="dxa"/>
            <w:vMerge w:val="continue"/>
            <w:noWrap w:val="0"/>
            <w:vAlign w:val="top"/>
          </w:tcPr>
          <w:p>
            <w:pPr>
              <w:widowControl/>
              <w:spacing w:line="320" w:lineRule="exact"/>
              <w:jc w:val="center"/>
              <w:textAlignment w:val="baseline"/>
              <w:rPr>
                <w:rFonts w:hint="eastAsia" w:ascii="仿宋_GB2312" w:hAnsi="仿宋_GB2312" w:eastAsia="仿宋_GB2312" w:cs="仿宋_GB2312"/>
                <w:kern w:val="0"/>
                <w:sz w:val="24"/>
                <w:szCs w:val="24"/>
                <w:highlight w:val="none"/>
              </w:rPr>
            </w:pP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≥0.5m</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15</w:t>
            </w:r>
          </w:p>
        </w:tc>
        <w:tc>
          <w:tcPr>
            <w:tcW w:w="0" w:type="auto"/>
            <w:noWrap w:val="0"/>
            <w:vAlign w:val="center"/>
          </w:tcPr>
          <w:p>
            <w:pPr>
              <w:widowControl/>
              <w:spacing w:line="320" w:lineRule="exact"/>
              <w:jc w:val="center"/>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3333</w:t>
            </w:r>
          </w:p>
        </w:tc>
      </w:tr>
    </w:tbl>
    <w:p>
      <w:pPr>
        <w:spacing w:before="156" w:beforeLines="50" w:after="156" w:afterLines="50" w:line="560" w:lineRule="exact"/>
        <w:rPr>
          <w:rFonts w:ascii="黑体" w:hAnsi="黑体" w:eastAsia="黑体" w:cs="宋体"/>
          <w:kern w:val="0"/>
          <w:sz w:val="32"/>
          <w:szCs w:val="32"/>
          <w:highlight w:val="none"/>
        </w:rPr>
      </w:pPr>
      <w:r>
        <w:rPr>
          <w:rFonts w:ascii="黑体" w:hAnsi="黑体" w:eastAsia="黑体" w:cs="宋体"/>
          <w:kern w:val="0"/>
          <w:sz w:val="32"/>
          <w:szCs w:val="32"/>
          <w:highlight w:val="none"/>
          <w:lang w:val="en-US" w:eastAsia="zh-CN"/>
        </w:rPr>
        <w:br w:type="page"/>
      </w:r>
      <w:r>
        <w:rPr>
          <w:rFonts w:hint="eastAsia" w:ascii="黑体" w:hAnsi="黑体" w:eastAsia="黑体" w:cs="宋体"/>
          <w:kern w:val="0"/>
          <w:sz w:val="32"/>
          <w:szCs w:val="32"/>
          <w:highlight w:val="none"/>
          <w:lang w:val="en-US" w:eastAsia="zh-CN"/>
        </w:rPr>
        <w:t xml:space="preserve">    </w:t>
      </w:r>
      <w:r>
        <w:rPr>
          <w:rFonts w:ascii="黑体" w:hAnsi="黑体" w:eastAsia="黑体" w:cs="宋体"/>
          <w:kern w:val="0"/>
          <w:sz w:val="32"/>
          <w:szCs w:val="32"/>
          <w:highlight w:val="none"/>
          <w:lang w:val="en-US" w:eastAsia="zh-CN"/>
        </w:rPr>
        <w:t>四、</w:t>
      </w:r>
      <w:r>
        <w:rPr>
          <w:rFonts w:hint="eastAsia" w:ascii="黑体" w:hAnsi="黑体" w:eastAsia="黑体" w:cs="宋体"/>
          <w:kern w:val="0"/>
          <w:sz w:val="32"/>
          <w:szCs w:val="32"/>
          <w:highlight w:val="none"/>
          <w:lang w:val="en-US" w:eastAsia="zh-CN"/>
        </w:rPr>
        <w:t>青苗、菜地、农业设施标准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4"/>
        <w:gridCol w:w="2856"/>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060" w:type="dxa"/>
            <w:gridSpan w:val="3"/>
            <w:tcBorders>
              <w:top w:val="nil"/>
              <w:left w:val="nil"/>
              <w:right w:val="nil"/>
            </w:tcBorders>
            <w:noWrap w:val="0"/>
            <w:vAlign w:val="center"/>
          </w:tcPr>
          <w:p>
            <w:pPr>
              <w:widowControl/>
              <w:jc w:val="center"/>
              <w:rPr>
                <w:rFonts w:ascii="仿宋_GB2312" w:hAnsi="宋体" w:eastAsia="仿宋_GB2312" w:cs="宋体"/>
                <w:b/>
                <w:kern w:val="0"/>
                <w:sz w:val="24"/>
                <w:highlight w:val="none"/>
              </w:rPr>
            </w:pPr>
            <w:r>
              <w:rPr>
                <w:rFonts w:hint="eastAsia" w:ascii="方正小标宋简体" w:hAnsi="方正小标宋简体" w:eastAsia="方正小标宋简体" w:cs="方正小标宋简体"/>
                <w:b w:val="0"/>
                <w:bCs/>
                <w:kern w:val="0"/>
                <w:sz w:val="32"/>
                <w:szCs w:val="32"/>
                <w:highlight w:val="none"/>
              </w:rPr>
              <w:t>青苗、菜地、农业设施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064" w:type="dxa"/>
            <w:noWrap w:val="0"/>
            <w:vAlign w:val="center"/>
          </w:tcPr>
          <w:p>
            <w:pPr>
              <w:widowControl/>
              <w:spacing w:line="300" w:lineRule="exact"/>
              <w:jc w:val="center"/>
              <w:rPr>
                <w:rFonts w:ascii="仿宋_GB2312" w:hAnsi="宋体" w:eastAsia="仿宋_GB2312" w:cs="宋体"/>
                <w:b/>
                <w:bCs/>
                <w:kern w:val="0"/>
                <w:sz w:val="24"/>
                <w:highlight w:val="none"/>
              </w:rPr>
            </w:pPr>
            <w:r>
              <w:rPr>
                <w:rFonts w:ascii="仿宋_GB2312" w:hAnsi="宋体" w:eastAsia="仿宋_GB2312" w:cs="宋体"/>
                <w:b/>
                <w:bCs/>
                <w:kern w:val="0"/>
                <w:sz w:val="24"/>
                <w:highlight w:val="none"/>
              </w:rPr>
              <w:t>设施名称</w:t>
            </w:r>
          </w:p>
        </w:tc>
        <w:tc>
          <w:tcPr>
            <w:tcW w:w="2856" w:type="dxa"/>
            <w:noWrap w:val="0"/>
            <w:vAlign w:val="center"/>
          </w:tcPr>
          <w:p>
            <w:pPr>
              <w:widowControl/>
              <w:spacing w:line="300" w:lineRule="exact"/>
              <w:jc w:val="center"/>
              <w:rPr>
                <w:rFonts w:ascii="仿宋_GB2312" w:hAnsi="宋体" w:eastAsia="仿宋_GB2312" w:cs="宋体"/>
                <w:b/>
                <w:bCs/>
                <w:kern w:val="0"/>
                <w:sz w:val="24"/>
                <w:highlight w:val="none"/>
              </w:rPr>
            </w:pPr>
            <w:r>
              <w:rPr>
                <w:rFonts w:ascii="仿宋_GB2312" w:hAnsi="宋体" w:eastAsia="仿宋_GB2312" w:cs="宋体"/>
                <w:b/>
                <w:bCs/>
                <w:kern w:val="0"/>
                <w:sz w:val="24"/>
                <w:highlight w:val="none"/>
              </w:rPr>
              <w:t>单价</w:t>
            </w:r>
          </w:p>
        </w:tc>
        <w:tc>
          <w:tcPr>
            <w:tcW w:w="3140" w:type="dxa"/>
            <w:noWrap w:val="0"/>
            <w:vAlign w:val="center"/>
          </w:tcPr>
          <w:p>
            <w:pPr>
              <w:widowControl/>
              <w:spacing w:line="300" w:lineRule="exact"/>
              <w:jc w:val="center"/>
              <w:rPr>
                <w:rFonts w:ascii="仿宋_GB2312" w:hAnsi="宋体" w:eastAsia="仿宋_GB2312" w:cs="宋体"/>
                <w:b/>
                <w:bCs/>
                <w:kern w:val="0"/>
                <w:sz w:val="24"/>
                <w:highlight w:val="none"/>
              </w:rPr>
            </w:pPr>
            <w:r>
              <w:rPr>
                <w:rFonts w:ascii="仿宋_GB2312" w:hAnsi="宋体" w:eastAsia="仿宋_GB2312" w:cs="宋体"/>
                <w:b/>
                <w:bCs/>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64"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青苗（包括玉米、小麦等）</w:t>
            </w:r>
          </w:p>
        </w:tc>
        <w:tc>
          <w:tcPr>
            <w:tcW w:w="2856"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1500元/亩</w:t>
            </w:r>
          </w:p>
        </w:tc>
        <w:tc>
          <w:tcPr>
            <w:tcW w:w="3140"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大田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64"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菜地</w:t>
            </w:r>
          </w:p>
        </w:tc>
        <w:tc>
          <w:tcPr>
            <w:tcW w:w="2856"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3000元/亩</w:t>
            </w:r>
          </w:p>
        </w:tc>
        <w:tc>
          <w:tcPr>
            <w:tcW w:w="3140"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大田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64" w:type="dxa"/>
            <w:shd w:val="clear" w:color="auto" w:fill="auto"/>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草莓</w:t>
            </w:r>
          </w:p>
        </w:tc>
        <w:tc>
          <w:tcPr>
            <w:tcW w:w="2856" w:type="dxa"/>
            <w:shd w:val="clear" w:color="auto" w:fill="auto"/>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4</w:t>
            </w:r>
            <w:r>
              <w:rPr>
                <w:rFonts w:ascii="仿宋_GB2312" w:hAnsi="微软雅黑" w:eastAsia="仿宋_GB2312" w:cs="宋体"/>
                <w:kern w:val="0"/>
                <w:sz w:val="24"/>
                <w:szCs w:val="24"/>
                <w:highlight w:val="none"/>
              </w:rPr>
              <w:t>0000</w:t>
            </w:r>
            <w:r>
              <w:rPr>
                <w:rFonts w:hint="eastAsia" w:ascii="仿宋_GB2312" w:hAnsi="微软雅黑" w:eastAsia="仿宋_GB2312" w:cs="宋体"/>
                <w:kern w:val="0"/>
                <w:sz w:val="24"/>
                <w:szCs w:val="24"/>
                <w:highlight w:val="none"/>
              </w:rPr>
              <w:t>元/亩</w:t>
            </w:r>
          </w:p>
        </w:tc>
        <w:tc>
          <w:tcPr>
            <w:tcW w:w="3140" w:type="dxa"/>
            <w:shd w:val="clear" w:color="auto" w:fill="auto"/>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64"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竹架温室</w:t>
            </w:r>
          </w:p>
        </w:tc>
        <w:tc>
          <w:tcPr>
            <w:tcW w:w="2856"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90-110元/㎡</w:t>
            </w:r>
          </w:p>
        </w:tc>
        <w:tc>
          <w:tcPr>
            <w:tcW w:w="3140"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64" w:type="dxa"/>
            <w:vMerge w:val="restart"/>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钢架温室</w:t>
            </w:r>
          </w:p>
        </w:tc>
        <w:tc>
          <w:tcPr>
            <w:tcW w:w="2856"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130-150元/㎡</w:t>
            </w:r>
          </w:p>
        </w:tc>
        <w:tc>
          <w:tcPr>
            <w:tcW w:w="3140"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64" w:type="dxa"/>
            <w:vMerge w:val="continue"/>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p>
        </w:tc>
        <w:tc>
          <w:tcPr>
            <w:tcW w:w="2856"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160-210元/㎡</w:t>
            </w:r>
          </w:p>
        </w:tc>
        <w:tc>
          <w:tcPr>
            <w:tcW w:w="3140" w:type="dxa"/>
            <w:noWrap w:val="0"/>
            <w:vAlign w:val="center"/>
          </w:tcPr>
          <w:p>
            <w:pPr>
              <w:widowControl/>
              <w:spacing w:line="320" w:lineRule="exact"/>
              <w:jc w:val="center"/>
              <w:textAlignment w:val="baseline"/>
              <w:rPr>
                <w:rFonts w:ascii="仿宋_GB2312" w:hAnsi="宋体" w:eastAsia="仿宋_GB2312" w:cs="宋体"/>
                <w:kern w:val="0"/>
                <w:sz w:val="24"/>
                <w:szCs w:val="24"/>
                <w:highlight w:val="none"/>
              </w:rPr>
            </w:pPr>
            <w:r>
              <w:rPr>
                <w:rFonts w:hint="eastAsia" w:ascii="仿宋_GB2312" w:hAnsi="微软雅黑" w:eastAsia="仿宋_GB2312" w:cs="宋体"/>
                <w:kern w:val="0"/>
                <w:sz w:val="24"/>
                <w:szCs w:val="24"/>
                <w:highlight w:val="none"/>
              </w:rPr>
              <w:t>包括卷帘机、棉帘、草帘等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64" w:type="dxa"/>
            <w:noWrap w:val="0"/>
            <w:vAlign w:val="center"/>
          </w:tcPr>
          <w:p>
            <w:pPr>
              <w:widowControl/>
              <w:spacing w:line="320" w:lineRule="exact"/>
              <w:jc w:val="center"/>
              <w:textAlignment w:val="baseline"/>
              <w:rPr>
                <w:rFonts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春秋棚</w:t>
            </w:r>
          </w:p>
        </w:tc>
        <w:tc>
          <w:tcPr>
            <w:tcW w:w="2856"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50-90元/㎡</w:t>
            </w:r>
          </w:p>
        </w:tc>
        <w:tc>
          <w:tcPr>
            <w:tcW w:w="3140" w:type="dxa"/>
            <w:noWrap w:val="0"/>
            <w:vAlign w:val="center"/>
          </w:tcPr>
          <w:p>
            <w:pPr>
              <w:widowControl/>
              <w:spacing w:line="320" w:lineRule="exact"/>
              <w:jc w:val="center"/>
              <w:textAlignment w:val="baseline"/>
              <w:rPr>
                <w:rFonts w:hint="eastAsia" w:ascii="仿宋_GB2312" w:hAnsi="微软雅黑" w:eastAsia="仿宋_GB2312" w:cs="宋体"/>
                <w:kern w:val="0"/>
                <w:sz w:val="24"/>
                <w:szCs w:val="24"/>
                <w:highlight w:val="none"/>
                <w:lang w:val="en-US" w:eastAsia="zh-CN" w:bidi="ar-SA"/>
              </w:rPr>
            </w:pPr>
            <w:r>
              <w:rPr>
                <w:rFonts w:hint="eastAsia" w:ascii="仿宋_GB2312" w:hAnsi="微软雅黑" w:eastAsia="仿宋_GB2312" w:cs="宋体"/>
                <w:kern w:val="0"/>
                <w:sz w:val="24"/>
                <w:szCs w:val="24"/>
                <w:highlight w:val="none"/>
              </w:rPr>
              <w:t>-</w:t>
            </w:r>
          </w:p>
        </w:tc>
      </w:tr>
    </w:tbl>
    <w:p>
      <w:pPr>
        <w:rPr>
          <w:rFonts w:hint="eastAsia"/>
          <w:highlight w:val="none"/>
        </w:rPr>
      </w:pPr>
    </w:p>
    <w:p>
      <w:pPr>
        <w:pStyle w:val="13"/>
        <w:ind w:left="0" w:leftChars="0" w:firstLine="0" w:firstLineChars="0"/>
        <w:rPr>
          <w:rFonts w:hint="eastAsia" w:ascii="黑体" w:hAnsi="黑体" w:eastAsia="黑体" w:cs="方正黑体_GBK"/>
          <w:sz w:val="32"/>
          <w:szCs w:val="32"/>
          <w:highlight w:val="none"/>
          <w:lang w:eastAsia="zh-CN"/>
        </w:rPr>
      </w:pPr>
      <w:r>
        <w:rPr>
          <w:rFonts w:hint="eastAsia"/>
          <w:highlight w:val="none"/>
        </w:rPr>
        <w:br w:type="page"/>
      </w:r>
      <w:r>
        <w:rPr>
          <w:rFonts w:hint="eastAsia" w:ascii="黑体" w:hAnsi="黑体" w:eastAsia="黑体" w:cs="方正黑体_GBK"/>
          <w:sz w:val="32"/>
          <w:szCs w:val="32"/>
          <w:highlight w:val="none"/>
        </w:rPr>
        <w:t>附件</w:t>
      </w:r>
      <w:r>
        <w:rPr>
          <w:rFonts w:hint="eastAsia" w:ascii="黑体" w:hAnsi="黑体" w:eastAsia="黑体" w:cs="方正黑体_GBK"/>
          <w:sz w:val="32"/>
          <w:szCs w:val="32"/>
          <w:highlight w:val="none"/>
          <w:lang w:val="en-US" w:eastAsia="zh-CN"/>
        </w:rPr>
        <w:t>3</w:t>
      </w:r>
    </w:p>
    <w:p>
      <w:pPr>
        <w:spacing w:line="560" w:lineRule="exact"/>
        <w:jc w:val="center"/>
        <w:rPr>
          <w:rFonts w:ascii="仿宋_GB2312" w:hAnsi="宋体" w:eastAsia="仿宋_GB2312"/>
          <w:sz w:val="32"/>
          <w:szCs w:val="32"/>
          <w:highlight w:val="none"/>
        </w:rPr>
      </w:pPr>
      <w:r>
        <w:rPr>
          <w:rFonts w:hint="eastAsia" w:ascii="方正小标宋简体" w:eastAsia="方正小标宋简体"/>
          <w:sz w:val="44"/>
          <w:szCs w:val="44"/>
          <w:highlight w:val="none"/>
        </w:rPr>
        <w:t>相关附属物及地埋管道补偿标准</w:t>
      </w:r>
    </w:p>
    <w:p>
      <w:pPr>
        <w:rPr>
          <w:rFonts w:hint="eastAsia"/>
          <w:highlight w:val="none"/>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718"/>
        <w:gridCol w:w="2107"/>
        <w:gridCol w:w="3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809" w:type="dxa"/>
            <w:gridSpan w:val="4"/>
            <w:tcBorders>
              <w:top w:val="nil"/>
              <w:left w:val="nil"/>
              <w:right w:val="nil"/>
            </w:tcBorders>
            <w:noWrap w:val="0"/>
            <w:vAlign w:val="center"/>
          </w:tcPr>
          <w:p>
            <w:pPr>
              <w:spacing w:line="500" w:lineRule="exact"/>
              <w:jc w:val="center"/>
              <w:rPr>
                <w:rFonts w:hint="eastAsia" w:ascii="仿宋_GB2312" w:hAnsi="仿宋_GB2312" w:eastAsia="仿宋_GB2312" w:cs="仿宋_GB2312"/>
                <w:b/>
                <w:bCs/>
                <w:spacing w:val="-2"/>
                <w:sz w:val="24"/>
                <w:szCs w:val="24"/>
                <w:highlight w:val="none"/>
              </w:rPr>
            </w:pPr>
            <w:r>
              <w:rPr>
                <w:rFonts w:hint="eastAsia" w:ascii="方正小标宋简体" w:hAnsi="方正小标宋简体" w:eastAsia="方正小标宋简体" w:cs="方正小标宋简体"/>
                <w:b w:val="0"/>
                <w:bCs/>
                <w:kern w:val="0"/>
                <w:sz w:val="32"/>
                <w:szCs w:val="32"/>
                <w:highlight w:val="none"/>
              </w:rPr>
              <w:t>附属物补偿标准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173" w:type="dxa"/>
            <w:noWrap w:val="0"/>
            <w:vAlign w:val="center"/>
          </w:tcPr>
          <w:p>
            <w:pPr>
              <w:pStyle w:val="83"/>
              <w:spacing w:line="500" w:lineRule="exact"/>
              <w:jc w:val="center"/>
              <w:rPr>
                <w:rFonts w:hint="eastAsia" w:ascii="仿宋_GB2312" w:hAnsi="仿宋_GB2312" w:eastAsia="仿宋_GB2312" w:cs="仿宋_GB2312"/>
                <w:b/>
                <w:bCs/>
                <w:spacing w:val="7"/>
                <w:sz w:val="24"/>
                <w:szCs w:val="24"/>
                <w:highlight w:val="none"/>
              </w:rPr>
            </w:pPr>
            <w:r>
              <w:rPr>
                <w:rFonts w:hint="eastAsia" w:ascii="仿宋_GB2312" w:hAnsi="仿宋_GB2312" w:eastAsia="仿宋_GB2312" w:cs="仿宋_GB2312"/>
                <w:b/>
                <w:bCs/>
                <w:spacing w:val="7"/>
                <w:sz w:val="24"/>
                <w:szCs w:val="24"/>
                <w:highlight w:val="none"/>
              </w:rPr>
              <w:t>序号</w:t>
            </w:r>
          </w:p>
        </w:tc>
        <w:tc>
          <w:tcPr>
            <w:tcW w:w="1718" w:type="dxa"/>
            <w:noWrap w:val="0"/>
            <w:vAlign w:val="center"/>
          </w:tcPr>
          <w:p>
            <w:pPr>
              <w:pStyle w:val="83"/>
              <w:spacing w:line="500" w:lineRule="exact"/>
              <w:jc w:val="center"/>
              <w:rPr>
                <w:rFonts w:hint="eastAsia" w:ascii="仿宋_GB2312" w:hAnsi="仿宋_GB2312" w:eastAsia="仿宋_GB2312" w:cs="仿宋_GB2312"/>
                <w:b/>
                <w:bCs/>
                <w:spacing w:val="7"/>
                <w:sz w:val="24"/>
                <w:szCs w:val="24"/>
                <w:highlight w:val="none"/>
              </w:rPr>
            </w:pPr>
            <w:r>
              <w:rPr>
                <w:rFonts w:hint="eastAsia" w:ascii="仿宋_GB2312" w:hAnsi="仿宋_GB2312" w:eastAsia="仿宋_GB2312" w:cs="仿宋_GB2312"/>
                <w:b/>
                <w:bCs/>
                <w:spacing w:val="7"/>
                <w:sz w:val="24"/>
                <w:szCs w:val="24"/>
                <w:highlight w:val="none"/>
              </w:rPr>
              <w:t>名称</w:t>
            </w:r>
          </w:p>
        </w:tc>
        <w:tc>
          <w:tcPr>
            <w:tcW w:w="2107" w:type="dxa"/>
            <w:noWrap w:val="0"/>
            <w:vAlign w:val="center"/>
          </w:tcPr>
          <w:p>
            <w:pPr>
              <w:pStyle w:val="83"/>
              <w:spacing w:line="500" w:lineRule="exact"/>
              <w:jc w:val="center"/>
              <w:rPr>
                <w:rFonts w:hint="eastAsia" w:ascii="仿宋_GB2312" w:hAnsi="仿宋_GB2312" w:eastAsia="仿宋_GB2312" w:cs="仿宋_GB2312"/>
                <w:b/>
                <w:bCs/>
                <w:spacing w:val="7"/>
                <w:sz w:val="24"/>
                <w:szCs w:val="24"/>
                <w:highlight w:val="none"/>
              </w:rPr>
            </w:pPr>
            <w:r>
              <w:rPr>
                <w:rFonts w:hint="eastAsia" w:ascii="仿宋_GB2312" w:hAnsi="仿宋_GB2312" w:eastAsia="仿宋_GB2312" w:cs="仿宋_GB2312"/>
                <w:b/>
                <w:bCs/>
                <w:spacing w:val="7"/>
                <w:sz w:val="24"/>
                <w:szCs w:val="24"/>
                <w:highlight w:val="none"/>
              </w:rPr>
              <w:t>单价</w:t>
            </w:r>
          </w:p>
        </w:tc>
        <w:tc>
          <w:tcPr>
            <w:tcW w:w="3811" w:type="dxa"/>
            <w:noWrap w:val="0"/>
            <w:vAlign w:val="center"/>
          </w:tcPr>
          <w:p>
            <w:pPr>
              <w:pStyle w:val="83"/>
              <w:spacing w:line="500" w:lineRule="exact"/>
              <w:jc w:val="center"/>
              <w:rPr>
                <w:rFonts w:hint="eastAsia" w:ascii="仿宋_GB2312" w:hAnsi="仿宋_GB2312" w:eastAsia="仿宋_GB2312" w:cs="仿宋_GB2312"/>
                <w:b/>
                <w:bCs/>
                <w:spacing w:val="7"/>
                <w:sz w:val="24"/>
                <w:szCs w:val="24"/>
                <w:highlight w:val="none"/>
              </w:rPr>
            </w:pPr>
            <w:r>
              <w:rPr>
                <w:rFonts w:hint="eastAsia" w:ascii="仿宋_GB2312" w:hAnsi="仿宋_GB2312" w:eastAsia="仿宋_GB2312" w:cs="仿宋_GB2312"/>
                <w:b/>
                <w:bCs/>
                <w:spacing w:val="7"/>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173"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1</w:t>
            </w:r>
          </w:p>
        </w:tc>
        <w:tc>
          <w:tcPr>
            <w:tcW w:w="1718"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水泥柱</w:t>
            </w:r>
          </w:p>
        </w:tc>
        <w:tc>
          <w:tcPr>
            <w:tcW w:w="2107"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30元/根</w:t>
            </w:r>
          </w:p>
        </w:tc>
        <w:tc>
          <w:tcPr>
            <w:tcW w:w="3811"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lang w:eastAsia="zh-CN"/>
              </w:rPr>
              <w:t>（</w:t>
            </w:r>
            <w:r>
              <w:rPr>
                <w:rFonts w:hint="eastAsia" w:ascii="仿宋_GB2312" w:hAnsi="仿宋_GB2312" w:eastAsia="仿宋_GB2312" w:cs="仿宋_GB2312"/>
                <w:spacing w:val="-3"/>
                <w:sz w:val="24"/>
                <w:szCs w:val="24"/>
                <w:highlight w:val="none"/>
              </w:rPr>
              <w:t>带铁丝</w:t>
            </w:r>
            <w:r>
              <w:rPr>
                <w:rFonts w:hint="eastAsia" w:ascii="仿宋_GB2312" w:hAnsi="仿宋_GB2312" w:eastAsia="仿宋_GB2312" w:cs="仿宋_GB2312"/>
                <w:spacing w:val="-3"/>
                <w:sz w:val="24"/>
                <w:szCs w:val="24"/>
                <w:highlight w:val="none"/>
                <w:lang w:eastAsia="zh-CN"/>
              </w:rPr>
              <w:t>）</w:t>
            </w:r>
            <w:r>
              <w:rPr>
                <w:rFonts w:hint="eastAsia" w:ascii="仿宋_GB2312" w:hAnsi="仿宋_GB2312" w:eastAsia="仿宋_GB2312" w:cs="仿宋_GB2312"/>
                <w:spacing w:val="-3"/>
                <w:sz w:val="24"/>
                <w:szCs w:val="24"/>
                <w:highlight w:val="none"/>
              </w:rPr>
              <w:t>拆移费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173"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2</w:t>
            </w:r>
          </w:p>
        </w:tc>
        <w:tc>
          <w:tcPr>
            <w:tcW w:w="1718"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压水井</w:t>
            </w:r>
          </w:p>
        </w:tc>
        <w:tc>
          <w:tcPr>
            <w:tcW w:w="2107"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1000元/座</w:t>
            </w:r>
          </w:p>
        </w:tc>
        <w:tc>
          <w:tcPr>
            <w:tcW w:w="3811"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含水管、压水机头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173"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3</w:t>
            </w:r>
          </w:p>
        </w:tc>
        <w:tc>
          <w:tcPr>
            <w:tcW w:w="1718"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军绿网</w:t>
            </w:r>
          </w:p>
        </w:tc>
        <w:tc>
          <w:tcPr>
            <w:tcW w:w="2107"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15元/平方米</w:t>
            </w:r>
          </w:p>
        </w:tc>
        <w:tc>
          <w:tcPr>
            <w:tcW w:w="3811"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迁移费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173"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4</w:t>
            </w:r>
          </w:p>
        </w:tc>
        <w:tc>
          <w:tcPr>
            <w:tcW w:w="1718"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木杆篱笆</w:t>
            </w:r>
          </w:p>
        </w:tc>
        <w:tc>
          <w:tcPr>
            <w:tcW w:w="2107"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5元/米</w:t>
            </w:r>
          </w:p>
        </w:tc>
        <w:tc>
          <w:tcPr>
            <w:tcW w:w="3811" w:type="dxa"/>
            <w:noWrap w:val="0"/>
            <w:vAlign w:val="center"/>
          </w:tcPr>
          <w:p>
            <w:pPr>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173"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5</w:t>
            </w:r>
          </w:p>
        </w:tc>
        <w:tc>
          <w:tcPr>
            <w:tcW w:w="1718"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柏油路面</w:t>
            </w:r>
          </w:p>
        </w:tc>
        <w:tc>
          <w:tcPr>
            <w:tcW w:w="2107"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150元/平方米</w:t>
            </w:r>
          </w:p>
        </w:tc>
        <w:tc>
          <w:tcPr>
            <w:tcW w:w="3811" w:type="dxa"/>
            <w:noWrap w:val="0"/>
            <w:vAlign w:val="center"/>
          </w:tcPr>
          <w:p>
            <w:pPr>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173"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6</w:t>
            </w:r>
          </w:p>
        </w:tc>
        <w:tc>
          <w:tcPr>
            <w:tcW w:w="1718"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普通摄像头</w:t>
            </w:r>
          </w:p>
        </w:tc>
        <w:tc>
          <w:tcPr>
            <w:tcW w:w="2107"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700元/个</w:t>
            </w:r>
          </w:p>
        </w:tc>
        <w:tc>
          <w:tcPr>
            <w:tcW w:w="3811"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包含线路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1173"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7</w:t>
            </w:r>
          </w:p>
        </w:tc>
        <w:tc>
          <w:tcPr>
            <w:tcW w:w="1718"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广角摄像头</w:t>
            </w:r>
          </w:p>
        </w:tc>
        <w:tc>
          <w:tcPr>
            <w:tcW w:w="2107"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850元/个</w:t>
            </w:r>
          </w:p>
        </w:tc>
        <w:tc>
          <w:tcPr>
            <w:tcW w:w="3811"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包含线路</w:t>
            </w:r>
          </w:p>
        </w:tc>
      </w:tr>
    </w:tbl>
    <w:p>
      <w:pPr>
        <w:pStyle w:val="83"/>
        <w:spacing w:line="560" w:lineRule="exact"/>
        <w:jc w:val="center"/>
        <w:rPr>
          <w:rFonts w:hint="eastAsia" w:ascii="仿宋_GB2312" w:hAnsi="仿宋_GB2312" w:eastAsia="仿宋_GB2312" w:cs="仿宋_GB2312"/>
          <w:sz w:val="32"/>
          <w:szCs w:val="32"/>
          <w:highlight w:val="none"/>
        </w:rPr>
      </w:pPr>
    </w:p>
    <w:tbl>
      <w:tblPr>
        <w:tblStyle w:val="17"/>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8786" w:type="dxa"/>
            <w:gridSpan w:val="2"/>
            <w:tcBorders>
              <w:top w:val="nil"/>
              <w:left w:val="nil"/>
              <w:right w:val="nil"/>
            </w:tcBorders>
            <w:noWrap w:val="0"/>
            <w:vAlign w:val="center"/>
          </w:tcPr>
          <w:p>
            <w:pPr>
              <w:pStyle w:val="83"/>
              <w:spacing w:line="500" w:lineRule="exact"/>
              <w:jc w:val="center"/>
              <w:rPr>
                <w:rFonts w:hint="eastAsia" w:ascii="仿宋_GB2312" w:hAnsi="仿宋_GB2312" w:eastAsia="仿宋_GB2312" w:cs="仿宋_GB2312"/>
                <w:sz w:val="24"/>
                <w:szCs w:val="24"/>
                <w:highlight w:val="none"/>
                <w:lang w:eastAsia="zh-CN"/>
              </w:rPr>
            </w:pPr>
            <w:r>
              <w:rPr>
                <w:rFonts w:hint="eastAsia" w:ascii="方正小标宋简体" w:hAnsi="方正小标宋简体" w:eastAsia="方正小标宋简体" w:cs="方正小标宋简体"/>
                <w:b w:val="0"/>
                <w:bCs/>
                <w:kern w:val="0"/>
                <w:sz w:val="32"/>
                <w:szCs w:val="32"/>
                <w:highlight w:val="none"/>
                <w:lang w:val="en-US" w:eastAsia="zh-CN" w:bidi="ar-SA"/>
              </w:rPr>
              <w:t>水井补偿标准（含水泵补偿）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4959" w:type="dxa"/>
            <w:noWrap w:val="0"/>
            <w:vAlign w:val="center"/>
          </w:tcPr>
          <w:p>
            <w:pPr>
              <w:pStyle w:val="83"/>
              <w:spacing w:line="5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pacing w:val="-11"/>
                <w:sz w:val="24"/>
                <w:szCs w:val="24"/>
                <w:highlight w:val="none"/>
              </w:rPr>
              <w:t>类</w:t>
            </w:r>
            <w:r>
              <w:rPr>
                <w:rFonts w:hint="eastAsia" w:ascii="仿宋_GB2312" w:hAnsi="仿宋_GB2312" w:eastAsia="仿宋_GB2312" w:cs="仿宋_GB2312"/>
                <w:b/>
                <w:bCs/>
                <w:spacing w:val="-11"/>
                <w:sz w:val="24"/>
                <w:szCs w:val="24"/>
                <w:highlight w:val="none"/>
                <w:lang w:eastAsia="zh-CN"/>
              </w:rPr>
              <w:t xml:space="preserve">   </w:t>
            </w:r>
            <w:r>
              <w:rPr>
                <w:rFonts w:hint="eastAsia" w:ascii="仿宋_GB2312" w:hAnsi="仿宋_GB2312" w:eastAsia="仿宋_GB2312" w:cs="仿宋_GB2312"/>
                <w:b/>
                <w:bCs/>
                <w:spacing w:val="-11"/>
                <w:sz w:val="24"/>
                <w:szCs w:val="24"/>
                <w:highlight w:val="none"/>
              </w:rPr>
              <w:t>型</w:t>
            </w:r>
          </w:p>
        </w:tc>
        <w:tc>
          <w:tcPr>
            <w:tcW w:w="3827" w:type="dxa"/>
            <w:noWrap w:val="0"/>
            <w:vAlign w:val="center"/>
          </w:tcPr>
          <w:p>
            <w:pPr>
              <w:pStyle w:val="83"/>
              <w:spacing w:line="5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pacing w:val="-8"/>
                <w:sz w:val="24"/>
                <w:szCs w:val="24"/>
                <w:highlight w:val="none"/>
              </w:rPr>
              <w:t>单</w:t>
            </w:r>
            <w:r>
              <w:rPr>
                <w:rFonts w:hint="eastAsia" w:ascii="仿宋_GB2312" w:hAnsi="仿宋_GB2312" w:eastAsia="仿宋_GB2312" w:cs="仿宋_GB2312"/>
                <w:b/>
                <w:bCs/>
                <w:spacing w:val="-8"/>
                <w:sz w:val="24"/>
                <w:szCs w:val="24"/>
                <w:highlight w:val="none"/>
                <w:lang w:eastAsia="zh-CN"/>
              </w:rPr>
              <w:t xml:space="preserve">  </w:t>
            </w:r>
            <w:r>
              <w:rPr>
                <w:rFonts w:hint="eastAsia" w:ascii="仿宋_GB2312" w:hAnsi="仿宋_GB2312" w:eastAsia="仿宋_GB2312" w:cs="仿宋_GB2312"/>
                <w:b/>
                <w:bCs/>
                <w:spacing w:val="-8"/>
                <w:sz w:val="24"/>
                <w:szCs w:val="24"/>
                <w:highlight w:val="none"/>
                <w:lang w:val="en-US" w:eastAsia="zh-CN"/>
              </w:rPr>
              <w:t xml:space="preserve"> </w:t>
            </w:r>
            <w:r>
              <w:rPr>
                <w:rFonts w:hint="eastAsia" w:ascii="仿宋_GB2312" w:hAnsi="仿宋_GB2312" w:eastAsia="仿宋_GB2312" w:cs="仿宋_GB2312"/>
                <w:b/>
                <w:bCs/>
                <w:spacing w:val="-8"/>
                <w:sz w:val="24"/>
                <w:szCs w:val="24"/>
                <w:highlight w:val="none"/>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4959"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取得《凿井许可证》</w:t>
            </w:r>
          </w:p>
        </w:tc>
        <w:tc>
          <w:tcPr>
            <w:tcW w:w="3827"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1500元/米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4959"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lang w:eastAsia="zh-CN"/>
              </w:rPr>
            </w:pPr>
            <w:r>
              <w:rPr>
                <w:rFonts w:hint="eastAsia" w:ascii="仿宋_GB2312" w:hAnsi="仿宋_GB2312" w:eastAsia="仿宋_GB2312" w:cs="仿宋_GB2312"/>
                <w:spacing w:val="-3"/>
                <w:sz w:val="24"/>
                <w:szCs w:val="24"/>
                <w:highlight w:val="none"/>
                <w:lang w:eastAsia="zh-CN"/>
              </w:rPr>
              <w:t>未取得《凿井许可证》</w:t>
            </w:r>
          </w:p>
        </w:tc>
        <w:tc>
          <w:tcPr>
            <w:tcW w:w="3827" w:type="dxa"/>
            <w:noWrap w:val="0"/>
            <w:vAlign w:val="center"/>
          </w:tcPr>
          <w:p>
            <w:pPr>
              <w:pStyle w:val="83"/>
              <w:spacing w:line="500" w:lineRule="exact"/>
              <w:jc w:val="center"/>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spacing w:val="-3"/>
                <w:sz w:val="24"/>
                <w:szCs w:val="24"/>
                <w:highlight w:val="none"/>
              </w:rPr>
              <w:t>1500元/眼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8786" w:type="dxa"/>
            <w:gridSpan w:val="2"/>
            <w:noWrap w:val="0"/>
            <w:vAlign w:val="center"/>
          </w:tcPr>
          <w:p>
            <w:pPr>
              <w:widowControl/>
              <w:shd w:val="clear" w:color="auto" w:fill="FFFFFF"/>
              <w:spacing w:line="500" w:lineRule="exact"/>
              <w:jc w:val="both"/>
              <w:textAlignment w:val="baseline"/>
              <w:rPr>
                <w:rFonts w:hint="eastAsia" w:ascii="仿宋_GB2312" w:hAnsi="仿宋_GB2312" w:eastAsia="仿宋_GB2312" w:cs="仿宋_GB2312"/>
                <w:spacing w:val="-3"/>
                <w:sz w:val="24"/>
                <w:szCs w:val="24"/>
                <w:highlight w:val="none"/>
              </w:rPr>
            </w:pPr>
            <w:r>
              <w:rPr>
                <w:rFonts w:hint="eastAsia" w:ascii="仿宋_GB2312" w:hAnsi="仿宋_GB2312" w:eastAsia="仿宋_GB2312" w:cs="仿宋_GB2312"/>
                <w:kern w:val="0"/>
                <w:sz w:val="24"/>
                <w:szCs w:val="24"/>
                <w:highlight w:val="none"/>
              </w:rPr>
              <w:t>备注：根据《北京市水资源管理条例》要求，市城市规划管理部门应对1990年1月底以前的机井核发《凿井许可证》，因特殊原因未核发但具备使用功能的，水泵、管道等设备齐全的机井，经认定组认定并公示无异议后，按照《北京市房屋重置成新价评估技术标准》（北估秘〔2016〕001号）评估作价。</w:t>
            </w:r>
          </w:p>
        </w:tc>
      </w:tr>
    </w:tbl>
    <w:p>
      <w:pPr>
        <w:spacing w:before="75"/>
        <w:rPr>
          <w:rFonts w:hint="eastAsia" w:ascii="仿宋_GB2312" w:hAnsi="仿宋_GB2312" w:eastAsia="仿宋_GB2312" w:cs="仿宋_GB2312"/>
          <w:highlight w:val="none"/>
        </w:rPr>
      </w:pPr>
    </w:p>
    <w:tbl>
      <w:tblPr>
        <w:tblStyle w:val="17"/>
        <w:tblpPr w:leftFromText="180" w:rightFromText="180" w:vertAnchor="text" w:horzAnchor="page" w:tblpX="1717" w:tblpY="5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78"/>
        <w:gridCol w:w="2111"/>
        <w:gridCol w:w="2219"/>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8800" w:type="dxa"/>
            <w:gridSpan w:val="5"/>
            <w:tcBorders>
              <w:top w:val="nil"/>
              <w:left w:val="nil"/>
              <w:right w:val="nil"/>
            </w:tcBorders>
            <w:noWrap w:val="0"/>
            <w:vAlign w:val="center"/>
          </w:tcPr>
          <w:p>
            <w:pPr>
              <w:pStyle w:val="13"/>
              <w:ind w:left="3360"/>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highlight w:val="none"/>
              </w:rPr>
              <w:br w:type="page"/>
            </w:r>
            <w:bookmarkStart w:id="1" w:name="_Hlk140612391"/>
            <w:r>
              <w:rPr>
                <w:rFonts w:hint="eastAsia" w:ascii="方正小标宋简体" w:hAnsi="方正小标宋简体" w:eastAsia="方正小标宋简体" w:cs="方正小标宋简体"/>
                <w:b w:val="0"/>
                <w:bCs/>
                <w:kern w:val="0"/>
                <w:sz w:val="32"/>
                <w:szCs w:val="32"/>
                <w:highlight w:val="none"/>
                <w:lang w:val="en-US" w:eastAsia="zh-CN" w:bidi="ar-SA"/>
              </w:rPr>
              <w:t>地埋管道补偿标准</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序号</w:t>
            </w:r>
          </w:p>
        </w:tc>
        <w:tc>
          <w:tcPr>
            <w:tcW w:w="1578" w:type="dxa"/>
            <w:noWrap w:val="0"/>
            <w:vAlign w:val="center"/>
          </w:tcPr>
          <w:p>
            <w:pPr>
              <w:widowControl/>
              <w:spacing w:line="50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管材</w:t>
            </w:r>
          </w:p>
        </w:tc>
        <w:tc>
          <w:tcPr>
            <w:tcW w:w="2111" w:type="dxa"/>
            <w:noWrap w:val="0"/>
            <w:vAlign w:val="center"/>
          </w:tcPr>
          <w:p>
            <w:pPr>
              <w:widowControl/>
              <w:spacing w:line="50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直径（寸）</w:t>
            </w:r>
          </w:p>
        </w:tc>
        <w:tc>
          <w:tcPr>
            <w:tcW w:w="2219" w:type="dxa"/>
            <w:noWrap w:val="0"/>
            <w:vAlign w:val="center"/>
          </w:tcPr>
          <w:p>
            <w:pPr>
              <w:widowControl/>
              <w:spacing w:line="50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单价（元/米）</w:t>
            </w:r>
          </w:p>
        </w:tc>
        <w:tc>
          <w:tcPr>
            <w:tcW w:w="2054" w:type="dxa"/>
            <w:noWrap w:val="0"/>
            <w:vAlign w:val="center"/>
          </w:tcPr>
          <w:p>
            <w:pPr>
              <w:widowControl/>
              <w:spacing w:line="50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兰盘铁管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104.00</w:t>
            </w:r>
          </w:p>
        </w:tc>
        <w:tc>
          <w:tcPr>
            <w:tcW w:w="2054" w:type="dxa"/>
            <w:vMerge w:val="restart"/>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包括挖沟、安装、回填费用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铁管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45.00</w:t>
            </w:r>
          </w:p>
        </w:tc>
        <w:tc>
          <w:tcPr>
            <w:tcW w:w="2054" w:type="dxa"/>
            <w:vMerge w:val="continue"/>
            <w:noWrap w:val="0"/>
            <w:vAlign w:val="center"/>
          </w:tcPr>
          <w:p>
            <w:pPr>
              <w:widowControl/>
              <w:spacing w:line="50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铁管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36.00</w:t>
            </w:r>
          </w:p>
        </w:tc>
        <w:tc>
          <w:tcPr>
            <w:tcW w:w="2054" w:type="dxa"/>
            <w:vMerge w:val="continue"/>
            <w:noWrap w:val="0"/>
            <w:vAlign w:val="center"/>
          </w:tcPr>
          <w:p>
            <w:pPr>
              <w:widowControl/>
              <w:spacing w:line="50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铁管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28.00</w:t>
            </w:r>
          </w:p>
        </w:tc>
        <w:tc>
          <w:tcPr>
            <w:tcW w:w="2054" w:type="dxa"/>
            <w:vMerge w:val="continue"/>
            <w:noWrap w:val="0"/>
            <w:vAlign w:val="center"/>
          </w:tcPr>
          <w:p>
            <w:pPr>
              <w:widowControl/>
              <w:spacing w:line="50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铁管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20.00</w:t>
            </w:r>
          </w:p>
        </w:tc>
        <w:tc>
          <w:tcPr>
            <w:tcW w:w="2054" w:type="dxa"/>
            <w:vMerge w:val="continue"/>
            <w:noWrap w:val="0"/>
            <w:vAlign w:val="center"/>
          </w:tcPr>
          <w:p>
            <w:pPr>
              <w:widowControl/>
              <w:spacing w:line="50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镀锌铁管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33.00</w:t>
            </w:r>
          </w:p>
        </w:tc>
        <w:tc>
          <w:tcPr>
            <w:tcW w:w="2054" w:type="dxa"/>
            <w:vMerge w:val="continue"/>
            <w:noWrap w:val="0"/>
            <w:vAlign w:val="center"/>
          </w:tcPr>
          <w:p>
            <w:pPr>
              <w:widowControl/>
              <w:spacing w:line="50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铁管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6分</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18.00</w:t>
            </w:r>
          </w:p>
        </w:tc>
        <w:tc>
          <w:tcPr>
            <w:tcW w:w="2054" w:type="dxa"/>
            <w:vMerge w:val="continue"/>
            <w:noWrap w:val="0"/>
            <w:vAlign w:val="center"/>
          </w:tcPr>
          <w:p>
            <w:pPr>
              <w:widowControl/>
              <w:spacing w:line="50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塑料管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29.00</w:t>
            </w:r>
          </w:p>
        </w:tc>
        <w:tc>
          <w:tcPr>
            <w:tcW w:w="2054" w:type="dxa"/>
            <w:vMerge w:val="continue"/>
            <w:noWrap w:val="0"/>
            <w:vAlign w:val="center"/>
          </w:tcPr>
          <w:p>
            <w:pPr>
              <w:widowControl/>
              <w:spacing w:line="50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塑料管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2.5</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22.00</w:t>
            </w:r>
          </w:p>
        </w:tc>
        <w:tc>
          <w:tcPr>
            <w:tcW w:w="2054" w:type="dxa"/>
            <w:vMerge w:val="continue"/>
            <w:noWrap w:val="0"/>
            <w:vAlign w:val="center"/>
          </w:tcPr>
          <w:p>
            <w:pPr>
              <w:widowControl/>
              <w:spacing w:line="50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3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w:t>
            </w:r>
          </w:p>
        </w:tc>
        <w:tc>
          <w:tcPr>
            <w:tcW w:w="1578"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塑料管</w:t>
            </w:r>
          </w:p>
        </w:tc>
        <w:tc>
          <w:tcPr>
            <w:tcW w:w="2111"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2219" w:type="dxa"/>
            <w:noWrap w:val="0"/>
            <w:vAlign w:val="center"/>
          </w:tcPr>
          <w:p>
            <w:pPr>
              <w:widowControl/>
              <w:spacing w:line="5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14.00</w:t>
            </w:r>
          </w:p>
        </w:tc>
        <w:tc>
          <w:tcPr>
            <w:tcW w:w="2054" w:type="dxa"/>
            <w:vMerge w:val="continue"/>
            <w:noWrap w:val="0"/>
            <w:vAlign w:val="center"/>
          </w:tcPr>
          <w:p>
            <w:pPr>
              <w:widowControl/>
              <w:spacing w:line="500" w:lineRule="exact"/>
              <w:jc w:val="left"/>
              <w:rPr>
                <w:rFonts w:hint="eastAsia" w:ascii="仿宋_GB2312" w:hAnsi="仿宋_GB2312" w:eastAsia="仿宋_GB2312" w:cs="仿宋_GB2312"/>
                <w:kern w:val="0"/>
                <w:sz w:val="24"/>
                <w:szCs w:val="24"/>
                <w:highlight w:val="none"/>
              </w:rPr>
            </w:pPr>
          </w:p>
        </w:tc>
      </w:tr>
    </w:tbl>
    <w:p>
      <w:pPr>
        <w:pStyle w:val="13"/>
        <w:ind w:left="0" w:leftChars="0" w:firstLine="0" w:firstLineChars="0"/>
        <w:rPr>
          <w:rFonts w:hint="default" w:ascii="黑体" w:hAnsi="黑体" w:eastAsia="黑体" w:cs="方正黑体_GBK"/>
          <w:sz w:val="32"/>
          <w:szCs w:val="32"/>
          <w:highlight w:val="none"/>
          <w:lang w:val="en-US" w:eastAsia="zh-CN"/>
        </w:rPr>
      </w:pPr>
      <w:r>
        <w:rPr>
          <w:rFonts w:hint="eastAsia"/>
          <w:highlight w:val="none"/>
        </w:rPr>
        <w:br w:type="page"/>
      </w:r>
      <w:r>
        <w:rPr>
          <w:rFonts w:hint="eastAsia" w:ascii="黑体" w:hAnsi="黑体" w:eastAsia="黑体" w:cs="方正黑体_GBK"/>
          <w:sz w:val="32"/>
          <w:szCs w:val="32"/>
          <w:highlight w:val="none"/>
        </w:rPr>
        <w:t>附件</w:t>
      </w:r>
      <w:r>
        <w:rPr>
          <w:rFonts w:hint="eastAsia" w:ascii="黑体" w:hAnsi="黑体" w:eastAsia="黑体" w:cs="方正黑体_GBK"/>
          <w:sz w:val="32"/>
          <w:szCs w:val="32"/>
          <w:highlight w:val="none"/>
          <w:lang w:val="en-US" w:eastAsia="zh-CN"/>
        </w:rPr>
        <w:t>4</w:t>
      </w:r>
    </w:p>
    <w:p>
      <w:pPr>
        <w:spacing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5</w:t>
      </w:r>
      <w:r>
        <w:rPr>
          <w:rFonts w:hint="eastAsia" w:ascii="方正小标宋简体" w:eastAsia="方正小标宋简体"/>
          <w:sz w:val="44"/>
          <w:szCs w:val="44"/>
          <w:highlight w:val="none"/>
        </w:rPr>
        <w:t>年3月至202</w:t>
      </w:r>
      <w:r>
        <w:rPr>
          <w:rFonts w:hint="eastAsia" w:ascii="方正小标宋简体" w:eastAsia="方正小标宋简体"/>
          <w:sz w:val="44"/>
          <w:szCs w:val="44"/>
          <w:highlight w:val="none"/>
          <w:lang w:val="en-US" w:eastAsia="zh-CN"/>
        </w:rPr>
        <w:t>6</w:t>
      </w:r>
      <w:r>
        <w:rPr>
          <w:rFonts w:hint="eastAsia" w:ascii="方正小标宋简体" w:eastAsia="方正小标宋简体"/>
          <w:sz w:val="44"/>
          <w:szCs w:val="44"/>
          <w:highlight w:val="none"/>
        </w:rPr>
        <w:t>年2月猪、牛、羊、禽</w:t>
      </w:r>
    </w:p>
    <w:p>
      <w:pPr>
        <w:spacing w:line="560" w:lineRule="exact"/>
        <w:jc w:val="center"/>
        <w:rPr>
          <w:rFonts w:hint="eastAsia"/>
          <w:highlight w:val="none"/>
        </w:rPr>
      </w:pPr>
      <w:r>
        <w:rPr>
          <w:rFonts w:hint="eastAsia" w:ascii="方正小标宋简体" w:eastAsia="方正小标宋简体"/>
          <w:sz w:val="44"/>
          <w:szCs w:val="44"/>
          <w:highlight w:val="none"/>
        </w:rPr>
        <w:t>等动物强制扑杀补偿基准指导价格表</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5"/>
        <w:gridCol w:w="2722"/>
        <w:gridCol w:w="3289"/>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2065" w:type="dxa"/>
            <w:noWrap w:val="0"/>
            <w:vAlign w:val="center"/>
          </w:tcPr>
          <w:p>
            <w:pPr>
              <w:widowControl/>
              <w:spacing w:line="500" w:lineRule="exact"/>
              <w:jc w:val="center"/>
              <w:rPr>
                <w:rFonts w:hint="eastAsia" w:ascii="仿宋_GB2312" w:hAnsi="仿宋_GB2312" w:eastAsia="仿宋_GB2312" w:cs="仿宋_GB2312"/>
                <w:b/>
                <w:bCs/>
                <w:spacing w:val="7"/>
                <w:sz w:val="22"/>
                <w:szCs w:val="22"/>
                <w:highlight w:val="none"/>
              </w:rPr>
            </w:pPr>
            <w:r>
              <w:rPr>
                <w:rFonts w:hint="eastAsia" w:ascii="仿宋_GB2312" w:hAnsi="仿宋_GB2312" w:eastAsia="仿宋_GB2312" w:cs="仿宋_GB2312"/>
                <w:b/>
                <w:bCs/>
                <w:kern w:val="0"/>
                <w:sz w:val="22"/>
                <w:szCs w:val="22"/>
                <w:highlight w:val="none"/>
              </w:rPr>
              <w:t>动物种类</w:t>
            </w:r>
          </w:p>
        </w:tc>
        <w:tc>
          <w:tcPr>
            <w:tcW w:w="2722" w:type="dxa"/>
            <w:noWrap w:val="0"/>
            <w:vAlign w:val="center"/>
          </w:tcPr>
          <w:p>
            <w:pPr>
              <w:widowControl/>
              <w:spacing w:line="500" w:lineRule="exact"/>
              <w:jc w:val="center"/>
              <w:rPr>
                <w:rFonts w:hint="eastAsia" w:ascii="仿宋_GB2312" w:hAnsi="仿宋_GB2312" w:eastAsia="仿宋_GB2312" w:cs="仿宋_GB2312"/>
                <w:b/>
                <w:bCs/>
                <w:spacing w:val="7"/>
                <w:sz w:val="22"/>
                <w:szCs w:val="22"/>
                <w:highlight w:val="none"/>
              </w:rPr>
            </w:pPr>
            <w:r>
              <w:rPr>
                <w:rFonts w:hint="eastAsia" w:ascii="仿宋_GB2312" w:hAnsi="仿宋_GB2312" w:eastAsia="仿宋_GB2312" w:cs="仿宋_GB2312"/>
                <w:b/>
                <w:bCs/>
                <w:kern w:val="0"/>
                <w:sz w:val="22"/>
                <w:szCs w:val="22"/>
                <w:highlight w:val="none"/>
              </w:rPr>
              <w:t>生长阶段</w:t>
            </w:r>
          </w:p>
        </w:tc>
        <w:tc>
          <w:tcPr>
            <w:tcW w:w="3289" w:type="dxa"/>
            <w:noWrap w:val="0"/>
            <w:vAlign w:val="center"/>
          </w:tcPr>
          <w:p>
            <w:pPr>
              <w:widowControl/>
              <w:spacing w:line="500" w:lineRule="exact"/>
              <w:jc w:val="center"/>
              <w:rPr>
                <w:rFonts w:hint="eastAsia" w:ascii="仿宋_GB2312" w:hAnsi="仿宋_GB2312" w:eastAsia="仿宋_GB2312" w:cs="仿宋_GB2312"/>
                <w:b/>
                <w:bCs/>
                <w:spacing w:val="7"/>
                <w:sz w:val="22"/>
                <w:szCs w:val="22"/>
                <w:highlight w:val="none"/>
              </w:rPr>
            </w:pPr>
            <w:r>
              <w:rPr>
                <w:rFonts w:hint="eastAsia" w:ascii="仿宋_GB2312" w:hAnsi="仿宋_GB2312" w:eastAsia="仿宋_GB2312" w:cs="仿宋_GB2312"/>
                <w:b/>
                <w:bCs/>
                <w:kern w:val="0"/>
                <w:sz w:val="22"/>
                <w:szCs w:val="22"/>
                <w:highlight w:val="none"/>
              </w:rPr>
              <w:t>补偿基准价格（元）</w:t>
            </w:r>
          </w:p>
        </w:tc>
        <w:tc>
          <w:tcPr>
            <w:tcW w:w="733" w:type="dxa"/>
            <w:noWrap w:val="0"/>
            <w:vAlign w:val="center"/>
          </w:tcPr>
          <w:p>
            <w:pPr>
              <w:widowControl/>
              <w:spacing w:line="500" w:lineRule="exact"/>
              <w:jc w:val="center"/>
              <w:rPr>
                <w:rFonts w:hint="eastAsia" w:ascii="仿宋_GB2312" w:hAnsi="仿宋_GB2312" w:eastAsia="仿宋_GB2312" w:cs="仿宋_GB2312"/>
                <w:b/>
                <w:bCs/>
                <w:spacing w:val="7"/>
                <w:sz w:val="22"/>
                <w:szCs w:val="22"/>
                <w:highlight w:val="none"/>
              </w:rPr>
            </w:pPr>
            <w:r>
              <w:rPr>
                <w:rFonts w:hint="eastAsia" w:ascii="仿宋_GB2312" w:hAnsi="仿宋_GB2312" w:eastAsia="仿宋_GB2312" w:cs="仿宋_GB2312"/>
                <w:b/>
                <w:bCs/>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祖代猪及</w:t>
            </w:r>
          </w:p>
          <w:p>
            <w:pPr>
              <w:pStyle w:val="83"/>
              <w:spacing w:line="500" w:lineRule="exact"/>
              <w:jc w:val="center"/>
              <w:rPr>
                <w:rFonts w:hint="eastAsia" w:ascii="仿宋_GB2312" w:hAnsi="仿宋_GB2312" w:eastAsia="仿宋_GB2312" w:cs="仿宋_GB2312"/>
                <w:spacing w:val="-3"/>
                <w:sz w:val="22"/>
                <w:szCs w:val="22"/>
                <w:highlight w:val="none"/>
              </w:rPr>
            </w:pPr>
            <w:r>
              <w:rPr>
                <w:rFonts w:hint="eastAsia" w:ascii="仿宋_GB2312" w:hAnsi="仿宋_GB2312" w:eastAsia="仿宋_GB2312" w:cs="仿宋_GB2312"/>
                <w:kern w:val="0"/>
                <w:sz w:val="22"/>
                <w:szCs w:val="22"/>
                <w:highlight w:val="none"/>
                <w:lang w:val="en-US" w:eastAsia="zh-CN"/>
              </w:rPr>
              <w:t>以上种猪</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w:t>
            </w:r>
            <w:r>
              <w:rPr>
                <w:rFonts w:hint="eastAsia" w:ascii="仿宋_GB2312" w:hAnsi="仿宋_GB2312" w:eastAsia="仿宋_GB2312" w:cs="仿宋_GB2312"/>
                <w:kern w:val="0"/>
                <w:sz w:val="22"/>
                <w:szCs w:val="22"/>
                <w:highlight w:val="none"/>
              </w:rPr>
              <w:t>35 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360.0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36至70日龄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540.0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71至115日龄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1000.0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116至160日龄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1600.0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第一年</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3000.0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第二年</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2560.0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第三年</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残值</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1250.0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spacing w:val="-3"/>
                <w:sz w:val="20"/>
                <w:szCs w:val="20"/>
                <w:highlight w:val="none"/>
              </w:rPr>
            </w:pPr>
            <w:r>
              <w:rPr>
                <w:rFonts w:hint="eastAsia" w:ascii="仿宋_GB2312" w:hAnsi="仿宋_GB2312" w:eastAsia="仿宋_GB2312" w:cs="仿宋_GB2312"/>
                <w:kern w:val="0"/>
                <w:sz w:val="22"/>
                <w:szCs w:val="22"/>
                <w:highlight w:val="none"/>
                <w:lang w:val="en-US" w:eastAsia="zh-CN"/>
              </w:rPr>
              <w:t>父母代种猪（</w:t>
            </w:r>
            <w:r>
              <w:rPr>
                <w:rFonts w:hint="eastAsia" w:ascii="仿宋_GB2312" w:hAnsi="仿宋_GB2312" w:eastAsia="仿宋_GB2312" w:cs="仿宋_GB2312"/>
                <w:kern w:val="0"/>
                <w:sz w:val="22"/>
                <w:szCs w:val="22"/>
                <w:highlight w:val="none"/>
              </w:rPr>
              <w:t>二元猪</w:t>
            </w:r>
            <w:r>
              <w:rPr>
                <w:rFonts w:hint="eastAsia" w:ascii="仿宋_GB2312" w:hAnsi="仿宋_GB2312" w:eastAsia="仿宋_GB2312" w:cs="仿宋_GB2312"/>
                <w:kern w:val="0"/>
                <w:sz w:val="22"/>
                <w:szCs w:val="22"/>
                <w:highlight w:val="none"/>
                <w:lang w:val="en-US" w:eastAsia="zh-CN"/>
              </w:rPr>
              <w:t>）</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lang w:val="en-US" w:eastAsia="zh-CN"/>
              </w:rPr>
              <w:t>≤</w:t>
            </w:r>
            <w:r>
              <w:rPr>
                <w:rFonts w:hint="eastAsia" w:ascii="仿宋_GB2312" w:hAnsi="仿宋_GB2312" w:eastAsia="仿宋_GB2312" w:cs="仿宋_GB2312"/>
                <w:kern w:val="0"/>
                <w:sz w:val="22"/>
                <w:szCs w:val="22"/>
                <w:highlight w:val="none"/>
              </w:rPr>
              <w:t>35 日龄</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lang w:val="en-US" w:eastAsia="zh-CN"/>
              </w:rPr>
              <w:t>330.0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rPr>
              <w:t>36至70日龄</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lang w:val="en-US" w:eastAsia="zh-CN"/>
              </w:rPr>
              <w:t>450.0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rPr>
              <w:t>71至115日龄</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lang w:val="en-US" w:eastAsia="zh-CN"/>
              </w:rPr>
              <w:t>820.0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rPr>
              <w:t>116至160日龄</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lang w:val="en-US" w:eastAsia="zh-CN"/>
              </w:rPr>
              <w:t>1140.0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widowControl/>
              <w:spacing w:line="500" w:lineRule="exact"/>
              <w:jc w:val="center"/>
              <w:rPr>
                <w:rFonts w:hint="eastAsia" w:ascii="仿宋_GB2312" w:hAnsi="仿宋_GB2312" w:eastAsia="仿宋_GB2312" w:cs="仿宋_GB2312"/>
                <w:spacing w:val="-3"/>
                <w:sz w:val="20"/>
                <w:szCs w:val="20"/>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第一年</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w:t>
            </w:r>
            <w:r>
              <w:rPr>
                <w:rFonts w:hint="eastAsia" w:ascii="仿宋_GB2312" w:hAnsi="仿宋_GB2312" w:eastAsia="仿宋_GB2312" w:cs="仿宋_GB2312"/>
                <w:kern w:val="0"/>
                <w:sz w:val="22"/>
                <w:szCs w:val="22"/>
                <w:highlight w:val="none"/>
                <w:lang w:val="en-US" w:eastAsia="zh-CN"/>
              </w:rPr>
              <w:t>8</w:t>
            </w:r>
            <w:r>
              <w:rPr>
                <w:rFonts w:hint="eastAsia" w:ascii="仿宋_GB2312" w:hAnsi="仿宋_GB2312" w:eastAsia="仿宋_GB2312" w:cs="仿宋_GB2312"/>
                <w:kern w:val="0"/>
                <w:sz w:val="22"/>
                <w:szCs w:val="22"/>
                <w:highlight w:val="none"/>
              </w:rPr>
              <w:t>00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第二年</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w:t>
            </w:r>
            <w:r>
              <w:rPr>
                <w:rFonts w:hint="eastAsia" w:ascii="仿宋_GB2312" w:hAnsi="仿宋_GB2312" w:eastAsia="仿宋_GB2312" w:cs="仿宋_GB2312"/>
                <w:kern w:val="0"/>
                <w:sz w:val="22"/>
                <w:szCs w:val="22"/>
                <w:highlight w:val="none"/>
                <w:lang w:val="en-US" w:eastAsia="zh-CN"/>
              </w:rPr>
              <w:t>5</w:t>
            </w:r>
            <w:r>
              <w:rPr>
                <w:rFonts w:hint="eastAsia" w:ascii="仿宋_GB2312" w:hAnsi="仿宋_GB2312" w:eastAsia="仿宋_GB2312" w:cs="仿宋_GB2312"/>
                <w:kern w:val="0"/>
                <w:sz w:val="22"/>
                <w:szCs w:val="22"/>
                <w:highlight w:val="none"/>
              </w:rPr>
              <w:t>50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第三年</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w:t>
            </w:r>
            <w:r>
              <w:rPr>
                <w:rFonts w:hint="eastAsia" w:ascii="仿宋_GB2312" w:hAnsi="仿宋_GB2312" w:eastAsia="仿宋_GB2312" w:cs="仿宋_GB2312"/>
                <w:kern w:val="0"/>
                <w:sz w:val="22"/>
                <w:szCs w:val="22"/>
                <w:highlight w:val="none"/>
                <w:lang w:val="en-US" w:eastAsia="zh-CN"/>
              </w:rPr>
              <w:t>4</w:t>
            </w:r>
            <w:r>
              <w:rPr>
                <w:rFonts w:hint="eastAsia" w:ascii="仿宋_GB2312" w:hAnsi="仿宋_GB2312" w:eastAsia="仿宋_GB2312" w:cs="仿宋_GB2312"/>
                <w:kern w:val="0"/>
                <w:sz w:val="22"/>
                <w:szCs w:val="22"/>
                <w:highlight w:val="none"/>
              </w:rPr>
              <w:t>00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残值</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w:t>
            </w:r>
            <w:r>
              <w:rPr>
                <w:rFonts w:hint="eastAsia" w:ascii="仿宋_GB2312" w:hAnsi="仿宋_GB2312" w:eastAsia="仿宋_GB2312" w:cs="仿宋_GB2312"/>
                <w:kern w:val="0"/>
                <w:sz w:val="22"/>
                <w:szCs w:val="22"/>
                <w:highlight w:val="none"/>
                <w:lang w:val="en-US" w:eastAsia="zh-CN"/>
              </w:rPr>
              <w:t>25</w:t>
            </w:r>
            <w:r>
              <w:rPr>
                <w:rFonts w:hint="eastAsia" w:ascii="仿宋_GB2312" w:hAnsi="仿宋_GB2312" w:eastAsia="仿宋_GB2312" w:cs="仿宋_GB2312"/>
                <w:kern w:val="0"/>
                <w:sz w:val="22"/>
                <w:szCs w:val="22"/>
                <w:highlight w:val="none"/>
              </w:rPr>
              <w:t>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商品猪</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w:t>
            </w:r>
            <w:r>
              <w:rPr>
                <w:rFonts w:hint="eastAsia" w:ascii="仿宋_GB2312" w:hAnsi="仿宋_GB2312" w:eastAsia="仿宋_GB2312" w:cs="仿宋_GB2312"/>
                <w:kern w:val="0"/>
                <w:sz w:val="22"/>
                <w:szCs w:val="22"/>
                <w:highlight w:val="none"/>
              </w:rPr>
              <w:t>35 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260.0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36至70日龄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71至115日龄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680.0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116日龄以上</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1000.0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奶牛</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犊牛</w:t>
            </w:r>
            <w:r>
              <w:rPr>
                <w:rFonts w:hint="eastAsia" w:ascii="仿宋_GB2312" w:hAnsi="仿宋_GB2312" w:eastAsia="仿宋_GB2312" w:cs="仿宋_GB2312"/>
                <w:kern w:val="0"/>
                <w:sz w:val="22"/>
                <w:szCs w:val="22"/>
                <w:highlight w:val="none"/>
                <w:lang w:val="en-US" w:eastAsia="zh-CN"/>
              </w:rPr>
              <w:t>≤</w:t>
            </w:r>
            <w:r>
              <w:rPr>
                <w:rFonts w:hint="eastAsia" w:ascii="仿宋_GB2312" w:hAnsi="仿宋_GB2312" w:eastAsia="仿宋_GB2312" w:cs="仿宋_GB2312"/>
                <w:kern w:val="0"/>
                <w:sz w:val="22"/>
                <w:szCs w:val="22"/>
                <w:highlight w:val="none"/>
              </w:rPr>
              <w:t>6月龄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4800.0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犊牛</w:t>
            </w:r>
            <w:r>
              <w:rPr>
                <w:rFonts w:hint="eastAsia" w:ascii="仿宋_GB2312" w:hAnsi="仿宋_GB2312" w:eastAsia="仿宋_GB2312" w:cs="仿宋_GB2312"/>
                <w:kern w:val="0"/>
                <w:sz w:val="22"/>
                <w:szCs w:val="22"/>
                <w:highlight w:val="none"/>
                <w:lang w:val="en-US" w:eastAsia="zh-CN"/>
              </w:rPr>
              <w:t>6至</w:t>
            </w:r>
            <w:r>
              <w:rPr>
                <w:rFonts w:hint="eastAsia" w:ascii="仿宋_GB2312" w:hAnsi="仿宋_GB2312" w:eastAsia="仿宋_GB2312" w:cs="仿宋_GB2312"/>
                <w:kern w:val="0"/>
                <w:sz w:val="22"/>
                <w:szCs w:val="22"/>
                <w:highlight w:val="none"/>
              </w:rPr>
              <w:t>12个月</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8500.0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后备牛</w:t>
            </w:r>
            <w:r>
              <w:rPr>
                <w:rFonts w:hint="eastAsia" w:ascii="仿宋_GB2312" w:hAnsi="仿宋_GB2312" w:eastAsia="仿宋_GB2312" w:cs="仿宋_GB2312"/>
                <w:kern w:val="0"/>
                <w:sz w:val="22"/>
                <w:szCs w:val="22"/>
                <w:highlight w:val="none"/>
                <w:lang w:val="en-US" w:eastAsia="zh-CN"/>
              </w:rPr>
              <w:t>12至</w:t>
            </w:r>
            <w:r>
              <w:rPr>
                <w:rFonts w:hint="eastAsia" w:ascii="仿宋_GB2312" w:hAnsi="仿宋_GB2312" w:eastAsia="仿宋_GB2312" w:cs="仿宋_GB2312"/>
                <w:kern w:val="0"/>
                <w:sz w:val="22"/>
                <w:szCs w:val="22"/>
                <w:highlight w:val="none"/>
              </w:rPr>
              <w:t>24个月</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16500.0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经产牛1胎</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16500.0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经产牛2胎</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14500.0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经产牛3胎</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12500.0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经产牛4胎</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9600.0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经产牛5胎</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7200.0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经产牛6胎及以上</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公牛犊</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rPr>
              <w:t>1000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肉牛</w:t>
            </w:r>
          </w:p>
          <w:p>
            <w:pPr>
              <w:jc w:val="center"/>
              <w:rPr>
                <w:rFonts w:hint="eastAsia"/>
                <w:sz w:val="20"/>
                <w:szCs w:val="20"/>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犊牛</w:t>
            </w:r>
            <w:r>
              <w:rPr>
                <w:rFonts w:hint="eastAsia" w:ascii="仿宋_GB2312" w:hAnsi="仿宋_GB2312" w:eastAsia="仿宋_GB2312" w:cs="仿宋_GB2312"/>
                <w:kern w:val="0"/>
                <w:sz w:val="22"/>
                <w:szCs w:val="22"/>
                <w:highlight w:val="none"/>
                <w:lang w:val="en-US" w:eastAsia="zh-CN"/>
              </w:rPr>
              <w:t>≤</w:t>
            </w:r>
            <w:r>
              <w:rPr>
                <w:rFonts w:hint="eastAsia" w:ascii="仿宋_GB2312" w:hAnsi="仿宋_GB2312" w:eastAsia="仿宋_GB2312" w:cs="仿宋_GB2312"/>
                <w:kern w:val="0"/>
                <w:sz w:val="22"/>
                <w:szCs w:val="22"/>
                <w:highlight w:val="none"/>
              </w:rPr>
              <w:t>6月龄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4800.0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6月</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15月龄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9600.0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15至24月龄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13500.0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商品肉羊</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肉羊</w:t>
            </w:r>
            <w:r>
              <w:rPr>
                <w:rFonts w:hint="eastAsia" w:ascii="仿宋_GB2312" w:hAnsi="仿宋_GB2312" w:eastAsia="仿宋_GB2312" w:cs="仿宋_GB2312"/>
                <w:kern w:val="0"/>
                <w:sz w:val="22"/>
                <w:szCs w:val="22"/>
                <w:highlight w:val="none"/>
                <w:lang w:val="en-US" w:eastAsia="zh-CN"/>
              </w:rPr>
              <w:t>≤</w:t>
            </w:r>
            <w:r>
              <w:rPr>
                <w:rFonts w:hint="eastAsia" w:ascii="仿宋_GB2312" w:hAnsi="仿宋_GB2312" w:eastAsia="仿宋_GB2312" w:cs="仿宋_GB2312"/>
                <w:kern w:val="0"/>
                <w:sz w:val="22"/>
                <w:szCs w:val="22"/>
                <w:highlight w:val="none"/>
              </w:rPr>
              <w:t>30公斤</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肉羊30</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60公斤</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肉种羊</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种</w:t>
            </w:r>
            <w:r>
              <w:rPr>
                <w:rFonts w:hint="eastAsia" w:ascii="仿宋_GB2312" w:hAnsi="仿宋_GB2312" w:eastAsia="仿宋_GB2312" w:cs="仿宋_GB2312"/>
                <w:kern w:val="0"/>
                <w:sz w:val="22"/>
                <w:szCs w:val="22"/>
                <w:highlight w:val="none"/>
              </w:rPr>
              <w:t>羊</w:t>
            </w:r>
            <w:r>
              <w:rPr>
                <w:rFonts w:hint="eastAsia" w:ascii="仿宋_GB2312" w:hAnsi="仿宋_GB2312" w:eastAsia="仿宋_GB2312" w:cs="仿宋_GB2312"/>
                <w:kern w:val="0"/>
                <w:sz w:val="22"/>
                <w:szCs w:val="22"/>
                <w:highlight w:val="none"/>
                <w:lang w:val="en-US" w:eastAsia="zh-CN"/>
              </w:rPr>
              <w:t>≤</w:t>
            </w:r>
            <w:r>
              <w:rPr>
                <w:rFonts w:hint="eastAsia" w:ascii="仿宋_GB2312" w:hAnsi="仿宋_GB2312" w:eastAsia="仿宋_GB2312" w:cs="仿宋_GB2312"/>
                <w:kern w:val="0"/>
                <w:sz w:val="22"/>
                <w:szCs w:val="22"/>
                <w:highlight w:val="none"/>
              </w:rPr>
              <w:t>30公斤</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1150.0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种</w:t>
            </w:r>
            <w:r>
              <w:rPr>
                <w:rFonts w:hint="eastAsia" w:ascii="仿宋_GB2312" w:hAnsi="仿宋_GB2312" w:eastAsia="仿宋_GB2312" w:cs="仿宋_GB2312"/>
                <w:kern w:val="0"/>
                <w:sz w:val="22"/>
                <w:szCs w:val="22"/>
                <w:highlight w:val="none"/>
              </w:rPr>
              <w:t>羊30</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60公斤</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1350.0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国产马</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1年及以下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9500.0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l至3年</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w:t>
            </w:r>
            <w:r>
              <w:rPr>
                <w:rFonts w:hint="eastAsia" w:ascii="仿宋_GB2312" w:hAnsi="仿宋_GB2312" w:eastAsia="仿宋_GB2312" w:cs="仿宋_GB2312"/>
                <w:kern w:val="0"/>
                <w:sz w:val="22"/>
                <w:szCs w:val="22"/>
                <w:highlight w:val="none"/>
                <w:lang w:val="en-US" w:eastAsia="zh-CN"/>
              </w:rPr>
              <w:t>5</w:t>
            </w:r>
            <w:r>
              <w:rPr>
                <w:rFonts w:hint="eastAsia" w:ascii="仿宋_GB2312" w:hAnsi="仿宋_GB2312" w:eastAsia="仿宋_GB2312" w:cs="仿宋_GB2312"/>
                <w:kern w:val="0"/>
                <w:sz w:val="22"/>
                <w:szCs w:val="22"/>
                <w:highlight w:val="none"/>
              </w:rPr>
              <w:t>00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3至16年</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17</w:t>
            </w:r>
            <w:r>
              <w:rPr>
                <w:rFonts w:hint="eastAsia" w:ascii="仿宋_GB2312" w:hAnsi="仿宋_GB2312" w:eastAsia="仿宋_GB2312" w:cs="仿宋_GB2312"/>
                <w:kern w:val="0"/>
                <w:sz w:val="22"/>
                <w:szCs w:val="22"/>
                <w:highlight w:val="none"/>
                <w:lang w:val="en-US" w:eastAsia="zh-CN"/>
              </w:rPr>
              <w:t>5</w:t>
            </w:r>
            <w:r>
              <w:rPr>
                <w:rFonts w:hint="eastAsia" w:ascii="仿宋_GB2312" w:hAnsi="仿宋_GB2312" w:eastAsia="仿宋_GB2312" w:cs="仿宋_GB2312"/>
                <w:kern w:val="0"/>
                <w:sz w:val="22"/>
                <w:szCs w:val="22"/>
                <w:highlight w:val="none"/>
              </w:rPr>
              <w:t>00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16年以上</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8</w:t>
            </w:r>
            <w:r>
              <w:rPr>
                <w:rFonts w:hint="eastAsia" w:ascii="仿宋_GB2312" w:hAnsi="仿宋_GB2312" w:eastAsia="仿宋_GB2312" w:cs="仿宋_GB2312"/>
                <w:kern w:val="0"/>
                <w:sz w:val="22"/>
                <w:szCs w:val="22"/>
                <w:highlight w:val="none"/>
                <w:lang w:val="en-US" w:eastAsia="zh-CN"/>
              </w:rPr>
              <w:t>5</w:t>
            </w:r>
            <w:r>
              <w:rPr>
                <w:rFonts w:hint="eastAsia" w:ascii="仿宋_GB2312" w:hAnsi="仿宋_GB2312" w:eastAsia="仿宋_GB2312" w:cs="仿宋_GB2312"/>
                <w:kern w:val="0"/>
                <w:sz w:val="22"/>
                <w:szCs w:val="22"/>
                <w:highlight w:val="none"/>
              </w:rPr>
              <w:t>00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787" w:type="dxa"/>
            <w:gridSpan w:val="2"/>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观赏马和比赛用马</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rPr>
              <w:t>补偿价格原则上不超过现行同类国产马补贴价格的2-3倍，具体另议</w:t>
            </w:r>
            <w:r>
              <w:rPr>
                <w:rFonts w:hint="eastAsia" w:ascii="仿宋_GB2312" w:hAnsi="仿宋_GB2312" w:eastAsia="仿宋_GB2312" w:cs="仿宋_GB2312"/>
                <w:kern w:val="0"/>
                <w:sz w:val="22"/>
                <w:szCs w:val="22"/>
                <w:highlight w:val="none"/>
                <w:lang w:eastAsia="zh-CN"/>
              </w:rPr>
              <w:t>。</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驴、骡</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1年及以下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5750.0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1至8年</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rPr>
              <w:t>9</w:t>
            </w:r>
            <w:r>
              <w:rPr>
                <w:rFonts w:hint="eastAsia" w:ascii="仿宋_GB2312" w:hAnsi="仿宋_GB2312" w:eastAsia="仿宋_GB2312" w:cs="仿宋_GB2312"/>
                <w:kern w:val="0"/>
                <w:sz w:val="22"/>
                <w:szCs w:val="22"/>
                <w:highlight w:val="none"/>
                <w:lang w:val="en-US" w:eastAsia="zh-CN"/>
              </w:rPr>
              <w:t>4</w:t>
            </w:r>
            <w:r>
              <w:rPr>
                <w:rFonts w:hint="eastAsia" w:ascii="仿宋_GB2312" w:hAnsi="仿宋_GB2312" w:eastAsia="仿宋_GB2312" w:cs="仿宋_GB2312"/>
                <w:kern w:val="0"/>
                <w:sz w:val="22"/>
                <w:szCs w:val="22"/>
                <w:highlight w:val="none"/>
              </w:rPr>
              <w:t>00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8年以上</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rPr>
              <w:t>4</w:t>
            </w:r>
            <w:r>
              <w:rPr>
                <w:rFonts w:hint="eastAsia" w:ascii="仿宋_GB2312" w:hAnsi="仿宋_GB2312" w:eastAsia="仿宋_GB2312" w:cs="仿宋_GB2312"/>
                <w:kern w:val="0"/>
                <w:sz w:val="22"/>
                <w:szCs w:val="22"/>
                <w:highlight w:val="none"/>
                <w:lang w:val="en-US" w:eastAsia="zh-CN"/>
              </w:rPr>
              <w:t>7</w:t>
            </w:r>
            <w:r>
              <w:rPr>
                <w:rFonts w:hint="eastAsia" w:ascii="仿宋_GB2312" w:hAnsi="仿宋_GB2312" w:eastAsia="仿宋_GB2312" w:cs="仿宋_GB2312"/>
                <w:kern w:val="0"/>
                <w:sz w:val="22"/>
                <w:szCs w:val="22"/>
                <w:highlight w:val="none"/>
              </w:rPr>
              <w:t>00</w:t>
            </w:r>
            <w:r>
              <w:rPr>
                <w:rFonts w:hint="eastAsia" w:ascii="仿宋_GB2312" w:hAnsi="仿宋_GB2312" w:eastAsia="仿宋_GB2312" w:cs="仿宋_GB2312"/>
                <w:kern w:val="0"/>
                <w:sz w:val="22"/>
                <w:szCs w:val="22"/>
                <w:highlight w:val="none"/>
                <w:lang w:val="en-US" w:eastAsia="zh-CN"/>
              </w:rPr>
              <w:t>.0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商品肉鸡</w:t>
            </w:r>
          </w:p>
          <w:p>
            <w:pPr>
              <w:widowControl/>
              <w:spacing w:line="500" w:lineRule="exact"/>
              <w:jc w:val="center"/>
              <w:rPr>
                <w:rFonts w:hint="eastAsia" w:ascii="仿宋_GB2312" w:hAnsi="仿宋_GB2312" w:eastAsia="仿宋_GB2312" w:cs="仿宋_GB2312"/>
                <w:kern w:val="0"/>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10日龄及以下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20日龄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11.5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21</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40日龄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16.5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41日龄以上</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22.5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父母代肉种鸡</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20日龄及以下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17.0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21</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42日龄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21.0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43</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300日龄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84.0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30</w:t>
            </w:r>
            <w:r>
              <w:rPr>
                <w:rFonts w:hint="eastAsia" w:ascii="仿宋_GB2312" w:hAnsi="仿宋_GB2312" w:eastAsia="仿宋_GB2312" w:cs="仿宋_GB2312"/>
                <w:kern w:val="0"/>
                <w:sz w:val="22"/>
                <w:szCs w:val="22"/>
                <w:highlight w:val="none"/>
                <w:lang w:val="en-US" w:eastAsia="zh-CN"/>
              </w:rPr>
              <w:t>1</w:t>
            </w:r>
            <w:r>
              <w:rPr>
                <w:rFonts w:hint="eastAsia" w:ascii="仿宋_GB2312" w:hAnsi="仿宋_GB2312" w:eastAsia="仿宋_GB2312" w:cs="仿宋_GB2312"/>
                <w:kern w:val="0"/>
                <w:sz w:val="22"/>
                <w:szCs w:val="22"/>
                <w:highlight w:val="none"/>
              </w:rPr>
              <w:t>日龄以上</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每增加5天减少1%</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祖代及以上代次肉种鸡</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20日龄及以下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rPr>
              <w:t>16</w:t>
            </w:r>
            <w:r>
              <w:rPr>
                <w:rFonts w:hint="eastAsia" w:ascii="仿宋_GB2312" w:hAnsi="仿宋_GB2312" w:eastAsia="仿宋_GB2312" w:cs="仿宋_GB2312"/>
                <w:kern w:val="0"/>
                <w:sz w:val="22"/>
                <w:szCs w:val="22"/>
                <w:highlight w:val="none"/>
                <w:lang w:val="en-US" w:eastAsia="zh-CN"/>
              </w:rPr>
              <w:t>5.0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21</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42日龄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170.0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43</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300日龄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240.0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30</w:t>
            </w:r>
            <w:r>
              <w:rPr>
                <w:rFonts w:hint="eastAsia" w:ascii="仿宋_GB2312" w:hAnsi="仿宋_GB2312" w:eastAsia="仿宋_GB2312" w:cs="仿宋_GB2312"/>
                <w:kern w:val="0"/>
                <w:sz w:val="22"/>
                <w:szCs w:val="22"/>
                <w:highlight w:val="none"/>
                <w:lang w:val="en-US" w:eastAsia="zh-CN"/>
              </w:rPr>
              <w:t>1</w:t>
            </w:r>
            <w:r>
              <w:rPr>
                <w:rFonts w:hint="eastAsia" w:ascii="仿宋_GB2312" w:hAnsi="仿宋_GB2312" w:eastAsia="仿宋_GB2312" w:cs="仿宋_GB2312"/>
                <w:kern w:val="0"/>
                <w:sz w:val="22"/>
                <w:szCs w:val="22"/>
                <w:highlight w:val="none"/>
              </w:rPr>
              <w:t>日龄以上</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每增加5天减少1%</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商品蛋鸡</w:t>
            </w:r>
          </w:p>
        </w:tc>
        <w:tc>
          <w:tcPr>
            <w:tcW w:w="2722"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rPr>
              <w:t>10日龄</w:t>
            </w:r>
            <w:r>
              <w:rPr>
                <w:rFonts w:hint="eastAsia" w:ascii="仿宋_GB2312" w:hAnsi="仿宋_GB2312" w:eastAsia="仿宋_GB2312" w:cs="仿宋_GB2312"/>
                <w:kern w:val="0"/>
                <w:sz w:val="22"/>
                <w:szCs w:val="22"/>
                <w:highlight w:val="none"/>
                <w:lang w:val="en-US" w:eastAsia="zh-CN"/>
              </w:rPr>
              <w:t>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rPr>
              <w:t>5</w:t>
            </w:r>
            <w:r>
              <w:rPr>
                <w:rFonts w:hint="eastAsia" w:ascii="仿宋_GB2312" w:hAnsi="仿宋_GB2312" w:eastAsia="仿宋_GB2312" w:cs="仿宋_GB2312"/>
                <w:kern w:val="0"/>
                <w:sz w:val="22"/>
                <w:szCs w:val="22"/>
                <w:highlight w:val="none"/>
                <w:lang w:eastAsia="zh-CN"/>
              </w:rPr>
              <w:t>.</w:t>
            </w:r>
            <w:r>
              <w:rPr>
                <w:rFonts w:hint="eastAsia" w:ascii="仿宋_GB2312" w:hAnsi="仿宋_GB2312" w:eastAsia="仿宋_GB2312" w:cs="仿宋_GB2312"/>
                <w:kern w:val="0"/>
                <w:sz w:val="22"/>
                <w:szCs w:val="22"/>
                <w:highlight w:val="none"/>
                <w:lang w:val="en-US" w:eastAsia="zh-CN"/>
              </w:rPr>
              <w:t>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11至42日龄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11.0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43</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100日左右</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37.5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101至350日龄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48.0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35</w:t>
            </w:r>
            <w:r>
              <w:rPr>
                <w:rFonts w:hint="eastAsia" w:ascii="仿宋_GB2312" w:hAnsi="仿宋_GB2312" w:eastAsia="仿宋_GB2312" w:cs="仿宋_GB2312"/>
                <w:kern w:val="0"/>
                <w:sz w:val="22"/>
                <w:szCs w:val="22"/>
                <w:highlight w:val="none"/>
                <w:lang w:val="en-US" w:eastAsia="zh-CN"/>
              </w:rPr>
              <w:t>1</w:t>
            </w:r>
            <w:r>
              <w:rPr>
                <w:rFonts w:hint="eastAsia" w:ascii="仿宋_GB2312" w:hAnsi="仿宋_GB2312" w:eastAsia="仿宋_GB2312" w:cs="仿宋_GB2312"/>
                <w:kern w:val="0"/>
                <w:sz w:val="22"/>
                <w:szCs w:val="22"/>
                <w:highlight w:val="none"/>
              </w:rPr>
              <w:t>日龄以上</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30.5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787" w:type="dxa"/>
            <w:gridSpan w:val="2"/>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柴鸡（林下、生态养殖等模式）</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rPr>
              <w:t>补偿价格原则上不超过现行101至350日龄商品蛋鸡补贴价格的1.5-2倍，具体另议</w:t>
            </w:r>
            <w:r>
              <w:rPr>
                <w:rFonts w:hint="eastAsia" w:ascii="仿宋_GB2312" w:hAnsi="仿宋_GB2312" w:eastAsia="仿宋_GB2312" w:cs="仿宋_GB2312"/>
                <w:kern w:val="0"/>
                <w:sz w:val="22"/>
                <w:szCs w:val="22"/>
                <w:highlight w:val="none"/>
                <w:lang w:eastAsia="zh-CN"/>
              </w:rPr>
              <w:t>。</w:t>
            </w:r>
          </w:p>
        </w:tc>
        <w:tc>
          <w:tcPr>
            <w:tcW w:w="733" w:type="dxa"/>
            <w:noWrap w:val="0"/>
            <w:vAlign w:val="center"/>
          </w:tcPr>
          <w:p>
            <w:pPr>
              <w:pStyle w:val="83"/>
              <w:spacing w:line="500" w:lineRule="exact"/>
              <w:jc w:val="center"/>
              <w:rPr>
                <w:rFonts w:hint="eastAsia" w:ascii="仿宋_GB2312" w:hAnsi="仿宋_GB2312" w:eastAsia="仿宋_GB2312" w:cs="仿宋_GB2312"/>
                <w:spacing w:val="-3"/>
                <w:sz w:val="22"/>
                <w:szCs w:val="2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父母代蛋种鸡</w:t>
            </w:r>
          </w:p>
          <w:p>
            <w:pPr>
              <w:pStyle w:val="83"/>
              <w:spacing w:line="500" w:lineRule="exact"/>
              <w:jc w:val="center"/>
              <w:rPr>
                <w:rFonts w:hint="eastAsia" w:ascii="仿宋_GB2312" w:hAnsi="仿宋_GB2312" w:eastAsia="仿宋_GB2312" w:cs="仿宋_GB2312"/>
                <w:spacing w:val="-3"/>
                <w:sz w:val="22"/>
                <w:szCs w:val="22"/>
                <w:highlight w:val="none"/>
                <w:lang w:eastAsia="zh-CN"/>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10日龄及以下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24.0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11至42日龄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43至100日左右</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101至140日龄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65.0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141至350日龄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350日龄以上</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每增加5天减少1%</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祖代及以上代次蛋种鸡</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10日龄及以下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170.0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11至42日龄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180.0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43至100日左右</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200.0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101</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140日龄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205.0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141至350日龄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210.0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350日龄以上</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每增加5天减少1%</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商品鸭</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10日龄及以下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rPr>
              <w:t>7</w:t>
            </w:r>
            <w:r>
              <w:rPr>
                <w:rFonts w:hint="eastAsia" w:ascii="仿宋_GB2312" w:hAnsi="仿宋_GB2312" w:eastAsia="仿宋_GB2312" w:cs="仿宋_GB2312"/>
                <w:kern w:val="0"/>
                <w:sz w:val="22"/>
                <w:szCs w:val="22"/>
                <w:highlight w:val="none"/>
                <w:lang w:val="en-US" w:eastAsia="zh-CN"/>
              </w:rPr>
              <w:t>.5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30日龄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22.5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31</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45日龄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36.0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种鸭</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10日龄及以下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26.0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11</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42日龄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55.5</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43</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100日左右</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105.0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101</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182日龄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175.0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183</w:t>
            </w:r>
            <w:r>
              <w:rPr>
                <w:rFonts w:hint="eastAsia" w:ascii="仿宋_GB2312" w:hAnsi="仿宋_GB2312" w:eastAsia="仿宋_GB2312" w:cs="仿宋_GB2312"/>
                <w:kern w:val="0"/>
                <w:sz w:val="22"/>
                <w:szCs w:val="22"/>
                <w:highlight w:val="none"/>
                <w:lang w:val="en-US" w:eastAsia="zh-CN"/>
              </w:rPr>
              <w:t>至</w:t>
            </w:r>
            <w:r>
              <w:rPr>
                <w:rFonts w:hint="eastAsia" w:ascii="仿宋_GB2312" w:hAnsi="仿宋_GB2312" w:eastAsia="仿宋_GB2312" w:cs="仿宋_GB2312"/>
                <w:kern w:val="0"/>
                <w:sz w:val="22"/>
                <w:szCs w:val="22"/>
                <w:highlight w:val="none"/>
              </w:rPr>
              <w:t>300日龄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150.0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300日龄以上</w:t>
            </w:r>
          </w:p>
        </w:tc>
        <w:tc>
          <w:tcPr>
            <w:tcW w:w="3289"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每增加5天减少1%</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restart"/>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鹅</w:t>
            </w: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30日龄及以下</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32.0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31至180日龄</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55.0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65" w:type="dxa"/>
            <w:vMerge w:val="continue"/>
            <w:noWrap w:val="0"/>
            <w:vAlign w:val="center"/>
          </w:tcPr>
          <w:p>
            <w:pPr>
              <w:pStyle w:val="83"/>
              <w:spacing w:line="500" w:lineRule="exact"/>
              <w:jc w:val="center"/>
              <w:rPr>
                <w:rFonts w:hint="eastAsia" w:ascii="仿宋_GB2312" w:hAnsi="仿宋_GB2312" w:eastAsia="仿宋_GB2312" w:cs="仿宋_GB2312"/>
                <w:spacing w:val="-3"/>
                <w:sz w:val="22"/>
                <w:szCs w:val="22"/>
                <w:highlight w:val="none"/>
              </w:rPr>
            </w:pPr>
          </w:p>
        </w:tc>
        <w:tc>
          <w:tcPr>
            <w:tcW w:w="2722"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180日龄以上</w:t>
            </w:r>
          </w:p>
        </w:tc>
        <w:tc>
          <w:tcPr>
            <w:tcW w:w="3289" w:type="dxa"/>
            <w:noWrap w:val="0"/>
            <w:vAlign w:val="center"/>
          </w:tcPr>
          <w:p>
            <w:pPr>
              <w:widowControl/>
              <w:spacing w:line="50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80.0</w:t>
            </w:r>
          </w:p>
        </w:tc>
        <w:tc>
          <w:tcPr>
            <w:tcW w:w="733" w:type="dxa"/>
            <w:noWrap w:val="0"/>
            <w:vAlign w:val="center"/>
          </w:tcPr>
          <w:p>
            <w:pPr>
              <w:widowControl/>
              <w:spacing w:line="500" w:lineRule="exact"/>
              <w:jc w:val="center"/>
              <w:rPr>
                <w:rFonts w:hint="eastAsia" w:ascii="仿宋_GB2312" w:hAnsi="仿宋_GB2312" w:eastAsia="仿宋_GB2312" w:cs="仿宋_GB2312"/>
                <w:kern w:val="0"/>
                <w:sz w:val="22"/>
                <w:szCs w:val="22"/>
                <w:highlight w:val="none"/>
              </w:rPr>
            </w:pPr>
          </w:p>
        </w:tc>
      </w:tr>
    </w:tbl>
    <w:p>
      <w:pPr>
        <w:pStyle w:val="13"/>
        <w:ind w:left="0" w:leftChars="0"/>
        <w:rPr>
          <w:highlight w:val="none"/>
        </w:rPr>
      </w:pPr>
    </w:p>
    <w:p>
      <w:pPr>
        <w:pStyle w:val="13"/>
        <w:ind w:left="0" w:leftChars="0" w:firstLine="0" w:firstLineChars="0"/>
        <w:rPr>
          <w:rFonts w:hint="eastAsia"/>
          <w:highlight w:val="none"/>
        </w:rPr>
      </w:pPr>
    </w:p>
    <w:sectPr>
      <w:footerReference r:id="rId3" w:type="default"/>
      <w:footerReference r:id="rId4" w:type="even"/>
      <w:pgSz w:w="11906" w:h="16838"/>
      <w:pgMar w:top="2098" w:right="1474" w:bottom="1985" w:left="1588" w:header="851" w:footer="1440"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汉仪中圆B5"/>
    <w:panose1 w:val="02010600030101010101"/>
    <w:charset w:val="86"/>
    <w:family w:val="auto"/>
    <w:pitch w:val="default"/>
    <w:sig w:usb0="00000000" w:usb1="00000000" w:usb2="00000016" w:usb3="00000000" w:csb0="0004000F" w:csb1="00000000"/>
  </w:font>
  <w:font w:name="Segoe UI Symbol">
    <w:altName w:val="Noto Sans"/>
    <w:panose1 w:val="020B0502040204020203"/>
    <w:charset w:val="00"/>
    <w:family w:val="swiss"/>
    <w:pitch w:val="default"/>
    <w:sig w:usb0="00000000" w:usb1="00000000" w:usb2="00040000" w:usb3="04000000" w:csb0="00000001" w:csb1="4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43255" cy="316230"/>
              <wp:effectExtent l="0" t="0" r="0" b="0"/>
              <wp:wrapNone/>
              <wp:docPr id="1" name="文本框 30"/>
              <wp:cNvGraphicFramePr/>
              <a:graphic xmlns:a="http://schemas.openxmlformats.org/drawingml/2006/main">
                <a:graphicData uri="http://schemas.microsoft.com/office/word/2010/wordprocessingShape">
                  <wps:wsp>
                    <wps:cNvSpPr txBox="true"/>
                    <wps:spPr>
                      <a:xfrm>
                        <a:off x="0" y="0"/>
                        <a:ext cx="643255" cy="31623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square" lIns="0" tIns="0" rIns="0" bIns="0" anchor="t" anchorCtr="false" upright="false"/>
                  </wps:wsp>
                </a:graphicData>
              </a:graphic>
            </wp:anchor>
          </w:drawing>
        </mc:Choice>
        <mc:Fallback>
          <w:pict>
            <v:shape id="文本框 30" o:spid="_x0000_s1026" o:spt="202" type="#_x0000_t202" style="position:absolute;left:0pt;margin-top:0pt;height:24.9pt;width:50.65pt;mso-position-horizontal:outside;mso-position-horizontal-relative:margin;z-index:251659264;mso-width-relative:page;mso-height-relative:page;" filled="f" stroked="f" coordsize="21600,21600" o:gfxdata="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DEsswfUAAAABAEAAA8AAAAAAAAAAQAg&#10;AAAAOAAAAGRycy9kb3ducmV2LnhtbFBLAQIUABQAAAAIAIdO4kD+4rEVwwEAAGIDAAAOAAAAAAAA&#10;AAEAIAAAADkBAABkcnMvZTJvRG9jLnhtbFBLBQYAAAAABgAGAFkBAABuBQ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181610</wp:posOffset>
              </wp:positionH>
              <wp:positionV relativeFrom="paragraph">
                <wp:posOffset>-172720</wp:posOffset>
              </wp:positionV>
              <wp:extent cx="524510" cy="250825"/>
              <wp:effectExtent l="0" t="0" r="0" b="0"/>
              <wp:wrapNone/>
              <wp:docPr id="2" name="文本框 31"/>
              <wp:cNvGraphicFramePr/>
              <a:graphic xmlns:a="http://schemas.openxmlformats.org/drawingml/2006/main">
                <a:graphicData uri="http://schemas.microsoft.com/office/word/2010/wordprocessingShape">
                  <wps:wsp>
                    <wps:cNvSpPr txBox="true"/>
                    <wps:spPr>
                      <a:xfrm>
                        <a:off x="0" y="0"/>
                        <a:ext cx="524510" cy="250825"/>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wps:txbx>
                    <wps:bodyPr vert="horz" wrap="square" lIns="0" tIns="0" rIns="0" bIns="0" anchor="t" anchorCtr="false" upright="false"/>
                  </wps:wsp>
                </a:graphicData>
              </a:graphic>
            </wp:anchor>
          </w:drawing>
        </mc:Choice>
        <mc:Fallback>
          <w:pict>
            <v:shape id="文本框 31" o:spid="_x0000_s1026" o:spt="202" type="#_x0000_t202" style="position:absolute;left:0pt;margin-left:14.3pt;margin-top:-13.6pt;height:19.75pt;width:41.3pt;mso-position-horizontal-relative:margin;z-index:251660288;mso-width-relative:page;mso-height-relative:page;" filled="f" stroked="f" coordsize="21600,21600" o:gfxdata="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BQhsTNcAAAAJAQAADwAAAAAAAAAB&#10;ACAAAAA4AAAAZHJzL2Rvd25yZXYueG1sUEsBAhQAFAAAAAgAh07iQMgNNo7CAQAAYgMAAA4AAAAA&#10;AAAAAQAgAAAAPAEAAGRycy9lMm9Eb2MueG1sUEsFBgAAAAAGAAYAWQEAAHAFA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v:textbox>
            </v:shape>
          </w:pict>
        </mc:Fallback>
      </mc:AlternateContent>
    </w:r>
  </w:p>
  <w:p>
    <w:pPr>
      <w:pStyle w:val="10"/>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E731E"/>
    <w:multiLevelType w:val="singleLevel"/>
    <w:tmpl w:val="5F6E73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YjU0NGI0NmMzMTM2MWYxMDQxN2MwOTc2YWM2MDIifQ=="/>
  </w:docVars>
  <w:rsids>
    <w:rsidRoot w:val="008B174B"/>
    <w:rsid w:val="000009CE"/>
    <w:rsid w:val="00011D47"/>
    <w:rsid w:val="00013E23"/>
    <w:rsid w:val="00014625"/>
    <w:rsid w:val="00022143"/>
    <w:rsid w:val="0002234A"/>
    <w:rsid w:val="00025CC5"/>
    <w:rsid w:val="00037675"/>
    <w:rsid w:val="000473AA"/>
    <w:rsid w:val="0005005A"/>
    <w:rsid w:val="000522EA"/>
    <w:rsid w:val="0005384B"/>
    <w:rsid w:val="000543CF"/>
    <w:rsid w:val="00054921"/>
    <w:rsid w:val="00054D97"/>
    <w:rsid w:val="00061F89"/>
    <w:rsid w:val="000628F3"/>
    <w:rsid w:val="00063034"/>
    <w:rsid w:val="00063E42"/>
    <w:rsid w:val="000702E0"/>
    <w:rsid w:val="0007454A"/>
    <w:rsid w:val="000758A3"/>
    <w:rsid w:val="00080F9A"/>
    <w:rsid w:val="00081FE4"/>
    <w:rsid w:val="00086889"/>
    <w:rsid w:val="000943D6"/>
    <w:rsid w:val="000A1343"/>
    <w:rsid w:val="000B2BC4"/>
    <w:rsid w:val="000C04E1"/>
    <w:rsid w:val="000C52AC"/>
    <w:rsid w:val="000E1B6E"/>
    <w:rsid w:val="000E5866"/>
    <w:rsid w:val="000F3460"/>
    <w:rsid w:val="00101705"/>
    <w:rsid w:val="00101ED1"/>
    <w:rsid w:val="00102733"/>
    <w:rsid w:val="00102A92"/>
    <w:rsid w:val="00104C0B"/>
    <w:rsid w:val="00105BA9"/>
    <w:rsid w:val="00106851"/>
    <w:rsid w:val="00111483"/>
    <w:rsid w:val="0011276B"/>
    <w:rsid w:val="00112E9F"/>
    <w:rsid w:val="001149AE"/>
    <w:rsid w:val="0011735F"/>
    <w:rsid w:val="00124518"/>
    <w:rsid w:val="00124B3B"/>
    <w:rsid w:val="001311CC"/>
    <w:rsid w:val="00133506"/>
    <w:rsid w:val="0013457C"/>
    <w:rsid w:val="0014039B"/>
    <w:rsid w:val="00147414"/>
    <w:rsid w:val="0015039A"/>
    <w:rsid w:val="0015127D"/>
    <w:rsid w:val="00153230"/>
    <w:rsid w:val="00155F27"/>
    <w:rsid w:val="00157FA9"/>
    <w:rsid w:val="001602BE"/>
    <w:rsid w:val="0016532A"/>
    <w:rsid w:val="00171A41"/>
    <w:rsid w:val="0017471A"/>
    <w:rsid w:val="001763E8"/>
    <w:rsid w:val="001809AB"/>
    <w:rsid w:val="00181631"/>
    <w:rsid w:val="00181DA5"/>
    <w:rsid w:val="0018446E"/>
    <w:rsid w:val="00184853"/>
    <w:rsid w:val="001852EA"/>
    <w:rsid w:val="001862E6"/>
    <w:rsid w:val="001870F0"/>
    <w:rsid w:val="00187CB5"/>
    <w:rsid w:val="00190814"/>
    <w:rsid w:val="001918F4"/>
    <w:rsid w:val="001953E6"/>
    <w:rsid w:val="001A3B1A"/>
    <w:rsid w:val="001B0FB4"/>
    <w:rsid w:val="001B1B39"/>
    <w:rsid w:val="001B3D97"/>
    <w:rsid w:val="001B4547"/>
    <w:rsid w:val="001B6B91"/>
    <w:rsid w:val="001B6FE3"/>
    <w:rsid w:val="001C296F"/>
    <w:rsid w:val="001D3623"/>
    <w:rsid w:val="001D630C"/>
    <w:rsid w:val="001E22B7"/>
    <w:rsid w:val="001E2449"/>
    <w:rsid w:val="001E29E1"/>
    <w:rsid w:val="001E2FE2"/>
    <w:rsid w:val="001E33A3"/>
    <w:rsid w:val="001E6BA4"/>
    <w:rsid w:val="001F2537"/>
    <w:rsid w:val="001F4824"/>
    <w:rsid w:val="001F5603"/>
    <w:rsid w:val="001F6F3F"/>
    <w:rsid w:val="002023B4"/>
    <w:rsid w:val="00205925"/>
    <w:rsid w:val="002062D0"/>
    <w:rsid w:val="00213E77"/>
    <w:rsid w:val="00213F74"/>
    <w:rsid w:val="0022119C"/>
    <w:rsid w:val="00221B34"/>
    <w:rsid w:val="00224729"/>
    <w:rsid w:val="00224F0C"/>
    <w:rsid w:val="00225469"/>
    <w:rsid w:val="00233E13"/>
    <w:rsid w:val="00235250"/>
    <w:rsid w:val="00237AD2"/>
    <w:rsid w:val="002400FD"/>
    <w:rsid w:val="002429E7"/>
    <w:rsid w:val="0024561E"/>
    <w:rsid w:val="00245935"/>
    <w:rsid w:val="00247D5F"/>
    <w:rsid w:val="0025454A"/>
    <w:rsid w:val="002560D5"/>
    <w:rsid w:val="0026030F"/>
    <w:rsid w:val="00260636"/>
    <w:rsid w:val="00263208"/>
    <w:rsid w:val="002774F0"/>
    <w:rsid w:val="00277C9E"/>
    <w:rsid w:val="00277E6A"/>
    <w:rsid w:val="002811BA"/>
    <w:rsid w:val="00282C89"/>
    <w:rsid w:val="00286EC0"/>
    <w:rsid w:val="002871FF"/>
    <w:rsid w:val="00292C4C"/>
    <w:rsid w:val="00292F0E"/>
    <w:rsid w:val="00293F02"/>
    <w:rsid w:val="002A3929"/>
    <w:rsid w:val="002A3A0E"/>
    <w:rsid w:val="002A474E"/>
    <w:rsid w:val="002A5A68"/>
    <w:rsid w:val="002A637F"/>
    <w:rsid w:val="002B52DE"/>
    <w:rsid w:val="002B62B5"/>
    <w:rsid w:val="002D12CA"/>
    <w:rsid w:val="002E09AE"/>
    <w:rsid w:val="002E4C41"/>
    <w:rsid w:val="002E736A"/>
    <w:rsid w:val="002F091C"/>
    <w:rsid w:val="002F3157"/>
    <w:rsid w:val="002F465A"/>
    <w:rsid w:val="00300860"/>
    <w:rsid w:val="00306285"/>
    <w:rsid w:val="00311EBF"/>
    <w:rsid w:val="00313836"/>
    <w:rsid w:val="00313E1C"/>
    <w:rsid w:val="0031445D"/>
    <w:rsid w:val="00315A49"/>
    <w:rsid w:val="003221F6"/>
    <w:rsid w:val="00325BE2"/>
    <w:rsid w:val="00326363"/>
    <w:rsid w:val="003321E2"/>
    <w:rsid w:val="00335657"/>
    <w:rsid w:val="0033796B"/>
    <w:rsid w:val="0034177A"/>
    <w:rsid w:val="00346396"/>
    <w:rsid w:val="00346622"/>
    <w:rsid w:val="00347294"/>
    <w:rsid w:val="003477BD"/>
    <w:rsid w:val="00353A8D"/>
    <w:rsid w:val="00354E56"/>
    <w:rsid w:val="00355C51"/>
    <w:rsid w:val="003629F0"/>
    <w:rsid w:val="00363A39"/>
    <w:rsid w:val="00365027"/>
    <w:rsid w:val="00366748"/>
    <w:rsid w:val="00374152"/>
    <w:rsid w:val="00386325"/>
    <w:rsid w:val="00387ADA"/>
    <w:rsid w:val="003900CC"/>
    <w:rsid w:val="003944A6"/>
    <w:rsid w:val="003A019B"/>
    <w:rsid w:val="003A3CE8"/>
    <w:rsid w:val="003A404A"/>
    <w:rsid w:val="003B0A58"/>
    <w:rsid w:val="003B0F3B"/>
    <w:rsid w:val="003B1F0E"/>
    <w:rsid w:val="003B3631"/>
    <w:rsid w:val="003B399B"/>
    <w:rsid w:val="003B7F5B"/>
    <w:rsid w:val="003C22F7"/>
    <w:rsid w:val="003C2382"/>
    <w:rsid w:val="003D2A2E"/>
    <w:rsid w:val="003D339B"/>
    <w:rsid w:val="003D3629"/>
    <w:rsid w:val="003D363F"/>
    <w:rsid w:val="003D5290"/>
    <w:rsid w:val="003D5A37"/>
    <w:rsid w:val="003E1558"/>
    <w:rsid w:val="003E19E1"/>
    <w:rsid w:val="003E1BAB"/>
    <w:rsid w:val="003E775A"/>
    <w:rsid w:val="003F2AB7"/>
    <w:rsid w:val="003F378D"/>
    <w:rsid w:val="00404F83"/>
    <w:rsid w:val="00405749"/>
    <w:rsid w:val="004077DF"/>
    <w:rsid w:val="00407982"/>
    <w:rsid w:val="00416BF1"/>
    <w:rsid w:val="0042327B"/>
    <w:rsid w:val="00430A6E"/>
    <w:rsid w:val="00431A81"/>
    <w:rsid w:val="00431D03"/>
    <w:rsid w:val="00432AE0"/>
    <w:rsid w:val="00443078"/>
    <w:rsid w:val="0044630A"/>
    <w:rsid w:val="00451B29"/>
    <w:rsid w:val="00452EE4"/>
    <w:rsid w:val="0045566A"/>
    <w:rsid w:val="00463D65"/>
    <w:rsid w:val="00464804"/>
    <w:rsid w:val="0047663B"/>
    <w:rsid w:val="0047664D"/>
    <w:rsid w:val="004770D4"/>
    <w:rsid w:val="00477A69"/>
    <w:rsid w:val="004804BB"/>
    <w:rsid w:val="00480E38"/>
    <w:rsid w:val="00482D42"/>
    <w:rsid w:val="00483414"/>
    <w:rsid w:val="0048494B"/>
    <w:rsid w:val="00490EA5"/>
    <w:rsid w:val="00492020"/>
    <w:rsid w:val="004A1DC1"/>
    <w:rsid w:val="004A21BF"/>
    <w:rsid w:val="004A5B01"/>
    <w:rsid w:val="004A5DDA"/>
    <w:rsid w:val="004B4680"/>
    <w:rsid w:val="004B5EE6"/>
    <w:rsid w:val="004C00C8"/>
    <w:rsid w:val="004C61D0"/>
    <w:rsid w:val="004D4C5C"/>
    <w:rsid w:val="004D76A4"/>
    <w:rsid w:val="004E0041"/>
    <w:rsid w:val="004E0629"/>
    <w:rsid w:val="004E0D46"/>
    <w:rsid w:val="004E133F"/>
    <w:rsid w:val="004E1456"/>
    <w:rsid w:val="004E5B5B"/>
    <w:rsid w:val="004E6A5C"/>
    <w:rsid w:val="00501EE8"/>
    <w:rsid w:val="005124E4"/>
    <w:rsid w:val="005162E5"/>
    <w:rsid w:val="00527805"/>
    <w:rsid w:val="005340D1"/>
    <w:rsid w:val="005424BA"/>
    <w:rsid w:val="00544109"/>
    <w:rsid w:val="005447C2"/>
    <w:rsid w:val="005522FF"/>
    <w:rsid w:val="00557DB0"/>
    <w:rsid w:val="0056028C"/>
    <w:rsid w:val="00564CDE"/>
    <w:rsid w:val="00571901"/>
    <w:rsid w:val="00575D5C"/>
    <w:rsid w:val="00580961"/>
    <w:rsid w:val="00580F91"/>
    <w:rsid w:val="0058126F"/>
    <w:rsid w:val="00582B8A"/>
    <w:rsid w:val="0058495E"/>
    <w:rsid w:val="0059090E"/>
    <w:rsid w:val="005915C3"/>
    <w:rsid w:val="00593045"/>
    <w:rsid w:val="005933A9"/>
    <w:rsid w:val="0059618B"/>
    <w:rsid w:val="00596945"/>
    <w:rsid w:val="005A1EEA"/>
    <w:rsid w:val="005A3C9C"/>
    <w:rsid w:val="005A5696"/>
    <w:rsid w:val="005B37B7"/>
    <w:rsid w:val="005C014D"/>
    <w:rsid w:val="005C292B"/>
    <w:rsid w:val="005C4658"/>
    <w:rsid w:val="005C5FFD"/>
    <w:rsid w:val="005D06CB"/>
    <w:rsid w:val="005D489F"/>
    <w:rsid w:val="005D6D47"/>
    <w:rsid w:val="005D70B7"/>
    <w:rsid w:val="005D74FD"/>
    <w:rsid w:val="005E0D7B"/>
    <w:rsid w:val="005E3522"/>
    <w:rsid w:val="005F4912"/>
    <w:rsid w:val="005F4BA3"/>
    <w:rsid w:val="005F4BCA"/>
    <w:rsid w:val="005F75D1"/>
    <w:rsid w:val="00604F76"/>
    <w:rsid w:val="006162FB"/>
    <w:rsid w:val="00617C69"/>
    <w:rsid w:val="006271BE"/>
    <w:rsid w:val="00627BE4"/>
    <w:rsid w:val="00631663"/>
    <w:rsid w:val="00632DF2"/>
    <w:rsid w:val="00632FAC"/>
    <w:rsid w:val="00633684"/>
    <w:rsid w:val="00634817"/>
    <w:rsid w:val="006350D1"/>
    <w:rsid w:val="00647F3E"/>
    <w:rsid w:val="00650F15"/>
    <w:rsid w:val="00653449"/>
    <w:rsid w:val="00653AA4"/>
    <w:rsid w:val="0065608C"/>
    <w:rsid w:val="00657E25"/>
    <w:rsid w:val="00662A59"/>
    <w:rsid w:val="006774F0"/>
    <w:rsid w:val="00685B0E"/>
    <w:rsid w:val="0068700F"/>
    <w:rsid w:val="006906DB"/>
    <w:rsid w:val="00694C7E"/>
    <w:rsid w:val="006962F7"/>
    <w:rsid w:val="006A43E6"/>
    <w:rsid w:val="006A747D"/>
    <w:rsid w:val="006A7AA5"/>
    <w:rsid w:val="006B0829"/>
    <w:rsid w:val="006B6C59"/>
    <w:rsid w:val="006C2A1C"/>
    <w:rsid w:val="006C2C3F"/>
    <w:rsid w:val="006C3B74"/>
    <w:rsid w:val="006C3E7C"/>
    <w:rsid w:val="006C51D8"/>
    <w:rsid w:val="006C591D"/>
    <w:rsid w:val="006C7BA8"/>
    <w:rsid w:val="006D1808"/>
    <w:rsid w:val="006D30C1"/>
    <w:rsid w:val="006D31A5"/>
    <w:rsid w:val="006D38E5"/>
    <w:rsid w:val="006D6FB7"/>
    <w:rsid w:val="006E018A"/>
    <w:rsid w:val="006E0EAC"/>
    <w:rsid w:val="006E1E91"/>
    <w:rsid w:val="006E2066"/>
    <w:rsid w:val="006E7DBB"/>
    <w:rsid w:val="006F57FF"/>
    <w:rsid w:val="00711143"/>
    <w:rsid w:val="00714444"/>
    <w:rsid w:val="00717FB6"/>
    <w:rsid w:val="007204C2"/>
    <w:rsid w:val="00721D71"/>
    <w:rsid w:val="0072550E"/>
    <w:rsid w:val="00741742"/>
    <w:rsid w:val="007504A6"/>
    <w:rsid w:val="00751C10"/>
    <w:rsid w:val="00756EF4"/>
    <w:rsid w:val="00760AF9"/>
    <w:rsid w:val="007611CB"/>
    <w:rsid w:val="00765050"/>
    <w:rsid w:val="0076698E"/>
    <w:rsid w:val="007715A5"/>
    <w:rsid w:val="00771812"/>
    <w:rsid w:val="00773AFD"/>
    <w:rsid w:val="00775F04"/>
    <w:rsid w:val="00782DAE"/>
    <w:rsid w:val="00785F3A"/>
    <w:rsid w:val="007912D9"/>
    <w:rsid w:val="00792294"/>
    <w:rsid w:val="007923D5"/>
    <w:rsid w:val="00794940"/>
    <w:rsid w:val="00795C17"/>
    <w:rsid w:val="007C29BB"/>
    <w:rsid w:val="007C4B55"/>
    <w:rsid w:val="007C4B9A"/>
    <w:rsid w:val="007C6319"/>
    <w:rsid w:val="007D2EAE"/>
    <w:rsid w:val="007D56F1"/>
    <w:rsid w:val="007D71CB"/>
    <w:rsid w:val="007E1D5A"/>
    <w:rsid w:val="007E3042"/>
    <w:rsid w:val="007E3995"/>
    <w:rsid w:val="00802A42"/>
    <w:rsid w:val="008036A0"/>
    <w:rsid w:val="008100D8"/>
    <w:rsid w:val="00812FB4"/>
    <w:rsid w:val="00813284"/>
    <w:rsid w:val="0081331D"/>
    <w:rsid w:val="00821B83"/>
    <w:rsid w:val="00822DE3"/>
    <w:rsid w:val="008305CA"/>
    <w:rsid w:val="0083626B"/>
    <w:rsid w:val="0083700A"/>
    <w:rsid w:val="008400A5"/>
    <w:rsid w:val="00840694"/>
    <w:rsid w:val="00841464"/>
    <w:rsid w:val="00841A9B"/>
    <w:rsid w:val="008442D1"/>
    <w:rsid w:val="008468C9"/>
    <w:rsid w:val="00852959"/>
    <w:rsid w:val="008615A5"/>
    <w:rsid w:val="00862514"/>
    <w:rsid w:val="00864E38"/>
    <w:rsid w:val="00866CAC"/>
    <w:rsid w:val="00872B56"/>
    <w:rsid w:val="00873E23"/>
    <w:rsid w:val="00880D5F"/>
    <w:rsid w:val="0088107A"/>
    <w:rsid w:val="00884503"/>
    <w:rsid w:val="00885373"/>
    <w:rsid w:val="008874A8"/>
    <w:rsid w:val="008915CB"/>
    <w:rsid w:val="00892328"/>
    <w:rsid w:val="008968B9"/>
    <w:rsid w:val="008A3F37"/>
    <w:rsid w:val="008A45F4"/>
    <w:rsid w:val="008B174B"/>
    <w:rsid w:val="008B29B8"/>
    <w:rsid w:val="008C2466"/>
    <w:rsid w:val="008C3454"/>
    <w:rsid w:val="008C4109"/>
    <w:rsid w:val="008D098E"/>
    <w:rsid w:val="008D56FB"/>
    <w:rsid w:val="008D712C"/>
    <w:rsid w:val="008E4C29"/>
    <w:rsid w:val="008F0C71"/>
    <w:rsid w:val="008F4E58"/>
    <w:rsid w:val="008F7A21"/>
    <w:rsid w:val="00902602"/>
    <w:rsid w:val="00902B79"/>
    <w:rsid w:val="009044D5"/>
    <w:rsid w:val="0091093A"/>
    <w:rsid w:val="009133DE"/>
    <w:rsid w:val="00914715"/>
    <w:rsid w:val="00914F8E"/>
    <w:rsid w:val="00915FDA"/>
    <w:rsid w:val="00916A9F"/>
    <w:rsid w:val="009218B0"/>
    <w:rsid w:val="009255A4"/>
    <w:rsid w:val="00933A52"/>
    <w:rsid w:val="00941607"/>
    <w:rsid w:val="00942042"/>
    <w:rsid w:val="009447F8"/>
    <w:rsid w:val="00945A55"/>
    <w:rsid w:val="009500D4"/>
    <w:rsid w:val="00952FFF"/>
    <w:rsid w:val="009541D4"/>
    <w:rsid w:val="00960B00"/>
    <w:rsid w:val="00962A54"/>
    <w:rsid w:val="00964462"/>
    <w:rsid w:val="0096599D"/>
    <w:rsid w:val="00972C30"/>
    <w:rsid w:val="00972F09"/>
    <w:rsid w:val="00973920"/>
    <w:rsid w:val="00974280"/>
    <w:rsid w:val="00975804"/>
    <w:rsid w:val="00976F1F"/>
    <w:rsid w:val="00977EAE"/>
    <w:rsid w:val="009838A4"/>
    <w:rsid w:val="00985F70"/>
    <w:rsid w:val="0098758E"/>
    <w:rsid w:val="00994ED3"/>
    <w:rsid w:val="009956F8"/>
    <w:rsid w:val="00995E4C"/>
    <w:rsid w:val="009A0D24"/>
    <w:rsid w:val="009A2A3C"/>
    <w:rsid w:val="009A57AF"/>
    <w:rsid w:val="009A6DA7"/>
    <w:rsid w:val="009B1DED"/>
    <w:rsid w:val="009B375D"/>
    <w:rsid w:val="009B4522"/>
    <w:rsid w:val="009B4639"/>
    <w:rsid w:val="009B65B6"/>
    <w:rsid w:val="009B731A"/>
    <w:rsid w:val="009B793E"/>
    <w:rsid w:val="009C1887"/>
    <w:rsid w:val="009C3390"/>
    <w:rsid w:val="009C33DE"/>
    <w:rsid w:val="009C40EF"/>
    <w:rsid w:val="009D17B9"/>
    <w:rsid w:val="009E715E"/>
    <w:rsid w:val="009E7AAA"/>
    <w:rsid w:val="009F511C"/>
    <w:rsid w:val="009F5720"/>
    <w:rsid w:val="00A010C1"/>
    <w:rsid w:val="00A01C38"/>
    <w:rsid w:val="00A03C7C"/>
    <w:rsid w:val="00A0483E"/>
    <w:rsid w:val="00A07A9E"/>
    <w:rsid w:val="00A07ABE"/>
    <w:rsid w:val="00A16BAB"/>
    <w:rsid w:val="00A21CA7"/>
    <w:rsid w:val="00A224F9"/>
    <w:rsid w:val="00A23E1A"/>
    <w:rsid w:val="00A27010"/>
    <w:rsid w:val="00A312C1"/>
    <w:rsid w:val="00A35767"/>
    <w:rsid w:val="00A377CF"/>
    <w:rsid w:val="00A37E8F"/>
    <w:rsid w:val="00A401D1"/>
    <w:rsid w:val="00A42658"/>
    <w:rsid w:val="00A43297"/>
    <w:rsid w:val="00A47649"/>
    <w:rsid w:val="00A50939"/>
    <w:rsid w:val="00A54F04"/>
    <w:rsid w:val="00A60C17"/>
    <w:rsid w:val="00A632A7"/>
    <w:rsid w:val="00A642CD"/>
    <w:rsid w:val="00A7177F"/>
    <w:rsid w:val="00A8424C"/>
    <w:rsid w:val="00A84623"/>
    <w:rsid w:val="00A926AA"/>
    <w:rsid w:val="00A92DD8"/>
    <w:rsid w:val="00A93E81"/>
    <w:rsid w:val="00AA2820"/>
    <w:rsid w:val="00AA4CF6"/>
    <w:rsid w:val="00AB30AC"/>
    <w:rsid w:val="00AB697B"/>
    <w:rsid w:val="00AB7747"/>
    <w:rsid w:val="00AC2D95"/>
    <w:rsid w:val="00AC5C3F"/>
    <w:rsid w:val="00AC7494"/>
    <w:rsid w:val="00AD0DBE"/>
    <w:rsid w:val="00AD1F81"/>
    <w:rsid w:val="00AD3DB6"/>
    <w:rsid w:val="00AD4726"/>
    <w:rsid w:val="00AE0476"/>
    <w:rsid w:val="00AF4A61"/>
    <w:rsid w:val="00AF594A"/>
    <w:rsid w:val="00AF5A35"/>
    <w:rsid w:val="00AF73D0"/>
    <w:rsid w:val="00B059E7"/>
    <w:rsid w:val="00B05D32"/>
    <w:rsid w:val="00B06EA8"/>
    <w:rsid w:val="00B10499"/>
    <w:rsid w:val="00B137CD"/>
    <w:rsid w:val="00B1755E"/>
    <w:rsid w:val="00B2294B"/>
    <w:rsid w:val="00B27820"/>
    <w:rsid w:val="00B278B6"/>
    <w:rsid w:val="00B33153"/>
    <w:rsid w:val="00B37019"/>
    <w:rsid w:val="00B40079"/>
    <w:rsid w:val="00B41150"/>
    <w:rsid w:val="00B41400"/>
    <w:rsid w:val="00B43653"/>
    <w:rsid w:val="00B4626C"/>
    <w:rsid w:val="00B5471C"/>
    <w:rsid w:val="00B637CA"/>
    <w:rsid w:val="00B66B61"/>
    <w:rsid w:val="00B70740"/>
    <w:rsid w:val="00B73B44"/>
    <w:rsid w:val="00B745E2"/>
    <w:rsid w:val="00B7498B"/>
    <w:rsid w:val="00B76B7B"/>
    <w:rsid w:val="00B77621"/>
    <w:rsid w:val="00B80420"/>
    <w:rsid w:val="00B81777"/>
    <w:rsid w:val="00B8659E"/>
    <w:rsid w:val="00B90C0B"/>
    <w:rsid w:val="00B93507"/>
    <w:rsid w:val="00B93E4D"/>
    <w:rsid w:val="00B93EF7"/>
    <w:rsid w:val="00B970EA"/>
    <w:rsid w:val="00B9758A"/>
    <w:rsid w:val="00BA3656"/>
    <w:rsid w:val="00BB0BF3"/>
    <w:rsid w:val="00BB145A"/>
    <w:rsid w:val="00BC41F1"/>
    <w:rsid w:val="00BC5CEE"/>
    <w:rsid w:val="00BD1528"/>
    <w:rsid w:val="00BE14D1"/>
    <w:rsid w:val="00BE168D"/>
    <w:rsid w:val="00BE1C0E"/>
    <w:rsid w:val="00BE36BC"/>
    <w:rsid w:val="00BE725A"/>
    <w:rsid w:val="00BF438B"/>
    <w:rsid w:val="00BF51EE"/>
    <w:rsid w:val="00BF55EE"/>
    <w:rsid w:val="00BF56F9"/>
    <w:rsid w:val="00BF6DF3"/>
    <w:rsid w:val="00C059CE"/>
    <w:rsid w:val="00C06422"/>
    <w:rsid w:val="00C06578"/>
    <w:rsid w:val="00C07A16"/>
    <w:rsid w:val="00C100C1"/>
    <w:rsid w:val="00C176CA"/>
    <w:rsid w:val="00C21DCB"/>
    <w:rsid w:val="00C235EE"/>
    <w:rsid w:val="00C33337"/>
    <w:rsid w:val="00C33B81"/>
    <w:rsid w:val="00C43CF1"/>
    <w:rsid w:val="00C4799B"/>
    <w:rsid w:val="00C51E55"/>
    <w:rsid w:val="00C5380C"/>
    <w:rsid w:val="00C53B1B"/>
    <w:rsid w:val="00C53D8D"/>
    <w:rsid w:val="00C717E8"/>
    <w:rsid w:val="00C7315C"/>
    <w:rsid w:val="00C739FC"/>
    <w:rsid w:val="00C751AE"/>
    <w:rsid w:val="00C751F4"/>
    <w:rsid w:val="00C77588"/>
    <w:rsid w:val="00C87C44"/>
    <w:rsid w:val="00C90125"/>
    <w:rsid w:val="00C976F2"/>
    <w:rsid w:val="00CA2B29"/>
    <w:rsid w:val="00CA339B"/>
    <w:rsid w:val="00CA3AB6"/>
    <w:rsid w:val="00CB452F"/>
    <w:rsid w:val="00CB5490"/>
    <w:rsid w:val="00CB633F"/>
    <w:rsid w:val="00CC224C"/>
    <w:rsid w:val="00CC2B3F"/>
    <w:rsid w:val="00CC3C42"/>
    <w:rsid w:val="00CC4B0D"/>
    <w:rsid w:val="00CC5FA8"/>
    <w:rsid w:val="00CD52B7"/>
    <w:rsid w:val="00CE0D7D"/>
    <w:rsid w:val="00CE1A9E"/>
    <w:rsid w:val="00CE6514"/>
    <w:rsid w:val="00CE66C1"/>
    <w:rsid w:val="00CE7CDC"/>
    <w:rsid w:val="00CF1F06"/>
    <w:rsid w:val="00CF32AA"/>
    <w:rsid w:val="00CF5A40"/>
    <w:rsid w:val="00CF5B2C"/>
    <w:rsid w:val="00CF7BD7"/>
    <w:rsid w:val="00D00CB6"/>
    <w:rsid w:val="00D01991"/>
    <w:rsid w:val="00D04E2E"/>
    <w:rsid w:val="00D130A0"/>
    <w:rsid w:val="00D13952"/>
    <w:rsid w:val="00D1487D"/>
    <w:rsid w:val="00D15043"/>
    <w:rsid w:val="00D17B51"/>
    <w:rsid w:val="00D20599"/>
    <w:rsid w:val="00D24B21"/>
    <w:rsid w:val="00D31A68"/>
    <w:rsid w:val="00D33535"/>
    <w:rsid w:val="00D33AFB"/>
    <w:rsid w:val="00D3586A"/>
    <w:rsid w:val="00D36F30"/>
    <w:rsid w:val="00D40510"/>
    <w:rsid w:val="00D40D93"/>
    <w:rsid w:val="00D50108"/>
    <w:rsid w:val="00D50233"/>
    <w:rsid w:val="00D504FB"/>
    <w:rsid w:val="00D61FAD"/>
    <w:rsid w:val="00D63752"/>
    <w:rsid w:val="00D67B7D"/>
    <w:rsid w:val="00D768A8"/>
    <w:rsid w:val="00D771F5"/>
    <w:rsid w:val="00D811AA"/>
    <w:rsid w:val="00D8179D"/>
    <w:rsid w:val="00D84D2C"/>
    <w:rsid w:val="00D9202A"/>
    <w:rsid w:val="00D95AA0"/>
    <w:rsid w:val="00DA0E38"/>
    <w:rsid w:val="00DA180C"/>
    <w:rsid w:val="00DA2709"/>
    <w:rsid w:val="00DA2DFF"/>
    <w:rsid w:val="00DA488F"/>
    <w:rsid w:val="00DA5615"/>
    <w:rsid w:val="00DA752B"/>
    <w:rsid w:val="00DB0DD5"/>
    <w:rsid w:val="00DB321E"/>
    <w:rsid w:val="00DB3A8D"/>
    <w:rsid w:val="00DB49D0"/>
    <w:rsid w:val="00DC4EEC"/>
    <w:rsid w:val="00DD3FFC"/>
    <w:rsid w:val="00DD5C07"/>
    <w:rsid w:val="00DD79AC"/>
    <w:rsid w:val="00DE552E"/>
    <w:rsid w:val="00DE5647"/>
    <w:rsid w:val="00DE7207"/>
    <w:rsid w:val="00DF11F8"/>
    <w:rsid w:val="00DF1850"/>
    <w:rsid w:val="00DF37A4"/>
    <w:rsid w:val="00DF5A8B"/>
    <w:rsid w:val="00E02AAC"/>
    <w:rsid w:val="00E22902"/>
    <w:rsid w:val="00E22ADD"/>
    <w:rsid w:val="00E234B4"/>
    <w:rsid w:val="00E236F1"/>
    <w:rsid w:val="00E2375B"/>
    <w:rsid w:val="00E24622"/>
    <w:rsid w:val="00E25015"/>
    <w:rsid w:val="00E2559E"/>
    <w:rsid w:val="00E26942"/>
    <w:rsid w:val="00E46726"/>
    <w:rsid w:val="00E54676"/>
    <w:rsid w:val="00E5605C"/>
    <w:rsid w:val="00E63BEA"/>
    <w:rsid w:val="00E64737"/>
    <w:rsid w:val="00E73664"/>
    <w:rsid w:val="00E81014"/>
    <w:rsid w:val="00E8187B"/>
    <w:rsid w:val="00E833DC"/>
    <w:rsid w:val="00E858F0"/>
    <w:rsid w:val="00E8745E"/>
    <w:rsid w:val="00E87938"/>
    <w:rsid w:val="00E9384D"/>
    <w:rsid w:val="00E9631A"/>
    <w:rsid w:val="00E97F46"/>
    <w:rsid w:val="00EA14B7"/>
    <w:rsid w:val="00EA42CC"/>
    <w:rsid w:val="00EA47E0"/>
    <w:rsid w:val="00EA4A83"/>
    <w:rsid w:val="00EA6211"/>
    <w:rsid w:val="00EB12D1"/>
    <w:rsid w:val="00EB5F09"/>
    <w:rsid w:val="00EB630B"/>
    <w:rsid w:val="00EB6B86"/>
    <w:rsid w:val="00EC2523"/>
    <w:rsid w:val="00EC49F1"/>
    <w:rsid w:val="00ED06F6"/>
    <w:rsid w:val="00ED43F9"/>
    <w:rsid w:val="00ED669D"/>
    <w:rsid w:val="00EE10F6"/>
    <w:rsid w:val="00EE6639"/>
    <w:rsid w:val="00EE7F71"/>
    <w:rsid w:val="00EF3761"/>
    <w:rsid w:val="00EF5162"/>
    <w:rsid w:val="00F00D6A"/>
    <w:rsid w:val="00F015B9"/>
    <w:rsid w:val="00F02882"/>
    <w:rsid w:val="00F03D5A"/>
    <w:rsid w:val="00F04F8B"/>
    <w:rsid w:val="00F13611"/>
    <w:rsid w:val="00F13954"/>
    <w:rsid w:val="00F1586B"/>
    <w:rsid w:val="00F27187"/>
    <w:rsid w:val="00F30B6F"/>
    <w:rsid w:val="00F34DEC"/>
    <w:rsid w:val="00F401C8"/>
    <w:rsid w:val="00F42E2E"/>
    <w:rsid w:val="00F46992"/>
    <w:rsid w:val="00F46B2C"/>
    <w:rsid w:val="00F46C5F"/>
    <w:rsid w:val="00F471E7"/>
    <w:rsid w:val="00F51F2A"/>
    <w:rsid w:val="00F52498"/>
    <w:rsid w:val="00F65807"/>
    <w:rsid w:val="00F66577"/>
    <w:rsid w:val="00F71BAF"/>
    <w:rsid w:val="00F72C82"/>
    <w:rsid w:val="00F7445D"/>
    <w:rsid w:val="00F74A49"/>
    <w:rsid w:val="00F81283"/>
    <w:rsid w:val="00F83F34"/>
    <w:rsid w:val="00F9139C"/>
    <w:rsid w:val="00F929AC"/>
    <w:rsid w:val="00F95CE0"/>
    <w:rsid w:val="00F96042"/>
    <w:rsid w:val="00FA072E"/>
    <w:rsid w:val="00FA31E0"/>
    <w:rsid w:val="00FA32D0"/>
    <w:rsid w:val="00FA6162"/>
    <w:rsid w:val="00FA6947"/>
    <w:rsid w:val="00FA72B9"/>
    <w:rsid w:val="00FA7E23"/>
    <w:rsid w:val="00FB01E4"/>
    <w:rsid w:val="00FB0BE4"/>
    <w:rsid w:val="00FB1890"/>
    <w:rsid w:val="00FB595F"/>
    <w:rsid w:val="00FB6C11"/>
    <w:rsid w:val="00FB71B0"/>
    <w:rsid w:val="00FD0F12"/>
    <w:rsid w:val="00FD45D7"/>
    <w:rsid w:val="00FE41E8"/>
    <w:rsid w:val="00FE5A54"/>
    <w:rsid w:val="00FE7F54"/>
    <w:rsid w:val="00FF22C4"/>
    <w:rsid w:val="00FF4CA6"/>
    <w:rsid w:val="00FF6003"/>
    <w:rsid w:val="05AFD07E"/>
    <w:rsid w:val="066F1C78"/>
    <w:rsid w:val="07A6619A"/>
    <w:rsid w:val="091B377D"/>
    <w:rsid w:val="0A7C0E16"/>
    <w:rsid w:val="0C640D40"/>
    <w:rsid w:val="0F8A7FE1"/>
    <w:rsid w:val="1064776E"/>
    <w:rsid w:val="10F15212"/>
    <w:rsid w:val="112F0C3F"/>
    <w:rsid w:val="11963B5C"/>
    <w:rsid w:val="14435884"/>
    <w:rsid w:val="145D4781"/>
    <w:rsid w:val="14754B5A"/>
    <w:rsid w:val="14D317E3"/>
    <w:rsid w:val="15221E3A"/>
    <w:rsid w:val="15A75916"/>
    <w:rsid w:val="162177DE"/>
    <w:rsid w:val="16BED24F"/>
    <w:rsid w:val="16CB27EC"/>
    <w:rsid w:val="16E14399"/>
    <w:rsid w:val="1774851B"/>
    <w:rsid w:val="17D0336E"/>
    <w:rsid w:val="19DE279B"/>
    <w:rsid w:val="1ACF05E4"/>
    <w:rsid w:val="1AFD0956"/>
    <w:rsid w:val="1B996535"/>
    <w:rsid w:val="1BC5097E"/>
    <w:rsid w:val="1BFD5DFD"/>
    <w:rsid w:val="1CE01537"/>
    <w:rsid w:val="1DF34ED2"/>
    <w:rsid w:val="1EEC496E"/>
    <w:rsid w:val="1FDEC333"/>
    <w:rsid w:val="212B3679"/>
    <w:rsid w:val="22B84105"/>
    <w:rsid w:val="22FB5620"/>
    <w:rsid w:val="2359040B"/>
    <w:rsid w:val="23B5012E"/>
    <w:rsid w:val="26FF55F2"/>
    <w:rsid w:val="28347384"/>
    <w:rsid w:val="2B123C53"/>
    <w:rsid w:val="2DFFE116"/>
    <w:rsid w:val="2EFFF019"/>
    <w:rsid w:val="2F096EA9"/>
    <w:rsid w:val="2F1A70A4"/>
    <w:rsid w:val="2F1F2E24"/>
    <w:rsid w:val="2F942D6D"/>
    <w:rsid w:val="313A50D3"/>
    <w:rsid w:val="32BE0050"/>
    <w:rsid w:val="32DCB95D"/>
    <w:rsid w:val="32EF655C"/>
    <w:rsid w:val="331537AB"/>
    <w:rsid w:val="338FC227"/>
    <w:rsid w:val="344A2D00"/>
    <w:rsid w:val="34A24D51"/>
    <w:rsid w:val="351C768F"/>
    <w:rsid w:val="35895362"/>
    <w:rsid w:val="3695459B"/>
    <w:rsid w:val="36EFD3E6"/>
    <w:rsid w:val="37191FEB"/>
    <w:rsid w:val="377C966F"/>
    <w:rsid w:val="38785A35"/>
    <w:rsid w:val="39EC7B15"/>
    <w:rsid w:val="3A1439A9"/>
    <w:rsid w:val="3AD31CC8"/>
    <w:rsid w:val="3ADB4BF6"/>
    <w:rsid w:val="3B7F7B76"/>
    <w:rsid w:val="3BF68126"/>
    <w:rsid w:val="3BF9D19E"/>
    <w:rsid w:val="3CD700B8"/>
    <w:rsid w:val="3D7FB755"/>
    <w:rsid w:val="3DA75332"/>
    <w:rsid w:val="3DB44648"/>
    <w:rsid w:val="3DBFC692"/>
    <w:rsid w:val="3E8E7780"/>
    <w:rsid w:val="3EAF038F"/>
    <w:rsid w:val="3EF2D836"/>
    <w:rsid w:val="3F0E6482"/>
    <w:rsid w:val="3F67E0FF"/>
    <w:rsid w:val="3F735E6A"/>
    <w:rsid w:val="3F9B59AD"/>
    <w:rsid w:val="3F9F4EA0"/>
    <w:rsid w:val="3FB2C180"/>
    <w:rsid w:val="3FDF05E9"/>
    <w:rsid w:val="3FEF3FA5"/>
    <w:rsid w:val="3FFD4CB5"/>
    <w:rsid w:val="3FFF2179"/>
    <w:rsid w:val="3FFF2999"/>
    <w:rsid w:val="404C776F"/>
    <w:rsid w:val="41873EE9"/>
    <w:rsid w:val="42B02701"/>
    <w:rsid w:val="42CF43AB"/>
    <w:rsid w:val="42E26950"/>
    <w:rsid w:val="46494553"/>
    <w:rsid w:val="46820479"/>
    <w:rsid w:val="46FEA674"/>
    <w:rsid w:val="4AC029D2"/>
    <w:rsid w:val="4C1E46ED"/>
    <w:rsid w:val="4CEF5F37"/>
    <w:rsid w:val="4DE35321"/>
    <w:rsid w:val="4DFC3059"/>
    <w:rsid w:val="4DFF62EE"/>
    <w:rsid w:val="4E9F8268"/>
    <w:rsid w:val="4EDF34E7"/>
    <w:rsid w:val="4F050C64"/>
    <w:rsid w:val="4F451E4E"/>
    <w:rsid w:val="4FE13E60"/>
    <w:rsid w:val="50EB15DA"/>
    <w:rsid w:val="514E65F3"/>
    <w:rsid w:val="52DA4E7D"/>
    <w:rsid w:val="53E7EAA4"/>
    <w:rsid w:val="53F34D19"/>
    <w:rsid w:val="54CA68AA"/>
    <w:rsid w:val="559801FC"/>
    <w:rsid w:val="57766159"/>
    <w:rsid w:val="57D76E8C"/>
    <w:rsid w:val="57F8F344"/>
    <w:rsid w:val="57FCCCA9"/>
    <w:rsid w:val="57FD307D"/>
    <w:rsid w:val="59134C30"/>
    <w:rsid w:val="591F64C4"/>
    <w:rsid w:val="595F3FB0"/>
    <w:rsid w:val="59B70BAD"/>
    <w:rsid w:val="5A3243CA"/>
    <w:rsid w:val="5B3F7EAE"/>
    <w:rsid w:val="5BD75C07"/>
    <w:rsid w:val="5C2E7A43"/>
    <w:rsid w:val="5D79F236"/>
    <w:rsid w:val="5DAB6E06"/>
    <w:rsid w:val="5DCF8651"/>
    <w:rsid w:val="5DE5A2C0"/>
    <w:rsid w:val="5DFF7E6D"/>
    <w:rsid w:val="5E1F10B1"/>
    <w:rsid w:val="5E7FD89A"/>
    <w:rsid w:val="5EF79424"/>
    <w:rsid w:val="5F796FC4"/>
    <w:rsid w:val="5FE784A6"/>
    <w:rsid w:val="5FF40C4C"/>
    <w:rsid w:val="5FFD4064"/>
    <w:rsid w:val="5FFFA7CE"/>
    <w:rsid w:val="61107DF3"/>
    <w:rsid w:val="616C444C"/>
    <w:rsid w:val="61DD6DDB"/>
    <w:rsid w:val="61F33281"/>
    <w:rsid w:val="62FBDB7E"/>
    <w:rsid w:val="633274A3"/>
    <w:rsid w:val="638031CB"/>
    <w:rsid w:val="63DF6522"/>
    <w:rsid w:val="65DF19CC"/>
    <w:rsid w:val="65FB7A59"/>
    <w:rsid w:val="66177124"/>
    <w:rsid w:val="667F806D"/>
    <w:rsid w:val="66FA9625"/>
    <w:rsid w:val="67BA8F3D"/>
    <w:rsid w:val="67CC5548"/>
    <w:rsid w:val="67EC197A"/>
    <w:rsid w:val="67FDAE55"/>
    <w:rsid w:val="681B7754"/>
    <w:rsid w:val="68D33F16"/>
    <w:rsid w:val="68EFB21B"/>
    <w:rsid w:val="697C418D"/>
    <w:rsid w:val="69AE97C7"/>
    <w:rsid w:val="69FF9FF5"/>
    <w:rsid w:val="6AEA7E4A"/>
    <w:rsid w:val="6BB70C02"/>
    <w:rsid w:val="6C9D85F2"/>
    <w:rsid w:val="6CFCE0AF"/>
    <w:rsid w:val="6D222886"/>
    <w:rsid w:val="6D5442E6"/>
    <w:rsid w:val="6D7584BF"/>
    <w:rsid w:val="6DFF7339"/>
    <w:rsid w:val="6E3E924C"/>
    <w:rsid w:val="6E4E6B41"/>
    <w:rsid w:val="6E66A75D"/>
    <w:rsid w:val="6E9F262A"/>
    <w:rsid w:val="6EA35B1C"/>
    <w:rsid w:val="6EF777CA"/>
    <w:rsid w:val="6EFA76D5"/>
    <w:rsid w:val="6EFF7F69"/>
    <w:rsid w:val="6F2F1259"/>
    <w:rsid w:val="6F73649D"/>
    <w:rsid w:val="6F737B36"/>
    <w:rsid w:val="6F771A0F"/>
    <w:rsid w:val="6F7F154D"/>
    <w:rsid w:val="6F7F2B7C"/>
    <w:rsid w:val="6F7FAF8E"/>
    <w:rsid w:val="6FBD5E69"/>
    <w:rsid w:val="6FBE341B"/>
    <w:rsid w:val="6FBE5C8E"/>
    <w:rsid w:val="6FDE8E65"/>
    <w:rsid w:val="6FF35D8C"/>
    <w:rsid w:val="6FF36A30"/>
    <w:rsid w:val="6FF97FCB"/>
    <w:rsid w:val="6FFEB45D"/>
    <w:rsid w:val="6FFF0CBF"/>
    <w:rsid w:val="6FFFA2A7"/>
    <w:rsid w:val="70427A3C"/>
    <w:rsid w:val="710B07AC"/>
    <w:rsid w:val="717E6FC4"/>
    <w:rsid w:val="733EF144"/>
    <w:rsid w:val="73AF3581"/>
    <w:rsid w:val="73F45F5C"/>
    <w:rsid w:val="74341AA1"/>
    <w:rsid w:val="746FF93B"/>
    <w:rsid w:val="747BE8F8"/>
    <w:rsid w:val="74CE55B2"/>
    <w:rsid w:val="74DE3C55"/>
    <w:rsid w:val="75372484"/>
    <w:rsid w:val="75FFCA7C"/>
    <w:rsid w:val="7624172D"/>
    <w:rsid w:val="767578C5"/>
    <w:rsid w:val="76C26CE6"/>
    <w:rsid w:val="76F7648E"/>
    <w:rsid w:val="77985A45"/>
    <w:rsid w:val="77BD2E3A"/>
    <w:rsid w:val="77BF7767"/>
    <w:rsid w:val="77D680E5"/>
    <w:rsid w:val="77EF21D6"/>
    <w:rsid w:val="77F7C090"/>
    <w:rsid w:val="787F35D1"/>
    <w:rsid w:val="789B47A2"/>
    <w:rsid w:val="78DBF4C3"/>
    <w:rsid w:val="79DD3198"/>
    <w:rsid w:val="7A673427"/>
    <w:rsid w:val="7A7C321E"/>
    <w:rsid w:val="7AA7331F"/>
    <w:rsid w:val="7AEF85D6"/>
    <w:rsid w:val="7AFD6257"/>
    <w:rsid w:val="7B4BE33C"/>
    <w:rsid w:val="7B7F43EC"/>
    <w:rsid w:val="7BD44195"/>
    <w:rsid w:val="7BDFD776"/>
    <w:rsid w:val="7BE7CD94"/>
    <w:rsid w:val="7BF7BA8D"/>
    <w:rsid w:val="7C9D9C5E"/>
    <w:rsid w:val="7CB727A9"/>
    <w:rsid w:val="7D7D6B6B"/>
    <w:rsid w:val="7D7F7BE7"/>
    <w:rsid w:val="7DD5DA46"/>
    <w:rsid w:val="7DD8F04E"/>
    <w:rsid w:val="7DFFC533"/>
    <w:rsid w:val="7E8F9610"/>
    <w:rsid w:val="7EA34F07"/>
    <w:rsid w:val="7EBFECC4"/>
    <w:rsid w:val="7ECCEE3B"/>
    <w:rsid w:val="7ECF243A"/>
    <w:rsid w:val="7EDF41FA"/>
    <w:rsid w:val="7EEFD588"/>
    <w:rsid w:val="7EFD129E"/>
    <w:rsid w:val="7EFF6932"/>
    <w:rsid w:val="7F5F69DA"/>
    <w:rsid w:val="7F773A67"/>
    <w:rsid w:val="7F77EAB3"/>
    <w:rsid w:val="7F7BFC49"/>
    <w:rsid w:val="7F7CD739"/>
    <w:rsid w:val="7F7F70E2"/>
    <w:rsid w:val="7F884E75"/>
    <w:rsid w:val="7F9F9666"/>
    <w:rsid w:val="7FCD8DF9"/>
    <w:rsid w:val="7FCE1C22"/>
    <w:rsid w:val="7FD265F9"/>
    <w:rsid w:val="7FDFD796"/>
    <w:rsid w:val="7FE75EAF"/>
    <w:rsid w:val="7FED7041"/>
    <w:rsid w:val="7FEF5E86"/>
    <w:rsid w:val="7FEFA13C"/>
    <w:rsid w:val="7FFB5D9A"/>
    <w:rsid w:val="7FFBE824"/>
    <w:rsid w:val="7FFF1266"/>
    <w:rsid w:val="7FFF807C"/>
    <w:rsid w:val="83FAC71D"/>
    <w:rsid w:val="88FBE896"/>
    <w:rsid w:val="8FC704D4"/>
    <w:rsid w:val="93EA3DBB"/>
    <w:rsid w:val="93FF3AF0"/>
    <w:rsid w:val="95599D96"/>
    <w:rsid w:val="963B23BB"/>
    <w:rsid w:val="97FE0501"/>
    <w:rsid w:val="9C775243"/>
    <w:rsid w:val="9DF635A5"/>
    <w:rsid w:val="9EF7FD1C"/>
    <w:rsid w:val="9FAF8176"/>
    <w:rsid w:val="9FBB2E3F"/>
    <w:rsid w:val="9FBE7ED5"/>
    <w:rsid w:val="9FBF948F"/>
    <w:rsid w:val="9FFB80DC"/>
    <w:rsid w:val="A3DB2FD0"/>
    <w:rsid w:val="A3FA2F4C"/>
    <w:rsid w:val="A5950400"/>
    <w:rsid w:val="A7B5C500"/>
    <w:rsid w:val="A7F777FC"/>
    <w:rsid w:val="A7FBE988"/>
    <w:rsid w:val="AB7F011C"/>
    <w:rsid w:val="AD5E6D6F"/>
    <w:rsid w:val="AE9A3C1D"/>
    <w:rsid w:val="AF8D6F44"/>
    <w:rsid w:val="AFFFCF60"/>
    <w:rsid w:val="B3EC6F8A"/>
    <w:rsid w:val="B3EF0CF4"/>
    <w:rsid w:val="B5DDCED9"/>
    <w:rsid w:val="B7A7E6F3"/>
    <w:rsid w:val="B7B5A671"/>
    <w:rsid w:val="B7BF1CC5"/>
    <w:rsid w:val="B7DDF032"/>
    <w:rsid w:val="BBBB2E6E"/>
    <w:rsid w:val="BC2F91B4"/>
    <w:rsid w:val="BCFF0458"/>
    <w:rsid w:val="BEBFA5F0"/>
    <w:rsid w:val="BEEC6AF0"/>
    <w:rsid w:val="BF7F09D1"/>
    <w:rsid w:val="BFBF798E"/>
    <w:rsid w:val="BFEFABF2"/>
    <w:rsid w:val="BFFB7C1D"/>
    <w:rsid w:val="BFFDC477"/>
    <w:rsid w:val="C7BF210A"/>
    <w:rsid w:val="CCFF12D5"/>
    <w:rsid w:val="CEFFC650"/>
    <w:rsid w:val="D1BDEE71"/>
    <w:rsid w:val="D59F8617"/>
    <w:rsid w:val="D5F70CA0"/>
    <w:rsid w:val="D6D33B54"/>
    <w:rsid w:val="D73F8568"/>
    <w:rsid w:val="D7C36DE9"/>
    <w:rsid w:val="D7EDC75F"/>
    <w:rsid w:val="D7FFFE8F"/>
    <w:rsid w:val="D9E9B5E0"/>
    <w:rsid w:val="D9FEF69A"/>
    <w:rsid w:val="DADB7797"/>
    <w:rsid w:val="DAFD888C"/>
    <w:rsid w:val="DB7875D8"/>
    <w:rsid w:val="DBE7DE78"/>
    <w:rsid w:val="DCF7708B"/>
    <w:rsid w:val="DCFF85BC"/>
    <w:rsid w:val="DDBBB482"/>
    <w:rsid w:val="DDEFAB7C"/>
    <w:rsid w:val="DE1147B3"/>
    <w:rsid w:val="DEB2078C"/>
    <w:rsid w:val="DEFFBFE6"/>
    <w:rsid w:val="DF19E1FB"/>
    <w:rsid w:val="DFA7A679"/>
    <w:rsid w:val="DFBD2922"/>
    <w:rsid w:val="DFBF5B25"/>
    <w:rsid w:val="DFEB13AD"/>
    <w:rsid w:val="DFF80D61"/>
    <w:rsid w:val="DFFA0119"/>
    <w:rsid w:val="DFFB589B"/>
    <w:rsid w:val="DFFFD5BA"/>
    <w:rsid w:val="E2EFDBB3"/>
    <w:rsid w:val="E631E07A"/>
    <w:rsid w:val="E6FD87E2"/>
    <w:rsid w:val="E7B3112A"/>
    <w:rsid w:val="E7BECCE8"/>
    <w:rsid w:val="E7CE6502"/>
    <w:rsid w:val="E7D7FF1F"/>
    <w:rsid w:val="E7E9B978"/>
    <w:rsid w:val="E7EB246C"/>
    <w:rsid w:val="E7EBF911"/>
    <w:rsid w:val="E7FAA229"/>
    <w:rsid w:val="E7FBBAF6"/>
    <w:rsid w:val="E7FD84E4"/>
    <w:rsid w:val="E9F15D17"/>
    <w:rsid w:val="EB3FC5BA"/>
    <w:rsid w:val="EBCDFFC6"/>
    <w:rsid w:val="EBDEC842"/>
    <w:rsid w:val="ECABC11F"/>
    <w:rsid w:val="ED7BAFCC"/>
    <w:rsid w:val="EDEDE36C"/>
    <w:rsid w:val="EDF79786"/>
    <w:rsid w:val="EDFFF674"/>
    <w:rsid w:val="EE7BA0CE"/>
    <w:rsid w:val="EE7EFE46"/>
    <w:rsid w:val="EEFEBE63"/>
    <w:rsid w:val="EF3F2B72"/>
    <w:rsid w:val="EF7F4F89"/>
    <w:rsid w:val="EF7FDD54"/>
    <w:rsid w:val="EF9C1F3E"/>
    <w:rsid w:val="EFBF1C14"/>
    <w:rsid w:val="EFC649B9"/>
    <w:rsid w:val="EFEF2104"/>
    <w:rsid w:val="EFF7BE3F"/>
    <w:rsid w:val="F3DF6D14"/>
    <w:rsid w:val="F3F78D46"/>
    <w:rsid w:val="F3FF204C"/>
    <w:rsid w:val="F4FE9062"/>
    <w:rsid w:val="F53CC8B7"/>
    <w:rsid w:val="F5BD9034"/>
    <w:rsid w:val="F5BFFA40"/>
    <w:rsid w:val="F5FEA296"/>
    <w:rsid w:val="F6BE1F2A"/>
    <w:rsid w:val="F6FDE22A"/>
    <w:rsid w:val="F7612942"/>
    <w:rsid w:val="F777044A"/>
    <w:rsid w:val="F7BF28BF"/>
    <w:rsid w:val="F7F4CACD"/>
    <w:rsid w:val="F7F71E3F"/>
    <w:rsid w:val="F7F9541C"/>
    <w:rsid w:val="F7FC0F22"/>
    <w:rsid w:val="F7FE98CE"/>
    <w:rsid w:val="F9FD3F8A"/>
    <w:rsid w:val="F9FF6DB6"/>
    <w:rsid w:val="FA4FBC5B"/>
    <w:rsid w:val="FA7E5385"/>
    <w:rsid w:val="FAC46F9E"/>
    <w:rsid w:val="FB788821"/>
    <w:rsid w:val="FBE7AEFE"/>
    <w:rsid w:val="FBFB7A8F"/>
    <w:rsid w:val="FBFD868B"/>
    <w:rsid w:val="FBFD8CD7"/>
    <w:rsid w:val="FCD82619"/>
    <w:rsid w:val="FCEE8396"/>
    <w:rsid w:val="FCFD06D4"/>
    <w:rsid w:val="FD653F57"/>
    <w:rsid w:val="FD75BA1D"/>
    <w:rsid w:val="FD762AC1"/>
    <w:rsid w:val="FDAB6BC4"/>
    <w:rsid w:val="FDAF4453"/>
    <w:rsid w:val="FDB72BEA"/>
    <w:rsid w:val="FDBCC6AE"/>
    <w:rsid w:val="FDDBC99F"/>
    <w:rsid w:val="FDF70623"/>
    <w:rsid w:val="FDFF278F"/>
    <w:rsid w:val="FE9F669D"/>
    <w:rsid w:val="FEAFCCCF"/>
    <w:rsid w:val="FEB37B39"/>
    <w:rsid w:val="FEDDB469"/>
    <w:rsid w:val="FEE3AB55"/>
    <w:rsid w:val="FEECD6F0"/>
    <w:rsid w:val="FEF7E01C"/>
    <w:rsid w:val="FEFB2EA0"/>
    <w:rsid w:val="FEFFB8AF"/>
    <w:rsid w:val="FEFFE123"/>
    <w:rsid w:val="FF276D5F"/>
    <w:rsid w:val="FF3E0219"/>
    <w:rsid w:val="FF57EDDA"/>
    <w:rsid w:val="FF7D9F33"/>
    <w:rsid w:val="FF7DD64F"/>
    <w:rsid w:val="FF7E69ED"/>
    <w:rsid w:val="FF7EF67E"/>
    <w:rsid w:val="FF7FC36F"/>
    <w:rsid w:val="FF9C999F"/>
    <w:rsid w:val="FF9E2F8C"/>
    <w:rsid w:val="FFB20697"/>
    <w:rsid w:val="FFDDCF39"/>
    <w:rsid w:val="FFE70D25"/>
    <w:rsid w:val="FFE773D1"/>
    <w:rsid w:val="FFED1F47"/>
    <w:rsid w:val="FFF47B76"/>
    <w:rsid w:val="FFF9C7E3"/>
    <w:rsid w:val="FFFF0313"/>
    <w:rsid w:val="FFFFA816"/>
    <w:rsid w:val="FFFFBB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8"/>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link w:val="29"/>
    <w:unhideWhenUsed/>
    <w:qFormat/>
    <w:uiPriority w:val="0"/>
    <w:pPr>
      <w:jc w:val="left"/>
    </w:pPr>
    <w:rPr>
      <w:rFonts w:ascii="Times New Roman" w:hAnsi="Times New Roman" w:cs="Times New Roman"/>
      <w:szCs w:val="24"/>
    </w:rPr>
  </w:style>
  <w:style w:type="paragraph" w:styleId="6">
    <w:name w:val="Body Text"/>
    <w:basedOn w:val="1"/>
    <w:next w:val="7"/>
    <w:link w:val="25"/>
    <w:qFormat/>
    <w:uiPriority w:val="0"/>
    <w:pPr>
      <w:spacing w:line="540" w:lineRule="exact"/>
    </w:pPr>
    <w:rPr>
      <w:rFonts w:ascii="仿宋_GB2312" w:hAnsi="宋体" w:eastAsia="仿宋_GB2312"/>
      <w:sz w:val="30"/>
    </w:rPr>
  </w:style>
  <w:style w:type="paragraph" w:customStyle="1" w:styleId="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8">
    <w:name w:val="Body Text Indent 2"/>
    <w:basedOn w:val="1"/>
    <w:link w:val="30"/>
    <w:qFormat/>
    <w:uiPriority w:val="0"/>
    <w:pPr>
      <w:spacing w:after="120" w:line="480" w:lineRule="auto"/>
      <w:ind w:left="420" w:leftChars="200"/>
    </w:pPr>
  </w:style>
  <w:style w:type="paragraph" w:styleId="9">
    <w:name w:val="Balloon Text"/>
    <w:basedOn w:val="1"/>
    <w:link w:val="31"/>
    <w:qFormat/>
    <w:uiPriority w:val="0"/>
    <w:rPr>
      <w:rFonts w:cs="Times New Roman"/>
      <w:sz w:val="18"/>
      <w:szCs w:val="18"/>
    </w:rPr>
  </w:style>
  <w:style w:type="paragraph" w:styleId="10">
    <w:name w:val="footer"/>
    <w:basedOn w:val="1"/>
    <w:link w:val="32"/>
    <w:qFormat/>
    <w:uiPriority w:val="99"/>
    <w:pPr>
      <w:tabs>
        <w:tab w:val="center" w:pos="4153"/>
        <w:tab w:val="right" w:pos="8306"/>
      </w:tabs>
      <w:snapToGrid w:val="0"/>
      <w:jc w:val="left"/>
    </w:pPr>
    <w:rPr>
      <w:sz w:val="18"/>
      <w:szCs w:val="18"/>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12">
    <w:name w:val="Body Text Indent 3"/>
    <w:basedOn w:val="1"/>
    <w:link w:val="34"/>
    <w:qFormat/>
    <w:uiPriority w:val="0"/>
    <w:pPr>
      <w:spacing w:line="560" w:lineRule="exact"/>
      <w:ind w:firstLine="640"/>
    </w:pPr>
    <w:rPr>
      <w:rFonts w:ascii="仿宋_GB2312" w:hAnsi="Times New Roman" w:eastAsia="仿宋_GB2312" w:cs="Times New Roman"/>
      <w:spacing w:val="-4"/>
      <w:sz w:val="32"/>
      <w:szCs w:val="20"/>
    </w:rPr>
  </w:style>
  <w:style w:type="paragraph" w:styleId="13">
    <w:name w:val="index 9"/>
    <w:basedOn w:val="1"/>
    <w:next w:val="1"/>
    <w:unhideWhenUsed/>
    <w:qFormat/>
    <w:uiPriority w:val="0"/>
    <w:pPr>
      <w:ind w:left="1600" w:leftChars="1600"/>
    </w:pPr>
    <w:rPr>
      <w:rFonts w:hint="eastAsia" w:ascii="Times New Roman" w:hAnsi="Times New Roman" w:cs="Times New Roman"/>
      <w:szCs w:val="20"/>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5"/>
    <w:unhideWhenUsed/>
    <w:qFormat/>
    <w:uiPriority w:val="0"/>
    <w:rPr>
      <w:rFonts w:hint="eastAsia"/>
      <w:b/>
      <w:bCs/>
      <w:szCs w:val="20"/>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99"/>
    <w:rPr>
      <w:b/>
    </w:rPr>
  </w:style>
  <w:style w:type="character" w:styleId="21">
    <w:name w:val="page number"/>
    <w:qFormat/>
    <w:uiPriority w:val="0"/>
    <w:rPr>
      <w:rFonts w:cs="Times New Roman"/>
    </w:rPr>
  </w:style>
  <w:style w:type="character" w:styleId="22">
    <w:name w:val="FollowedHyperlink"/>
    <w:qFormat/>
    <w:uiPriority w:val="99"/>
    <w:rPr>
      <w:color w:val="464445"/>
      <w:u w:val="none"/>
    </w:rPr>
  </w:style>
  <w:style w:type="character" w:styleId="23">
    <w:name w:val="Hyperlink"/>
    <w:qFormat/>
    <w:uiPriority w:val="99"/>
    <w:rPr>
      <w:color w:val="464445"/>
      <w:u w:val="none"/>
    </w:rPr>
  </w:style>
  <w:style w:type="character" w:styleId="24">
    <w:name w:val="annotation reference"/>
    <w:unhideWhenUsed/>
    <w:qFormat/>
    <w:uiPriority w:val="0"/>
    <w:rPr>
      <w:sz w:val="21"/>
      <w:szCs w:val="21"/>
    </w:rPr>
  </w:style>
  <w:style w:type="character" w:customStyle="1" w:styleId="25">
    <w:name w:val="正文文本 字符"/>
    <w:link w:val="6"/>
    <w:qFormat/>
    <w:uiPriority w:val="0"/>
    <w:rPr>
      <w:rFonts w:ascii="仿宋_GB2312" w:hAnsi="宋体" w:eastAsia="仿宋_GB2312" w:cs="Calibri"/>
      <w:kern w:val="2"/>
      <w:sz w:val="30"/>
      <w:szCs w:val="21"/>
    </w:rPr>
  </w:style>
  <w:style w:type="character" w:customStyle="1" w:styleId="26">
    <w:name w:val="标题 1 Char"/>
    <w:link w:val="2"/>
    <w:qFormat/>
    <w:uiPriority w:val="0"/>
    <w:rPr>
      <w:b/>
      <w:kern w:val="44"/>
      <w:sz w:val="44"/>
    </w:rPr>
  </w:style>
  <w:style w:type="character" w:customStyle="1" w:styleId="27">
    <w:name w:val="标题 2 Char"/>
    <w:link w:val="3"/>
    <w:qFormat/>
    <w:uiPriority w:val="0"/>
    <w:rPr>
      <w:rFonts w:ascii="Arial" w:hAnsi="Arial" w:eastAsia="黑体"/>
      <w:b/>
      <w:sz w:val="32"/>
    </w:rPr>
  </w:style>
  <w:style w:type="character" w:customStyle="1" w:styleId="28">
    <w:name w:val="标题 3 Char"/>
    <w:link w:val="4"/>
    <w:qFormat/>
    <w:uiPriority w:val="0"/>
    <w:rPr>
      <w:b/>
      <w:sz w:val="32"/>
    </w:rPr>
  </w:style>
  <w:style w:type="character" w:customStyle="1" w:styleId="29">
    <w:name w:val="批注文字 字符"/>
    <w:link w:val="5"/>
    <w:qFormat/>
    <w:uiPriority w:val="0"/>
    <w:rPr>
      <w:kern w:val="2"/>
      <w:sz w:val="21"/>
      <w:szCs w:val="24"/>
    </w:rPr>
  </w:style>
  <w:style w:type="character" w:customStyle="1" w:styleId="30">
    <w:name w:val="正文文本缩进 2 字符"/>
    <w:link w:val="8"/>
    <w:qFormat/>
    <w:uiPriority w:val="0"/>
    <w:rPr>
      <w:rFonts w:ascii="Calibri" w:hAnsi="Calibri" w:cs="Calibri"/>
      <w:kern w:val="2"/>
      <w:sz w:val="21"/>
      <w:szCs w:val="21"/>
    </w:rPr>
  </w:style>
  <w:style w:type="character" w:customStyle="1" w:styleId="31">
    <w:name w:val="批注框文本 字符"/>
    <w:link w:val="9"/>
    <w:qFormat/>
    <w:uiPriority w:val="0"/>
    <w:rPr>
      <w:rFonts w:ascii="Calibri" w:hAnsi="Calibri" w:cs="Calibri"/>
      <w:kern w:val="2"/>
      <w:sz w:val="18"/>
      <w:szCs w:val="18"/>
    </w:rPr>
  </w:style>
  <w:style w:type="character" w:customStyle="1" w:styleId="32">
    <w:name w:val="页脚 字符"/>
    <w:link w:val="10"/>
    <w:qFormat/>
    <w:locked/>
    <w:uiPriority w:val="99"/>
    <w:rPr>
      <w:rFonts w:ascii="Calibri" w:hAnsi="Calibri" w:eastAsia="宋体" w:cs="Calibri"/>
      <w:kern w:val="2"/>
      <w:sz w:val="18"/>
      <w:szCs w:val="18"/>
      <w:lang w:val="en-US" w:eastAsia="zh-CN" w:bidi="ar-SA"/>
    </w:rPr>
  </w:style>
  <w:style w:type="character" w:customStyle="1" w:styleId="33">
    <w:name w:val="页眉 字符"/>
    <w:link w:val="11"/>
    <w:qFormat/>
    <w:uiPriority w:val="0"/>
    <w:rPr>
      <w:rFonts w:ascii="Calibri" w:hAnsi="Calibri" w:cs="Calibri"/>
      <w:kern w:val="2"/>
      <w:sz w:val="18"/>
      <w:szCs w:val="18"/>
    </w:rPr>
  </w:style>
  <w:style w:type="character" w:customStyle="1" w:styleId="34">
    <w:name w:val="正文文本缩进 3 字符"/>
    <w:link w:val="12"/>
    <w:qFormat/>
    <w:uiPriority w:val="0"/>
    <w:rPr>
      <w:rFonts w:ascii="仿宋_GB2312" w:eastAsia="仿宋_GB2312"/>
      <w:spacing w:val="-4"/>
      <w:kern w:val="2"/>
      <w:sz w:val="32"/>
    </w:rPr>
  </w:style>
  <w:style w:type="character" w:customStyle="1" w:styleId="35">
    <w:name w:val="批注主题 字符"/>
    <w:link w:val="16"/>
    <w:qFormat/>
    <w:uiPriority w:val="0"/>
    <w:rPr>
      <w:b/>
      <w:bCs/>
      <w:kern w:val="2"/>
      <w:sz w:val="21"/>
      <w:szCs w:val="24"/>
    </w:rPr>
  </w:style>
  <w:style w:type="paragraph" w:customStyle="1" w:styleId="36">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37">
    <w:name w:val="spanred"/>
    <w:qFormat/>
    <w:uiPriority w:val="0"/>
    <w:rPr>
      <w:color w:val="E30000"/>
    </w:rPr>
  </w:style>
  <w:style w:type="character" w:customStyle="1" w:styleId="38">
    <w:name w:val="spanright1"/>
    <w:qFormat/>
    <w:uiPriority w:val="0"/>
  </w:style>
  <w:style w:type="character" w:customStyle="1" w:styleId="39">
    <w:name w:val="spanright_long"/>
    <w:qFormat/>
    <w:uiPriority w:val="0"/>
    <w:rPr>
      <w:color w:val="666666"/>
      <w:sz w:val="18"/>
      <w:szCs w:val="18"/>
    </w:rPr>
  </w:style>
  <w:style w:type="character" w:customStyle="1" w:styleId="40">
    <w:name w:val="spanright"/>
    <w:qFormat/>
    <w:uiPriority w:val="0"/>
  </w:style>
  <w:style w:type="character" w:customStyle="1" w:styleId="41">
    <w:name w:val="spanright2"/>
    <w:qFormat/>
    <w:uiPriority w:val="0"/>
    <w:rPr>
      <w:color w:val="666666"/>
      <w:sz w:val="18"/>
      <w:szCs w:val="18"/>
    </w:rPr>
  </w:style>
  <w:style w:type="character" w:customStyle="1" w:styleId="42">
    <w:name w:val="spanmore4"/>
    <w:qFormat/>
    <w:uiPriority w:val="0"/>
  </w:style>
  <w:style w:type="character" w:customStyle="1" w:styleId="43">
    <w:name w:val="spanright_80"/>
    <w:qFormat/>
    <w:uiPriority w:val="0"/>
    <w:rPr>
      <w:color w:val="666666"/>
      <w:sz w:val="18"/>
      <w:szCs w:val="18"/>
    </w:rPr>
  </w:style>
  <w:style w:type="character" w:customStyle="1" w:styleId="44">
    <w:name w:val="font11"/>
    <w:qFormat/>
    <w:uiPriority w:val="0"/>
    <w:rPr>
      <w:rFonts w:hint="eastAsia" w:ascii="宋体" w:hAnsi="宋体" w:eastAsia="宋体" w:cs="宋体"/>
      <w:color w:val="000000"/>
      <w:sz w:val="22"/>
      <w:szCs w:val="22"/>
      <w:u w:val="none"/>
    </w:rPr>
  </w:style>
  <w:style w:type="character" w:customStyle="1" w:styleId="45">
    <w:name w:val="spanleft1"/>
    <w:qFormat/>
    <w:uiPriority w:val="0"/>
  </w:style>
  <w:style w:type="character" w:customStyle="1" w:styleId="46">
    <w:name w:val="spanleft"/>
    <w:qFormat/>
    <w:uiPriority w:val="0"/>
  </w:style>
  <w:style w:type="character" w:customStyle="1" w:styleId="47">
    <w:name w:val="spanmore6"/>
    <w:qFormat/>
    <w:uiPriority w:val="0"/>
  </w:style>
  <w:style w:type="character" w:customStyle="1" w:styleId="48">
    <w:name w:val="spantitle8"/>
    <w:qFormat/>
    <w:uiPriority w:val="0"/>
    <w:rPr>
      <w:b/>
      <w:color w:val="000000"/>
      <w:sz w:val="21"/>
      <w:szCs w:val="21"/>
    </w:rPr>
  </w:style>
  <w:style w:type="character" w:customStyle="1" w:styleId="49">
    <w:name w:val="spanright_mid"/>
    <w:qFormat/>
    <w:uiPriority w:val="0"/>
    <w:rPr>
      <w:color w:val="666666"/>
      <w:sz w:val="18"/>
      <w:szCs w:val="18"/>
    </w:rPr>
  </w:style>
  <w:style w:type="character" w:customStyle="1" w:styleId="50">
    <w:name w:val="NormalCharacter"/>
    <w:qFormat/>
    <w:uiPriority w:val="0"/>
    <w:rPr>
      <w:rFonts w:ascii="Calibri" w:hAnsi="Calibri" w:cs="Calibri"/>
      <w:kern w:val="2"/>
      <w:sz w:val="21"/>
      <w:szCs w:val="21"/>
      <w:lang w:val="en-US" w:eastAsia="zh-CN" w:bidi="ar-SA"/>
    </w:rPr>
  </w:style>
  <w:style w:type="character" w:customStyle="1" w:styleId="51">
    <w:name w:val="spanright_69"/>
    <w:qFormat/>
    <w:uiPriority w:val="0"/>
    <w:rPr>
      <w:color w:val="666666"/>
      <w:sz w:val="18"/>
      <w:szCs w:val="18"/>
    </w:rPr>
  </w:style>
  <w:style w:type="character" w:customStyle="1" w:styleId="52">
    <w:name w:val="spanright3"/>
    <w:qFormat/>
    <w:uiPriority w:val="0"/>
    <w:rPr>
      <w:color w:val="666666"/>
      <w:sz w:val="18"/>
      <w:szCs w:val="18"/>
    </w:rPr>
  </w:style>
  <w:style w:type="character" w:customStyle="1" w:styleId="53">
    <w:name w:val="spanmore7"/>
    <w:qFormat/>
    <w:uiPriority w:val="0"/>
  </w:style>
  <w:style w:type="character" w:customStyle="1" w:styleId="54">
    <w:name w:val="spanright_short"/>
    <w:qFormat/>
    <w:uiPriority w:val="0"/>
    <w:rPr>
      <w:color w:val="666666"/>
      <w:sz w:val="18"/>
      <w:szCs w:val="18"/>
    </w:rPr>
  </w:style>
  <w:style w:type="character" w:customStyle="1" w:styleId="55">
    <w:name w:val="spantitle6"/>
    <w:qFormat/>
    <w:uiPriority w:val="0"/>
    <w:rPr>
      <w:b/>
      <w:color w:val="FFFFFF"/>
    </w:rPr>
  </w:style>
  <w:style w:type="character" w:customStyle="1" w:styleId="56">
    <w:name w:val="sk_subnav_title"/>
    <w:qFormat/>
    <w:uiPriority w:val="0"/>
  </w:style>
  <w:style w:type="character" w:customStyle="1" w:styleId="57">
    <w:name w:val="spanright_shorter"/>
    <w:qFormat/>
    <w:uiPriority w:val="0"/>
    <w:rPr>
      <w:color w:val="666666"/>
      <w:sz w:val="18"/>
      <w:szCs w:val="18"/>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spantitle9"/>
    <w:qFormat/>
    <w:uiPriority w:val="0"/>
    <w:rPr>
      <w:b/>
      <w:color w:val="000000"/>
      <w:sz w:val="21"/>
      <w:szCs w:val="21"/>
    </w:rPr>
  </w:style>
  <w:style w:type="character" w:customStyle="1" w:styleId="60">
    <w:name w:val="spanitalic"/>
    <w:qFormat/>
    <w:uiPriority w:val="0"/>
    <w:rPr>
      <w:color w:val="666666"/>
      <w:sz w:val="18"/>
      <w:szCs w:val="18"/>
    </w:rPr>
  </w:style>
  <w:style w:type="character" w:customStyle="1" w:styleId="61">
    <w:name w:val="span_left28"/>
    <w:qFormat/>
    <w:uiPriority w:val="0"/>
    <w:rPr>
      <w:color w:val="666666"/>
      <w:sz w:val="18"/>
      <w:szCs w:val="18"/>
    </w:rPr>
  </w:style>
  <w:style w:type="character" w:customStyle="1" w:styleId="62">
    <w:name w:val="spanmore5"/>
    <w:qFormat/>
    <w:uiPriority w:val="0"/>
  </w:style>
  <w:style w:type="character" w:customStyle="1" w:styleId="63">
    <w:name w:val="spantitle7"/>
    <w:qFormat/>
    <w:uiPriority w:val="0"/>
    <w:rPr>
      <w:b/>
      <w:color w:val="000000"/>
      <w:sz w:val="21"/>
      <w:szCs w:val="21"/>
    </w:rPr>
  </w:style>
  <w:style w:type="paragraph" w:customStyle="1" w:styleId="64">
    <w:name w:val="xl66"/>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65">
    <w:name w:val="font6"/>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xl69"/>
    <w:basedOn w:val="1"/>
    <w:qFormat/>
    <w:uiPriority w:val="0"/>
    <w:pPr>
      <w:widowControl/>
      <w:pBdr>
        <w:bottom w:val="single" w:color="auto" w:sz="8" w:space="0"/>
      </w:pBdr>
      <w:spacing w:before="100" w:beforeAutospacing="1" w:after="100" w:afterAutospacing="1"/>
      <w:jc w:val="center"/>
      <w:textAlignment w:val="center"/>
    </w:pPr>
    <w:rPr>
      <w:rFonts w:ascii="黑体" w:hAnsi="黑体" w:eastAsia="黑体" w:cs="宋体"/>
      <w:kern w:val="0"/>
      <w:sz w:val="32"/>
      <w:szCs w:val="32"/>
    </w:rPr>
  </w:style>
  <w:style w:type="paragraph" w:customStyle="1" w:styleId="68">
    <w:name w:val="xl71"/>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6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70">
    <w:name w:val="xl6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71">
    <w:name w:val="xl7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7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74">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76">
    <w:name w:val="xl67"/>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仿宋_GB2312" w:hAnsi="宋体" w:eastAsia="仿宋_GB2312" w:cs="宋体"/>
      <w:color w:val="000000"/>
      <w:kern w:val="0"/>
      <w:sz w:val="24"/>
      <w:szCs w:val="24"/>
    </w:rPr>
  </w:style>
  <w:style w:type="paragraph" w:customStyle="1" w:styleId="78">
    <w:name w:val="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79">
    <w:name w:val="List Paragraph"/>
    <w:basedOn w:val="1"/>
    <w:qFormat/>
    <w:uiPriority w:val="34"/>
    <w:pPr>
      <w:ind w:firstLine="420" w:firstLineChars="200"/>
    </w:pPr>
    <w:rPr>
      <w:rFonts w:cs="Times New Roman"/>
      <w:szCs w:val="22"/>
    </w:rPr>
  </w:style>
  <w:style w:type="paragraph" w:customStyle="1" w:styleId="80">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81">
    <w:name w:val="列出段落1"/>
    <w:basedOn w:val="1"/>
    <w:unhideWhenUsed/>
    <w:qFormat/>
    <w:uiPriority w:val="34"/>
    <w:pPr>
      <w:ind w:firstLine="420" w:firstLineChars="200"/>
    </w:pPr>
    <w:rPr>
      <w:rFonts w:hint="eastAsia" w:ascii="Times New Roman" w:hAnsi="Times New Roman" w:cs="Times New Roman"/>
      <w:szCs w:val="20"/>
    </w:rPr>
  </w:style>
  <w:style w:type="paragraph" w:customStyle="1" w:styleId="82">
    <w:name w:val="xl73"/>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83">
    <w:name w:val="Table Text"/>
    <w:basedOn w:val="1"/>
    <w:semiHidden/>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12060</Words>
  <Characters>12999</Characters>
  <Lines>138</Lines>
  <Paragraphs>38</Paragraphs>
  <TotalTime>165</TotalTime>
  <ScaleCrop>false</ScaleCrop>
  <LinksUpToDate>false</LinksUpToDate>
  <CharactersWithSpaces>13034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2022-04-25T03:40:00Z</dcterms:created>
  <dc:creator>lenovo</dc:creator>
  <cp:lastModifiedBy>uos</cp:lastModifiedBy>
  <cp:lastPrinted>2024-11-13T22:47:00Z</cp:lastPrinted>
  <dcterms:modified xsi:type="dcterms:W3CDTF">2025-11-07T14:37:16Z</dcterms:modified>
  <dc:title>密住建字〔2015〕号                   签发人：王建中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CB130F4D5F214E7E932534BA2B57AF86_13</vt:lpwstr>
  </property>
  <property fmtid="{D5CDD505-2E9C-101B-9397-08002B2CF9AE}" pid="4" name="KSOTemplateDocerSaveRecord">
    <vt:lpwstr>eyJoZGlkIjoiYjQ1YjU0NGI0NmMzMTM2MWYxMDQxN2MwOTc2YWM2MDIiLCJ1c2VySWQiOiI0MDA3OTk2NjcifQ==</vt:lpwstr>
  </property>
</Properties>
</file>