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1" w:name="_GoBack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北京市昌平区大型活动临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设施安全保障工作管理办法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（试行）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（征求意见稿）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第一条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为确保北京市昌平区举办的大型活动顺利进行，保障临建设施搭建、拆除安全，根据《中华人民共和国建筑法》《中华人民共和国安全生产法》《大型群众性活动安全管理条例》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《北京市大型群众性活动安全管理条例》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《北京市安全生产条例》等相关法律法规要求，结合工作实际情况，特制定本办法。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第二条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本办法规定的大型活动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特指以中共北京市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昌平区委员会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市昌平区政府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”)名义主办或承办的大型活动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。区委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区政府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以部门名义举办的活动不在本办法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范围，可参照本办法中活动参与单位安全生产职责进行安全管理。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前款所称大型活动是指租用、借用或者以其他形式临时占用场所、场地，面向社会公众举办的文艺演出、体育比赛、展览展销、招聘会、庙会、灯会、游园会等群体性活动。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按照“谁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谁负责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、谁承办谁负责，牵办同责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”的原则，代表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区委、区政府牵头组织落实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该活动的部门为活动牵头部门(以下简称“活动牵头部门”)，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具体负责活动运行的单位是活动承办单位（以下简称“活动承办单位”），活动牵头部门和活动承办单位均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是大型活动相应安全生产责任主体。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活动牵头部门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应制定相关大型活动安全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方案，明确安全保障内容和责任单位，及时确定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，明确安全管理工作要求。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负责督促、检查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权属单位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临建设施设计单位、临建设施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施工单位、监理单位、第三方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等严格落实施工方案及相关法律法规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活动场地(馆)权属单位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负责与活动承办单位签订专门的安全生产管理协议，或在租赁合同中约定各自的安全生产管理职责，并对承租单位的安全生产工作统一协调、管理，进行安全检查，发现安全问题，应当及时督促整改。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活动承办单位负责监督、检查、管理临建设施设计单位、临建设施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施工单位、监理单位、第三方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单位按照各自安全生产职责履行安全生产主体责任。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本办法规定的临建设施，特指因需要临时搭建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的舞台、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展台、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灯光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音响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、大型背景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活动宣传造型、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视频墙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等设施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或临时架空、悬挂的各类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供大型活动使用的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装置。临建设施的搭建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拆除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均依照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本办法管理。</w:t>
      </w:r>
    </w:p>
    <w:p>
      <w:pPr>
        <w:pStyle w:val="2"/>
        <w:rPr>
          <w:rFonts w:hint="eastAsia"/>
          <w:color w:val="auto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第二章 安全</w:t>
      </w:r>
      <w:r>
        <w:rPr>
          <w:rFonts w:ascii="黑体" w:hAnsi="黑体" w:eastAsia="黑体"/>
          <w:color w:val="auto"/>
          <w:sz w:val="32"/>
          <w:szCs w:val="32"/>
          <w:lang w:val="en-US"/>
        </w:rPr>
        <w:t>保障流程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2312" w:eastAsia="方正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第八条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/>
        </w:rPr>
        <w:t>活动准备阶段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活动牵头部门应组织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部门对大型活动的运营场地、道路通道、消防器材、疏散出口、应急照明等方面进行严格细致的安全检查。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临建设施设计阶段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活动牵头部门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有资质的设计单位对临建设施进行整体设计，设计单位应赴活动举办场地（馆）对场地情况、搭建规模、天气因素等开展现场勘验，重点对临建设施结构稳定性、抗风性、防火性等进行设计。由注册结构工程师出具正式设计文件，并由设计单位盖章。设计文件出具后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活动牵头部门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审核同意后，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原则上不允许再进行变动。确须变动的，应报活动牵头部门批准，按照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国家相关法律法规和规范要求，对临建设施重新设计验算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第十条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/>
        </w:rPr>
        <w:t>搭建施工阶段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搭建施工进场后，活动牵头部门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统筹督促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进行搭建施工安全管理，保证合规施工，并对搭建施工工程实施安全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管理，引入专业工程监理单位进行全程监管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根据实际情况组织区相关职能部门对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、活动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场地（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权属单位、临建设施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临建设施施工单位、监理单位、第三方安全评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单位等落实安全生产职责情况进行检查，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隐患及时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消除，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依法查处安全生产违法行为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2312" w:eastAsia="方正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第十一条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/>
        </w:rPr>
        <w:t>评价复核阶段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活动牵头部门应督促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委托有资质的安全评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机构对临时搭建设施结构安全和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临时用电等方面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进行安全评价，并在大型活动正式举办前出具评价报告。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2312" w:eastAsia="方正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第十二条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/>
        </w:rPr>
        <w:t>临建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设施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/>
        </w:rPr>
        <w:t>拆除阶段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活动结束后的临建设施拆除应确保安全、有序进行，活动牵头部门应督促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制定拆除工作方案，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明确拆除顺序和安全保障措施，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安排专人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和监理单位进行现场监督，对拆除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过程中的安全措施落实情况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进行检查。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2312" w:eastAsia="方正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第十三条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大型活动临建设施完成搭建并经第三方安全评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单位评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复核后，原则上不允许再进行变动。确须变动的，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应报活动牵头部门批准，按照本办法规定对变动临建设施施工现场进行安全管理，并对结构安全进行重新评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第十四条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部门应高度重视大型活动临建设施搭建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拆除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安全管理工作，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部门保障职责，规范保障流程，分工协作落实各项保障措施，确保昌平区大型活动万无一失安全圆满举办。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2312" w:eastAsia="方正仿宋_GB2312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/>
          <w:color w:val="auto"/>
          <w:sz w:val="32"/>
          <w:szCs w:val="32"/>
          <w:lang w:val="en-US"/>
        </w:rPr>
        <w:t>参与单位安全生产职责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第十五条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活动牵头部门应严格遵守国家相关法律法规，严格执行各项安全管理规定，全面负责统筹进场前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准备阶段、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临建设施设计阶段、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进场施工阶段、活动进行阶段、撤场拆除阶段的全过程安全管理工作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履行以下职责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（一）进行安全风险预测或者委托专业评估机构进行安全风险评估，制定安全工作方案和处置突发事件应急预案并组织演练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（二）明确相关科室或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指定专人负责搭建现场安全管理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统筹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，建立并落实安全责任制度，明确安全措施、岗位安全职责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权属单位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临建设施设计单位、临建设施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施工单位、监理单位、第三方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签订安全生产管理协议，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明确各方安全生产责任，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落实其在大型活动中的安全生产职责。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牵头组织各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部门对大型活动的运营场地、搭建现场作业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（特别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是危险作业和特种作业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等进行安全检查，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督促、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对发现的安全生产隐患及时整改。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（五）根据实际情况聘请安全生产专家，为大型活动安全管理提供专业技术支持。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其他安全生产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的综合协调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十六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严格执行国家和北京市的安全生产法律法规、技术标准和展馆施工管理规定，对施工质量负责，确保临时搭建物符合安全要求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履行以下职责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成立安全生产管理机构或指定专人负责进场前准备阶段、进场施工阶段、活动进行阶段、撤场拆除阶段安全管理工作。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聘请有资质的设计单位、施工单位对大型活动现场临建设施进行设计、施工；负责对所有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施工单位进行资质审核，对于不具备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施工资质的公司不得批准进场施工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聘请有资质的监理单位对搭建和拆除工程进行安全监理。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聘请有资质的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第三方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机构完成对临时搭建设施结构安全和临电使用安全评价。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与活动场馆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（场地）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及各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施工单位签订安全生产管理协议，明确各自安全生产职责。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（六）负责统筹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协调现场安全管理，组织各方对相关事宜和搭建中存在的问题进行安全交底和技术交底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，督促各方做好安全隐患排查整改工作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或督促施工搭建单位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对施工人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员开展进场前安全教育培训，向从业人员如实告知作业场所和工作岗位存在的危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险因素、防范措施以及事故应急措施，教育和督促从业人员严格执行安全生产规章制度和安全操作规程，做好培训记录。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 xml:space="preserve">加强现场安全检查，督促施工人员正确佩戴及使用安全防护用品，避免野蛮施工、违章指挥、违章作业。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（九）鼓励为大型活动投保安全生产责任险。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严格审批施工中的登高、吊装、动火、临时用电等危险作业，安排专门人员进行危险作业现场安全管理，确保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施工单位使用的电工、焊工和高处作业等特种作业持真实有效证件上岗作业，督促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作业人员遵守操作规程、落实安全措施。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加强隐患排查治理，对检查中发现的隐患能立即整改的应督促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单位立即整改，不能立即整改的应及时下发隐患整改通知书，建立登记、整改、复查记录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台账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，要求施工方制定整改计划和方案，落实整改责任人和监督人，在隐患没有排除前，应采取可靠的防护措施，确保施工人员的人身安全。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针对活动规模和场地情况，有针对性地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制定突发事件应急救援预案，落实应急救援组织、装备和器材，将应急救援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程序和具体事项明确到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责任人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，组织开展事故应急救援演练。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（十三）计划进场施工7日前，对大型活动各参与方(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临建设施设计单位、临建设施施工单位、施工监理单位、第三方安全评估单位)营业执照复印件(加盖公司公章)、法定代表人身份证复印件(加盖公司公章)、相关资质证明和人员联络表进行收集并核验，核验无误后提交活动牵头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2312" w:eastAsia="方正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（十四）承担其他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活动运营相关的安全生产职责。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第十七条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活动场馆(地)权属单位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按照国家和北京市的安全生产法律法规、技术标准向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提供符合安全要求的活动场所及设备设施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履行以下职责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成立安全生产管理机构或指定专人协调进场前准备阶段、进场施工阶段、活动进行阶段、撤场拆除阶段安全管理工作。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签订安全生产管理协议，明确各方安全生产职责(包括场地自有设备设施安全管理责任)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，对活动承办单位和在活动场馆（地）内施工单位的安全生产工作统一协调、管理，定期进行安全检查，发现安全问题的，应当及时督促整改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严格进场审核管理，对于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未聘请监理公司和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三方评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机构的，不得准许进场施工。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在进场前准备阶段、进场施工阶段、活动进行阶段、撤场拆除阶段对提供的场地、设备设施及搭建物进行安全检查，及时消除安全隐患。对于检查发现应由其他单位处理的安全问题，应及时向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和监理单位移交，杜绝施工现场安全隐患。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（五）承担其他与提供场地和基础设施相关的安全生产责任。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十八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临建设施设计单位要具有相关的设计资质，依据有关法律、法规、技术标准、相关合同及文件，对大型临建设施进行设计，并履行以下职责：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（一）在出具设计方案前，应到场地（馆）实地考察，对场地（馆）地基基础情况、承重、周边环境等进行认真勘验，形成基础数据。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设计文件应根据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规范标准和基础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数据进行设计计算、验算，预留的安全疏散通道和安全检查场所要符合大型活动人员疏散要求。搭建使用的材料要符合环保及消防安全要求。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设计方案中结构设计要符合《第4部分：临建设施指南》4.1.5要求（GBT33170-2016），“超过2层或3.5m高的临建设施，要对其构件进行强度稳定及挠度的验算。所有承重载荷应经过专门的计算，出具计算说明和安全测算书等。对于超大超高或者异形等非标准的临建设施，必要时应当组织专家或第三方机构，对设计方案进行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设计文件应由设计单位的注册结构工程师进行设计验算，并由设计单位盖章进行确认。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第十九条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临建设施施工单位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遵守安全生产法律、法规、规章，建立健全安全生产责任制和安全管理制度，全方位落实安全生产责任，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履行以下职责: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临建设施施工单位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应制定施工方案，明确施工工艺、人员安排、主要步骤、安全防范措施等，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应严格根据设计文件进行施工搭建，严禁更改设计进行施工搭建。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对从业人员进行安全生产教育和培训，保证从业人员具备必要的安全生产知识，熟悉有关的安全生产规章制度和安全操作规程，掌握本岗位的安全操作技能，了解事故应急处理措施，知悉自身在安全生产方面的权利和义务。未经安全生产教育和培训合格的从业人员，不得上岗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（三）各类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特种作业人员必须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按照国家有关规定经专门的安全作业培训，取得相应资格，方可持证上岗作业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必须为从业人员提供符合国家标准或者行业标准的劳动防护用品，并监督、教育从业人员按照使用规则佩戴、使用。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为施工现场配备不少于一名的安全员，明确职责并佩戴明显标识，对现场作业安全进行监督管理，杜绝野蛮施工、违章指挥、违章作业。实现日常安全检查常态化，保证各级从业人员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包括临时用工人员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安全职责的有效落实。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（六）临建设施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施工单位的安全生产管理人员应当根据本单位的施工特点，对安全生产状况进行经常性检查；对检查中发现的安全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，应当立即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；不能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立即整改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的，应当及时报告本单位有关负责人，有关负责人应当及时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协调相关单位制定隐患整改方案，全面整改消除隐患。检查及处理情况应当如实记录在案。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（七）计划进场7日前向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提交大型活动临建设施施工单位资质和人员联络表。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（八）承担本单位其他安全生产责任和施工相关的安全生产责任。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监理单位必须具有相关资质，依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据有关法律、法规、技术标准、相关合同及文件，代表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对大型活动临时设施搭建实施安全监理。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确保工程质量和安全，提高工程建设水平，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履行以下职责: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按监理合同和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的要求对工程项目的质量、安全、资质等方面进行全面监理。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确定监理机构人员分工和岗位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，安排具有专业资质的监理人员开展安全监理工作。对场地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内所有临建临电搭建、安装及拆除作业进行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监理，对检查中发现的问题应及时要求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单位整改，留存相关检查记录，并将整改结果上报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问题隐患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严重的，应要求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单位暂时停止施工，并及时报告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临建设施施工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单位拒不整改或者不停止施工的，监理单位应当及时向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计划进场7日前向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提交监理机构资质和人员联络表。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其他本单位安全生产责任和监理方相关安全生产责任。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仿宋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第二十一条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第三方安全评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履行以下职责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大型活动举办前，对完成搭建的临建设施按照国家相关法律法规标准要求客观、公正地进行结构安全验算、电气安全检测，出具检测验收报告并提交至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2312" w:eastAsia="方正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计划进场7日前向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活动承办单位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提交安全评价单位资质和人员联络表。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第四章 政府机构其他保障部门职责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第二十二条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昌平区大型活动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方案中涉及到各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部门履行各自领域内的安全保障责任。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区委宣传部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、区体育局、区文旅局、区农业农村局、区园林绿化局、区教委、区科协等单位：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作为大型活动牵头部门时，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是大型活动相应安全生产责任主体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，负责大型活动的安全生产监督管理，并承担相应的监管责任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负责统筹协调各职能保障部门开展筹备工作，并履行本办法第十五条规定的安全职责。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作为大型活动保障部门时，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按照大型活动方案中的相关职责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</w:rPr>
        <w:t>履行各自领域内的安全保障责任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区住建委：负责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大型活动临时搭建设施、建（构）筑物施工的安全监督检查的技术指导工作。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区应急局：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指导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/>
        </w:rPr>
        <w:t>活动牵头部门做好现场临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时搭建设施的安全监督管理职责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eastAsia="zh-CN"/>
        </w:rPr>
        <w:t>；负责活动期间突发事件信息报告工作。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其他保障部门：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按照大型活动方案中的相关职责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履行各自领域内的安全保障责任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方正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第五章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 xml:space="preserve">第二十三条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本办法具体解释工作由区应急管理局承担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第二十四条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本办法自印发之日起施行。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方正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第六章 附件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附件：1.行业部门对大型活动临建设施安全检查清单</w:t>
      </w:r>
    </w:p>
    <w:p>
      <w:pPr>
        <w:pStyle w:val="2"/>
        <w:ind w:left="1280" w:hanging="1280" w:hangingChars="4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　　　2.大型活动临建设施现场检查通用要点检查表</w:t>
      </w:r>
    </w:p>
    <w:p>
      <w:pP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br w:type="page"/>
      </w:r>
    </w:p>
    <w:p>
      <w:pPr>
        <w:pStyle w:val="2"/>
        <w:ind w:left="1280" w:hanging="1280" w:hangingChars="400"/>
        <w:jc w:val="both"/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ind w:left="1280" w:hanging="1280" w:hangingChars="40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行业部门对大型活动临建设施安全检查清单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行业部门对大型活动临建设施进行安全检查时，承办单位需提供以下资料：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（一）承办方、搭建方的企业营业执照、企业法人身份证和项目承揽或搭建合同复印件；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（二）人员名单：承办、搭建单位联系人电话表（主要负责人、具体联系人电话）；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（三）承办方关于大型活动安全承诺书、大型活动安全许可证（决定书）、安全责任书；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（四）临建设施搭建单位的设计、施工、活动搭建方案；搭建与设计相关资质；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（五）大型活动专项应急预案、应急演练记录；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（六）涉及吊装、高处作业、有限空间作业、动火作业等危险作业项目的审批单；特种人员特种作业证件和身份证件信息；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cyan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（七）人员安全教育培训记录；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（八）临时用电专项工作方案；重要设备设施的消电检查报告；场地使用许可（如大型活动安全许可）；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Arial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（九）</w:t>
      </w:r>
      <w:r>
        <w:rPr>
          <w:rFonts w:hint="eastAsia" w:ascii="仿宋_GB2312" w:hAnsi="Calibri" w:eastAsia="仿宋_GB2312" w:cs="Arial"/>
          <w:color w:val="auto"/>
          <w:kern w:val="2"/>
          <w:sz w:val="32"/>
          <w:szCs w:val="32"/>
          <w:lang w:val="en-US" w:eastAsia="zh-CN" w:bidi="ar-SA"/>
        </w:rPr>
        <w:t>临建现场安全验收报告：临建设施交付使用前，主办单位应按照有关法律法规规定，组织承办、设计、施工单位进行联合验收，形成书面报告。临建设施未经验收或验收不合格，不得投入运行和使用。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仿宋_GB2312" w:hAnsi="Calibri" w:eastAsia="仿宋_GB2312" w:cs="Arial"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FAFE7"/>
    <w:multiLevelType w:val="singleLevel"/>
    <w:tmpl w:val="7B7FAFE7"/>
    <w:lvl w:ilvl="0" w:tentative="0">
      <w:start w:val="3"/>
      <w:numFmt w:val="chineseCounting"/>
      <w:suff w:val="space"/>
      <w:lvlText w:val="第%1条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50BB0"/>
    <w:rsid w:val="04D5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center"/>
    </w:pPr>
    <w:rPr>
      <w:rFonts w:ascii="Calibri" w:hAnsi="Calibri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2025-10-23T08:08:00Z</dcterms:created>
  <dc:creator>Administrator</dc:creator>
  <cp:lastModifiedBy>Administrator</cp:lastModifiedBy>
  <dcterms:modified xsi:type="dcterms:W3CDTF">2025-10-23T08:08:53Z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