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方正小标宋简体" w:eastAsia="方正小标宋简体" w:cs="方正小标宋简体"/>
          <w:color w:val="000000"/>
          <w:sz w:val="44"/>
          <w:szCs w:val="44"/>
        </w:rPr>
      </w:pPr>
      <w:bookmarkStart w:id="2" w:name="_GoBack"/>
      <w:bookmarkEnd w:id="2"/>
    </w:p>
    <w:p>
      <w:pPr>
        <w:numPr>
          <w:ilvl w:val="0"/>
          <w:numId w:val="0"/>
        </w:num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关于《延庆区重大项目征占流转土地及</w:t>
      </w:r>
    </w:p>
    <w:p>
      <w:pPr>
        <w:numPr>
          <w:ilvl w:val="0"/>
          <w:numId w:val="0"/>
        </w:num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地上附着物补偿指导意见（征求意见稿）》</w:t>
      </w:r>
    </w:p>
    <w:p>
      <w:pPr>
        <w:numPr>
          <w:ilvl w:val="0"/>
          <w:numId w:val="0"/>
        </w:num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的起草说明</w:t>
      </w:r>
    </w:p>
    <w:p>
      <w:pPr>
        <w:numPr>
          <w:ilvl w:val="0"/>
          <w:numId w:val="0"/>
        </w:numPr>
        <w:spacing w:line="560" w:lineRule="exact"/>
        <w:rPr>
          <w:rFonts w:ascii="黑体" w:hAnsi="黑体" w:eastAsia="黑体" w:cs="仿宋_GB2312"/>
          <w:color w:val="000000"/>
          <w:sz w:val="32"/>
          <w:szCs w:val="32"/>
        </w:rPr>
      </w:pP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起草背景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kern w:val="32"/>
          <w:sz w:val="32"/>
          <w:szCs w:val="32"/>
        </w:rPr>
      </w:pPr>
      <w:r>
        <w:rPr>
          <w:rFonts w:hint="eastAsia" w:ascii="仿宋_GB2312"/>
          <w:kern w:val="32"/>
          <w:sz w:val="32"/>
          <w:szCs w:val="32"/>
          <w:lang w:eastAsia="zh-CN"/>
        </w:rPr>
        <w:t>延庆</w:t>
      </w:r>
      <w:r>
        <w:rPr>
          <w:rFonts w:hint="eastAsia" w:ascii="仿宋_GB2312" w:eastAsia="仿宋_GB2312"/>
          <w:kern w:val="32"/>
          <w:sz w:val="32"/>
          <w:szCs w:val="32"/>
        </w:rPr>
        <w:t>区分别于2016年、2019年对《</w:t>
      </w:r>
      <w:r>
        <w:rPr>
          <w:rFonts w:hint="eastAsia" w:ascii="仿宋_GB2312"/>
          <w:kern w:val="32"/>
          <w:sz w:val="32"/>
          <w:szCs w:val="32"/>
          <w:lang w:eastAsia="zh-CN"/>
        </w:rPr>
        <w:t>延庆</w:t>
      </w:r>
      <w:r>
        <w:rPr>
          <w:rFonts w:hint="eastAsia" w:ascii="仿宋_GB2312" w:eastAsia="仿宋_GB2312"/>
          <w:kern w:val="32"/>
          <w:sz w:val="32"/>
          <w:szCs w:val="32"/>
        </w:rPr>
        <w:t>区重大项目征占流转土地及地上附着物补偿指导意见》（以下简称《指导意见》）进行了制定和修订。现2019年修订版试行期已届满。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kern w:val="32"/>
          <w:sz w:val="32"/>
          <w:szCs w:val="32"/>
        </w:rPr>
      </w:pPr>
      <w:r>
        <w:rPr>
          <w:rFonts w:hint="eastAsia" w:ascii="仿宋_GB2312" w:eastAsia="仿宋_GB2312"/>
          <w:kern w:val="32"/>
          <w:sz w:val="32"/>
          <w:szCs w:val="32"/>
        </w:rPr>
        <w:t>根据区政府</w:t>
      </w:r>
      <w:r>
        <w:rPr>
          <w:rFonts w:hint="eastAsia" w:ascii="仿宋_GB2312"/>
          <w:kern w:val="32"/>
          <w:sz w:val="32"/>
          <w:szCs w:val="32"/>
          <w:lang w:eastAsia="zh-CN"/>
        </w:rPr>
        <w:t>会议精神，</w:t>
      </w:r>
      <w:r>
        <w:rPr>
          <w:rFonts w:hint="eastAsia" w:ascii="仿宋_GB2312" w:eastAsia="仿宋_GB2312"/>
          <w:kern w:val="32"/>
          <w:sz w:val="32"/>
          <w:szCs w:val="32"/>
        </w:rPr>
        <w:t>为进一步提升补偿工作的科学性、规范性和可操作性，确保补偿政策与当前发展阶段相匹配，特启动本次《指导意见》</w:t>
      </w:r>
      <w:r>
        <w:rPr>
          <w:rFonts w:hint="eastAsia" w:ascii="仿宋_GB2312"/>
          <w:kern w:val="32"/>
          <w:sz w:val="32"/>
          <w:szCs w:val="32"/>
          <w:lang w:eastAsia="zh-CN"/>
        </w:rPr>
        <w:t>重新制定</w:t>
      </w:r>
      <w:r>
        <w:rPr>
          <w:rFonts w:hint="eastAsia" w:ascii="仿宋_GB2312" w:eastAsia="仿宋_GB2312"/>
          <w:kern w:val="32"/>
          <w:sz w:val="32"/>
          <w:szCs w:val="32"/>
        </w:rPr>
        <w:t>工作，形成《</w:t>
      </w:r>
      <w:r>
        <w:rPr>
          <w:rFonts w:hint="eastAsia" w:ascii="仿宋_GB2312"/>
          <w:kern w:val="32"/>
          <w:sz w:val="32"/>
          <w:szCs w:val="32"/>
          <w:lang w:eastAsia="zh-CN"/>
        </w:rPr>
        <w:t>延庆</w:t>
      </w:r>
      <w:r>
        <w:rPr>
          <w:rFonts w:hint="eastAsia" w:ascii="仿宋_GB2312" w:eastAsia="仿宋_GB2312"/>
          <w:kern w:val="32"/>
          <w:sz w:val="32"/>
          <w:szCs w:val="32"/>
        </w:rPr>
        <w:t>区重大项目征占流转土地及地上附着物补偿指导意见（征求意见稿）》，以更好地服务全区重大项目建设，维护社会公平稳定。</w:t>
      </w:r>
    </w:p>
    <w:p>
      <w:pPr>
        <w:keepNext w:val="0"/>
        <w:keepLines w:val="0"/>
        <w:pageBreakBefore w:val="0"/>
        <w:widowControl/>
        <w:numPr>
          <w:ilvl w:val="0"/>
          <w:numId w:val="0"/>
        </w:numPr>
        <w:shd w:val="clear" w:color="auto"/>
        <w:kinsoku/>
        <w:wordWrap/>
        <w:overflowPunct/>
        <w:topLinePunct w:val="0"/>
        <w:autoSpaceDE/>
        <w:autoSpaceDN/>
        <w:bidi w:val="0"/>
        <w:adjustRightInd/>
        <w:spacing w:line="560" w:lineRule="exact"/>
        <w:ind w:left="0" w:leftChars="0" w:firstLine="640" w:firstLineChars="200"/>
        <w:jc w:val="left"/>
        <w:textAlignment w:val="auto"/>
        <w:rPr>
          <w:rFonts w:hint="eastAsia"/>
          <w:lang w:eastAsia="zh-CN"/>
        </w:rPr>
      </w:pPr>
      <w:r>
        <w:rPr>
          <w:rFonts w:hint="eastAsia" w:ascii="黑体" w:hAnsi="黑体" w:eastAsia="黑体" w:cs="仿宋_GB2312"/>
          <w:color w:val="000000"/>
          <w:sz w:val="32"/>
          <w:szCs w:val="32"/>
          <w:lang w:eastAsia="zh-CN"/>
        </w:rPr>
        <w:t>二</w:t>
      </w:r>
      <w:r>
        <w:rPr>
          <w:rFonts w:hint="eastAsia" w:ascii="黑体" w:hAnsi="黑体" w:eastAsia="黑体" w:cs="仿宋_GB2312"/>
          <w:color w:val="000000"/>
          <w:sz w:val="32"/>
          <w:szCs w:val="32"/>
        </w:rPr>
        <w:t>、</w:t>
      </w:r>
      <w:r>
        <w:rPr>
          <w:rFonts w:hint="eastAsia" w:ascii="黑体" w:hAnsi="黑体" w:eastAsia="黑体" w:cs="黑体"/>
          <w:b w:val="0"/>
          <w:bCs w:val="0"/>
          <w:color w:val="000000"/>
          <w:kern w:val="0"/>
          <w:sz w:val="32"/>
          <w:szCs w:val="32"/>
          <w:lang w:eastAsia="zh-CN" w:bidi="ar-SA"/>
        </w:rPr>
        <w:t>起草过程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trike/>
          <w:dstrike w:val="0"/>
          <w:sz w:val="32"/>
          <w:szCs w:val="32"/>
          <w:lang w:val="en-US" w:eastAsia="zh-CN"/>
        </w:rPr>
      </w:pPr>
      <w:r>
        <w:rPr>
          <w:rFonts w:hint="eastAsia" w:ascii="仿宋_GB2312" w:hAnsi="仿宋_GB2312" w:cs="仿宋_GB2312"/>
          <w:strike w:val="0"/>
          <w:dstrike w:val="0"/>
          <w:sz w:val="32"/>
          <w:szCs w:val="32"/>
          <w:highlight w:val="none"/>
          <w:lang w:eastAsia="zh-CN"/>
        </w:rPr>
        <w:t>区重大项目服务中心在指导意见制定</w:t>
      </w:r>
      <w:r>
        <w:rPr>
          <w:rFonts w:hint="eastAsia" w:ascii="仿宋_GB2312" w:hAnsi="仿宋_GB2312" w:eastAsia="仿宋_GB2312" w:cs="仿宋_GB2312"/>
          <w:strike w:val="0"/>
          <w:dstrike w:val="0"/>
          <w:sz w:val="32"/>
          <w:szCs w:val="32"/>
          <w:highlight w:val="none"/>
          <w:lang w:val="en-US" w:eastAsia="zh-CN"/>
        </w:rPr>
        <w:t>初期</w:t>
      </w:r>
      <w:r>
        <w:rPr>
          <w:rFonts w:hint="eastAsia" w:ascii="仿宋_GB2312" w:hAnsi="仿宋_GB2312" w:cs="仿宋_GB2312"/>
          <w:strike w:val="0"/>
          <w:dstrike w:val="0"/>
          <w:sz w:val="32"/>
          <w:szCs w:val="32"/>
          <w:highlight w:val="none"/>
          <w:lang w:val="en-US" w:eastAsia="zh-CN"/>
        </w:rPr>
        <w:t>，</w:t>
      </w:r>
      <w:r>
        <w:rPr>
          <w:rFonts w:hint="eastAsia" w:ascii="仿宋_GB2312" w:hAnsi="仿宋_GB2312" w:eastAsia="仿宋_GB2312" w:cs="仿宋_GB2312"/>
          <w:strike w:val="0"/>
          <w:dstrike w:val="0"/>
          <w:sz w:val="32"/>
          <w:szCs w:val="32"/>
          <w:highlight w:val="none"/>
          <w:lang w:val="en-US" w:eastAsia="zh-CN"/>
        </w:rPr>
        <w:t>征求了</w:t>
      </w:r>
      <w:r>
        <w:rPr>
          <w:rFonts w:hint="eastAsia" w:ascii="仿宋_GB2312" w:hAnsi="仿宋_GB2312" w:cs="仿宋_GB2312"/>
          <w:strike w:val="0"/>
          <w:dstrike w:val="0"/>
          <w:sz w:val="32"/>
          <w:szCs w:val="32"/>
          <w:highlight w:val="none"/>
          <w:lang w:val="en-US" w:eastAsia="zh-CN"/>
        </w:rPr>
        <w:t>区农业农村局</w:t>
      </w:r>
      <w:r>
        <w:rPr>
          <w:rFonts w:hint="eastAsia" w:ascii="仿宋_GB2312" w:hAnsi="仿宋_GB2312" w:eastAsia="仿宋_GB2312" w:cs="仿宋_GB2312"/>
          <w:strike w:val="0"/>
          <w:dstrike w:val="0"/>
          <w:sz w:val="32"/>
          <w:szCs w:val="32"/>
          <w:highlight w:val="none"/>
          <w:lang w:val="en-US" w:eastAsia="zh-CN"/>
        </w:rPr>
        <w:t>、</w:t>
      </w:r>
      <w:r>
        <w:rPr>
          <w:rFonts w:hint="eastAsia" w:ascii="仿宋_GB2312" w:hAnsi="仿宋_GB2312" w:cs="仿宋_GB2312"/>
          <w:strike w:val="0"/>
          <w:dstrike w:val="0"/>
          <w:sz w:val="32"/>
          <w:szCs w:val="32"/>
          <w:highlight w:val="none"/>
          <w:lang w:val="en-US" w:eastAsia="zh-CN"/>
        </w:rPr>
        <w:t>市</w:t>
      </w:r>
      <w:r>
        <w:rPr>
          <w:rFonts w:hint="eastAsia" w:ascii="仿宋_GB2312" w:hAnsi="仿宋_GB2312" w:eastAsia="仿宋_GB2312" w:cs="仿宋_GB2312"/>
          <w:strike w:val="0"/>
          <w:dstrike w:val="0"/>
          <w:sz w:val="32"/>
          <w:szCs w:val="32"/>
          <w:highlight w:val="none"/>
          <w:lang w:val="en-US" w:eastAsia="zh-CN"/>
        </w:rPr>
        <w:t>规划自然</w:t>
      </w:r>
      <w:r>
        <w:rPr>
          <w:rFonts w:hint="eastAsia" w:ascii="仿宋_GB2312" w:hAnsi="仿宋_GB2312" w:cs="仿宋_GB2312"/>
          <w:strike w:val="0"/>
          <w:dstrike w:val="0"/>
          <w:sz w:val="32"/>
          <w:szCs w:val="32"/>
          <w:highlight w:val="none"/>
          <w:lang w:val="en-US" w:eastAsia="zh-CN"/>
        </w:rPr>
        <w:t>资源</w:t>
      </w:r>
      <w:r>
        <w:rPr>
          <w:rFonts w:hint="eastAsia" w:ascii="仿宋_GB2312" w:hAnsi="仿宋_GB2312" w:eastAsia="仿宋_GB2312" w:cs="仿宋_GB2312"/>
          <w:strike w:val="0"/>
          <w:dstrike w:val="0"/>
          <w:sz w:val="32"/>
          <w:szCs w:val="32"/>
          <w:highlight w:val="none"/>
          <w:lang w:val="en-US" w:eastAsia="zh-CN"/>
        </w:rPr>
        <w:t>委延庆分局等</w:t>
      </w:r>
      <w:r>
        <w:rPr>
          <w:rFonts w:hint="eastAsia" w:ascii="仿宋_GB2312" w:hAnsi="仿宋_GB2312" w:cs="仿宋_GB2312"/>
          <w:strike w:val="0"/>
          <w:dstrike w:val="0"/>
          <w:sz w:val="32"/>
          <w:szCs w:val="32"/>
          <w:highlight w:val="none"/>
          <w:lang w:val="en-US" w:eastAsia="zh-CN"/>
        </w:rPr>
        <w:t>14</w:t>
      </w:r>
      <w:r>
        <w:rPr>
          <w:rFonts w:hint="eastAsia" w:ascii="仿宋_GB2312" w:hAnsi="仿宋_GB2312" w:eastAsia="仿宋_GB2312" w:cs="仿宋_GB2312"/>
          <w:strike w:val="0"/>
          <w:dstrike w:val="0"/>
          <w:sz w:val="32"/>
          <w:szCs w:val="32"/>
          <w:highlight w:val="none"/>
          <w:lang w:val="en-US" w:eastAsia="zh-CN"/>
        </w:rPr>
        <w:t>个相关</w:t>
      </w:r>
      <w:r>
        <w:rPr>
          <w:rFonts w:hint="eastAsia" w:ascii="仿宋_GB2312" w:hAnsi="仿宋_GB2312" w:cs="仿宋_GB2312"/>
          <w:strike w:val="0"/>
          <w:dstrike w:val="0"/>
          <w:sz w:val="32"/>
          <w:szCs w:val="32"/>
          <w:highlight w:val="none"/>
          <w:lang w:val="en-US" w:eastAsia="zh-CN"/>
        </w:rPr>
        <w:t>委办局和15个乡镇人民政府</w:t>
      </w:r>
      <w:r>
        <w:rPr>
          <w:rFonts w:hint="eastAsia" w:ascii="仿宋_GB2312" w:hAnsi="仿宋_GB2312" w:eastAsia="仿宋_GB2312" w:cs="仿宋_GB2312"/>
          <w:strike w:val="0"/>
          <w:dstrike w:val="0"/>
          <w:sz w:val="32"/>
          <w:szCs w:val="32"/>
          <w:highlight w:val="none"/>
          <w:lang w:val="en-US" w:eastAsia="zh-CN"/>
        </w:rPr>
        <w:t>意见建议，结合</w:t>
      </w:r>
      <w:r>
        <w:rPr>
          <w:rFonts w:hint="eastAsia" w:ascii="仿宋_GB2312" w:hAnsi="仿宋_GB2312" w:eastAsia="仿宋_GB2312" w:cs="仿宋_GB2312"/>
          <w:strike w:val="0"/>
          <w:dstrike w:val="0"/>
          <w:kern w:val="2"/>
          <w:sz w:val="32"/>
          <w:szCs w:val="32"/>
          <w:highlight w:val="none"/>
          <w:lang w:val="en-US" w:eastAsia="zh-CN"/>
        </w:rPr>
        <w:t>我区实际，</w:t>
      </w:r>
      <w:r>
        <w:rPr>
          <w:rFonts w:hint="eastAsia" w:ascii="仿宋_GB2312" w:hAnsi="仿宋_GB2312" w:eastAsia="仿宋_GB2312" w:cs="仿宋_GB2312"/>
          <w:strike w:val="0"/>
          <w:dstrike w:val="0"/>
          <w:sz w:val="32"/>
          <w:szCs w:val="32"/>
          <w:highlight w:val="none"/>
          <w:lang w:val="en-US" w:eastAsia="zh-CN"/>
        </w:rPr>
        <w:t>形成《</w:t>
      </w:r>
      <w:r>
        <w:rPr>
          <w:rFonts w:hint="eastAsia" w:ascii="仿宋_GB2312"/>
          <w:kern w:val="32"/>
          <w:sz w:val="32"/>
          <w:szCs w:val="32"/>
          <w:lang w:eastAsia="zh-CN"/>
        </w:rPr>
        <w:t>延庆</w:t>
      </w:r>
      <w:r>
        <w:rPr>
          <w:rFonts w:hint="eastAsia" w:ascii="仿宋_GB2312" w:eastAsia="仿宋_GB2312"/>
          <w:kern w:val="32"/>
          <w:sz w:val="32"/>
          <w:szCs w:val="32"/>
        </w:rPr>
        <w:t>区重大项目征占流转土地及地上附着物补偿指导意见（征求意见稿）</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、主要内容</w:t>
      </w:r>
    </w:p>
    <w:p>
      <w:pPr>
        <w:pStyle w:val="13"/>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rPr>
      </w:pPr>
      <w:r>
        <w:rPr>
          <w:rFonts w:hint="eastAsia" w:hAnsi="仿宋_GB2312" w:cs="仿宋_GB2312"/>
          <w:color w:val="000000"/>
          <w:lang w:eastAsia="zh-CN"/>
        </w:rPr>
        <w:t>指导意见</w:t>
      </w:r>
      <w:r>
        <w:rPr>
          <w:rFonts w:hint="eastAsia" w:ascii="仿宋_GB2312" w:hAnsi="仿宋_GB2312" w:eastAsia="仿宋_GB2312" w:cs="仿宋_GB2312"/>
          <w:color w:val="000000"/>
        </w:rPr>
        <w:t>概括为</w:t>
      </w:r>
      <w:r>
        <w:rPr>
          <w:rFonts w:hint="eastAsia" w:hAnsi="仿宋_GB2312" w:cs="仿宋_GB2312"/>
          <w:color w:val="000000"/>
          <w:lang w:eastAsia="zh-CN"/>
        </w:rPr>
        <w:t>五</w:t>
      </w:r>
      <w:r>
        <w:rPr>
          <w:rFonts w:hint="eastAsia" w:ascii="仿宋_GB2312" w:hAnsi="仿宋_GB2312" w:eastAsia="仿宋_GB2312" w:cs="仿宋_GB2312"/>
          <w:color w:val="000000"/>
        </w:rPr>
        <w:t>部分。第一部分法律依据和部门职责；第二部分适用范围及对象；第三部土地补偿；第四部分土地附着物补偿</w:t>
      </w:r>
      <w:r>
        <w:rPr>
          <w:rFonts w:hint="eastAsia" w:hAnsi="仿宋_GB2312" w:cs="仿宋_GB2312"/>
          <w:color w:val="000000"/>
          <w:lang w:eastAsia="zh-CN"/>
        </w:rPr>
        <w:t>；</w:t>
      </w:r>
      <w:r>
        <w:rPr>
          <w:rFonts w:hint="eastAsia" w:ascii="仿宋_GB2312" w:hAnsi="仿宋_GB2312" w:eastAsia="仿宋_GB2312" w:cs="仿宋_GB2312"/>
          <w:color w:val="000000"/>
        </w:rPr>
        <w:t>第五部分其他事项。</w:t>
      </w:r>
    </w:p>
    <w:p>
      <w:pPr>
        <w:pStyle w:val="13"/>
        <w:keepNext w:val="0"/>
        <w:keepLines w:val="0"/>
        <w:pageBreakBefore w:val="0"/>
        <w:kinsoku/>
        <w:wordWrap/>
        <w:overflowPunct/>
        <w:topLinePunct w:val="0"/>
        <w:autoSpaceDE/>
        <w:autoSpaceDN/>
        <w:bidi w:val="0"/>
        <w:adjustRightInd/>
        <w:snapToGrid w:val="0"/>
        <w:spacing w:line="560" w:lineRule="exact"/>
        <w:textAlignment w:val="auto"/>
        <w:rPr>
          <w:rFonts w:hint="eastAsia" w:ascii="楷体_GB2312" w:hAnsi="黑体" w:eastAsia="楷体_GB2312"/>
          <w:color w:val="000000"/>
          <w:lang w:eastAsia="zh-CN"/>
        </w:rPr>
      </w:pPr>
      <w:r>
        <w:rPr>
          <w:rFonts w:hint="eastAsia" w:ascii="楷体_GB2312" w:hAnsi="黑体" w:eastAsia="楷体_GB2312"/>
          <w:color w:val="000000"/>
        </w:rPr>
        <w:t>（二）优化调整</w:t>
      </w:r>
      <w:r>
        <w:rPr>
          <w:rFonts w:hint="eastAsia" w:ascii="楷体_GB2312" w:hAnsi="黑体" w:eastAsia="楷体_GB2312"/>
          <w:color w:val="000000"/>
          <w:lang w:eastAsia="zh-CN"/>
        </w:rPr>
        <w:t>部分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法律依据增加了</w:t>
      </w:r>
      <w:r>
        <w:rPr>
          <w:rFonts w:hint="eastAsia" w:ascii="仿宋_GB2312" w:hAnsi="仿宋_GB2312" w:eastAsia="仿宋_GB2312" w:cs="仿宋_GB2312"/>
          <w:sz w:val="32"/>
          <w:szCs w:val="32"/>
        </w:rPr>
        <w:t>《北京市征收农用地区片综合地价标准》</w:t>
      </w:r>
      <w:r>
        <w:rPr>
          <w:rFonts w:hint="eastAsia" w:ascii="仿宋_GB2312" w:hAnsi="仿宋_GB2312" w:eastAsia="仿宋_GB2312" w:cs="仿宋_GB2312"/>
          <w:bCs/>
          <w:sz w:val="32"/>
          <w:szCs w:val="32"/>
        </w:rPr>
        <w:t>。</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hAnsi="仿宋_GB2312" w:cs="仿宋_GB2312"/>
          <w:color w:val="000000"/>
          <w:sz w:val="32"/>
          <w:szCs w:val="32"/>
          <w:lang w:val="en-US" w:eastAsia="zh-CN"/>
        </w:rPr>
        <w:t>明确</w:t>
      </w:r>
      <w:r>
        <w:rPr>
          <w:rFonts w:hint="eastAsia" w:ascii="仿宋_GB2312" w:hAnsi="仿宋_GB2312" w:eastAsia="仿宋_GB2312" w:cs="仿宋_GB2312"/>
          <w:color w:val="000000"/>
          <w:sz w:val="32"/>
          <w:szCs w:val="32"/>
          <w:lang w:val="en-US" w:eastAsia="zh-CN"/>
        </w:rPr>
        <w:t>土地流转费中农户家庭承包地</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二轮土地延包合同到期后依据国家政策另行调整</w:t>
      </w:r>
      <w:r>
        <w:rPr>
          <w:rFonts w:hint="eastAsia" w:hAnsi="仿宋_GB2312" w:cs="仿宋_GB2312"/>
          <w:color w:val="000000"/>
          <w:sz w:val="32"/>
          <w:szCs w:val="32"/>
          <w:lang w:val="en-US" w:eastAsia="zh-CN"/>
        </w:rPr>
        <w:t>。</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hAnsi="仿宋_GB2312" w:cs="仿宋_GB2312"/>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hAnsi="仿宋_GB2312" w:cs="仿宋_GB2312"/>
          <w:color w:val="000000"/>
          <w:sz w:val="32"/>
          <w:szCs w:val="32"/>
          <w:lang w:val="en-US" w:eastAsia="zh-CN"/>
        </w:rPr>
        <w:t>对设施占地补偿</w:t>
      </w:r>
      <w:r>
        <w:rPr>
          <w:rFonts w:hint="eastAsia" w:hAnsi="楷体_GB2312" w:cs="楷体_GB2312"/>
          <w:bCs/>
          <w:sz w:val="32"/>
          <w:szCs w:val="32"/>
          <w:lang w:eastAsia="zh-CN"/>
        </w:rPr>
        <w:t>补偿标准不变</w:t>
      </w:r>
      <w:r>
        <w:rPr>
          <w:rFonts w:hint="eastAsia" w:ascii="仿宋_GB2312" w:hAnsi="楷体_GB2312" w:eastAsia="仿宋_GB2312" w:cs="楷体_GB2312"/>
          <w:bCs/>
          <w:sz w:val="32"/>
          <w:szCs w:val="32"/>
        </w:rPr>
        <w:t>；</w:t>
      </w:r>
      <w:r>
        <w:rPr>
          <w:rFonts w:hint="eastAsia" w:hAnsi="仿宋_GB2312" w:cs="仿宋_GB2312"/>
          <w:color w:val="000000"/>
          <w:sz w:val="32"/>
          <w:szCs w:val="32"/>
          <w:lang w:val="en-US" w:eastAsia="zh-CN"/>
        </w:rPr>
        <w:t>补充</w:t>
      </w:r>
      <w:r>
        <w:rPr>
          <w:rFonts w:hint="eastAsia" w:ascii="仿宋_GB2312" w:hAnsi="楷体_GB2312" w:eastAsia="仿宋_GB2312" w:cs="楷体_GB2312"/>
          <w:bCs/>
          <w:sz w:val="32"/>
          <w:szCs w:val="32"/>
        </w:rPr>
        <w:t>涉及铁塔、检查井等设施的，依据</w:t>
      </w:r>
      <w:r>
        <w:rPr>
          <w:rFonts w:hint="eastAsia" w:ascii="仿宋_GB2312" w:hAnsi="仿宋_GB2312" w:eastAsia="仿宋_GB2312" w:cs="仿宋_GB2312"/>
          <w:sz w:val="32"/>
          <w:szCs w:val="32"/>
        </w:rPr>
        <w:t>《北京市征收农用地区片综合地价标准》的规定，按照结构外尺寸占地面积给予一次性补偿</w:t>
      </w:r>
      <w:r>
        <w:rPr>
          <w:rFonts w:hint="eastAsia" w:hAnsi="仿宋_GB2312" w:cs="仿宋_GB2312"/>
          <w:sz w:val="32"/>
          <w:szCs w:val="32"/>
          <w:lang w:eastAsia="zh-CN"/>
        </w:rPr>
        <w:t>。</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rPr>
        <w:t>临时占地补偿</w:t>
      </w:r>
      <w:r>
        <w:rPr>
          <w:rFonts w:hint="eastAsia" w:hAnsi="仿宋_GB2312" w:cs="仿宋_GB2312"/>
          <w:sz w:val="32"/>
          <w:szCs w:val="32"/>
          <w:lang w:eastAsia="zh-CN"/>
        </w:rPr>
        <w:t>明确</w:t>
      </w:r>
      <w:r>
        <w:rPr>
          <w:rFonts w:hint="eastAsia" w:ascii="仿宋_GB2312" w:hAnsi="仿宋_GB2312" w:eastAsia="仿宋_GB2312" w:cs="仿宋_GB2312"/>
          <w:sz w:val="32"/>
          <w:szCs w:val="32"/>
        </w:rPr>
        <w:t>按照当年的土地流转费标准计算，补偿期限按照实际占用期限确定，不足一年的按一年计算。</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hAnsi="仿宋_GB2312" w:cs="仿宋_GB2312"/>
          <w:sz w:val="32"/>
          <w:szCs w:val="32"/>
          <w:lang w:eastAsia="zh-CN"/>
        </w:rPr>
      </w:pPr>
      <w:r>
        <w:rPr>
          <w:rFonts w:hint="eastAsia" w:hAnsi="仿宋_GB2312" w:cs="仿宋_GB2312"/>
          <w:sz w:val="32"/>
          <w:szCs w:val="32"/>
          <w:lang w:val="en-US" w:eastAsia="zh-CN"/>
        </w:rPr>
        <w:t>5.土地附着物中明确，</w:t>
      </w:r>
      <w:r>
        <w:rPr>
          <w:rFonts w:hint="eastAsia" w:ascii="仿宋_GB2312" w:eastAsia="仿宋_GB2312"/>
          <w:sz w:val="32"/>
          <w:szCs w:val="32"/>
        </w:rPr>
        <w:t>不可恢复使用的机械设备</w:t>
      </w:r>
      <w:r>
        <w:rPr>
          <w:rFonts w:hint="eastAsia" w:ascii="仿宋_GB2312" w:eastAsia="仿宋_GB2312"/>
          <w:bCs/>
          <w:sz w:val="32"/>
          <w:szCs w:val="32"/>
        </w:rPr>
        <w:t>，</w:t>
      </w:r>
      <w:r>
        <w:rPr>
          <w:rFonts w:hint="eastAsia" w:ascii="仿宋_GB2312" w:hAnsi="仿宋_GB2312" w:eastAsia="仿宋_GB2312" w:cs="仿宋_GB2312"/>
          <w:sz w:val="32"/>
          <w:szCs w:val="32"/>
        </w:rPr>
        <w:t>由依法确定的评估公司按照相关规定评估设备净值，根据评估结果给予一次性补偿</w:t>
      </w:r>
      <w:r>
        <w:rPr>
          <w:rFonts w:hint="eastAsia" w:hAnsi="仿宋_GB2312" w:cs="仿宋_GB2312"/>
          <w:sz w:val="32"/>
          <w:szCs w:val="32"/>
          <w:lang w:eastAsia="zh-CN"/>
        </w:rPr>
        <w:t>。</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hAnsi="仿宋_GB2312" w:cs="仿宋_GB2312"/>
          <w:sz w:val="32"/>
          <w:szCs w:val="32"/>
          <w:lang w:eastAsia="zh-CN"/>
        </w:rPr>
      </w:pPr>
      <w:r>
        <w:rPr>
          <w:rFonts w:hint="eastAsia" w:hAnsi="仿宋_GB2312" w:cs="仿宋_GB2312"/>
          <w:sz w:val="32"/>
          <w:szCs w:val="32"/>
          <w:lang w:val="en-US" w:eastAsia="zh-CN"/>
        </w:rPr>
        <w:t>6.删除苗木、林木拆迁补偿指导价格，明确</w:t>
      </w:r>
      <w:r>
        <w:rPr>
          <w:rFonts w:hint="eastAsia" w:ascii="仿宋_GB2312" w:eastAsia="仿宋_GB2312"/>
          <w:bCs/>
          <w:sz w:val="32"/>
          <w:szCs w:val="32"/>
        </w:rPr>
        <w:t>由依法确定的评估公司依据《北京市森林资源</w:t>
      </w:r>
      <w:r>
        <w:rPr>
          <w:rFonts w:hint="eastAsia" w:ascii="仿宋_GB2312" w:hAnsi="仿宋_GB2312" w:eastAsia="仿宋_GB2312" w:cs="仿宋_GB2312"/>
          <w:sz w:val="32"/>
          <w:szCs w:val="32"/>
        </w:rPr>
        <w:t>保护管理条例》《北京市人民政府办公厅转发市园林绿化局市国土局关于遏止本市基础设施建设征地拆迁过程中抢栽抢种树木苗木行为意见的通知》</w:t>
      </w:r>
      <w:r>
        <w:rPr>
          <w:rFonts w:hint="eastAsia" w:ascii="仿宋_GB2312" w:eastAsia="仿宋_GB2312"/>
          <w:sz w:val="32"/>
          <w:szCs w:val="32"/>
        </w:rPr>
        <w:t>《</w:t>
      </w:r>
      <w:r>
        <w:rPr>
          <w:rFonts w:hint="eastAsia" w:ascii="仿宋_GB2312" w:eastAsia="仿宋_GB2312"/>
          <w:bCs/>
          <w:sz w:val="32"/>
          <w:szCs w:val="32"/>
        </w:rPr>
        <w:t>北京市房屋重置成新价评估技术标准</w:t>
      </w:r>
      <w:bookmarkStart w:id="0" w:name="OLE_LINK37"/>
      <w:bookmarkStart w:id="1" w:name="OLE_LINK36"/>
      <w:r>
        <w:rPr>
          <w:rFonts w:hint="eastAsia" w:ascii="仿宋_GB2312" w:eastAsia="仿宋_GB2312"/>
          <w:bCs/>
          <w:sz w:val="32"/>
          <w:szCs w:val="32"/>
        </w:rPr>
        <w:t>》</w:t>
      </w:r>
      <w:r>
        <w:rPr>
          <w:rFonts w:hint="eastAsia" w:ascii="仿宋_GB2312" w:hAnsi="仿宋_GB2312" w:eastAsia="仿宋_GB2312" w:cs="仿宋_GB2312"/>
          <w:sz w:val="32"/>
          <w:szCs w:val="32"/>
        </w:rPr>
        <w:t>《北京市绿化造林、育苗适宜栽植密度表》</w:t>
      </w:r>
      <w:bookmarkEnd w:id="0"/>
      <w:bookmarkEnd w:id="1"/>
      <w:r>
        <w:rPr>
          <w:rFonts w:hint="eastAsia" w:ascii="仿宋_GB2312" w:eastAsia="仿宋_GB2312"/>
          <w:bCs/>
          <w:sz w:val="32"/>
          <w:szCs w:val="32"/>
        </w:rPr>
        <w:t>等相关规定评估确定</w:t>
      </w:r>
      <w:r>
        <w:rPr>
          <w:rFonts w:hint="eastAsia" w:ascii="仿宋_GB2312" w:hAnsi="仿宋_GB2312" w:eastAsia="仿宋_GB2312" w:cs="仿宋_GB2312"/>
          <w:sz w:val="32"/>
          <w:szCs w:val="32"/>
        </w:rPr>
        <w:t>。项目公告发布后新栽植树木一律不予补偿</w:t>
      </w:r>
      <w:r>
        <w:rPr>
          <w:rFonts w:hint="eastAsia" w:hAnsi="仿宋_GB2312" w:cs="仿宋_GB2312"/>
          <w:sz w:val="32"/>
          <w:szCs w:val="32"/>
          <w:lang w:eastAsia="zh-CN"/>
        </w:rPr>
        <w:t>。</w:t>
      </w:r>
    </w:p>
    <w:p>
      <w:pPr>
        <w:pStyle w:val="13"/>
        <w:keepNext w:val="0"/>
        <w:keepLines w:val="0"/>
        <w:pageBreakBefore w:val="0"/>
        <w:kinsoku/>
        <w:wordWrap/>
        <w:overflowPunct/>
        <w:topLinePunct w:val="0"/>
        <w:autoSpaceDE/>
        <w:autoSpaceDN/>
        <w:bidi w:val="0"/>
        <w:adjustRightInd/>
        <w:spacing w:line="560" w:lineRule="exact"/>
        <w:textAlignment w:val="auto"/>
        <w:rPr>
          <w:rFonts w:hint="default" w:hAnsi="仿宋_GB2312" w:cs="仿宋_GB2312"/>
          <w:sz w:val="32"/>
          <w:szCs w:val="32"/>
          <w:lang w:val="en-US" w:eastAsia="zh-CN"/>
        </w:rPr>
      </w:pPr>
      <w:r>
        <w:rPr>
          <w:rFonts w:hint="eastAsia" w:hAnsi="仿宋_GB2312" w:cs="仿宋_GB2312"/>
          <w:sz w:val="32"/>
          <w:szCs w:val="32"/>
          <w:lang w:val="en-US" w:eastAsia="zh-CN"/>
        </w:rPr>
        <w:t>7.增加设施迁建、植被恢复费及临时使用林地恢复事项规定。</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hAnsi="仿宋_GB2312" w:cs="仿宋_GB2312"/>
          <w:sz w:val="32"/>
          <w:szCs w:val="32"/>
          <w:lang w:eastAsia="zh-CN"/>
        </w:rPr>
      </w:pPr>
    </w:p>
    <w:p>
      <w:pPr>
        <w:pStyle w:val="13"/>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rPr>
      </w:pPr>
    </w:p>
    <w:p>
      <w:pPr>
        <w:pStyle w:val="13"/>
        <w:ind w:left="0" w:leftChars="0" w:firstLine="0" w:firstLineChars="0"/>
        <w:rPr>
          <w:rFonts w:hint="eastAsia" w:hAnsi="仿宋_GB2312" w:cs="仿宋_GB2312"/>
          <w:sz w:val="32"/>
          <w:szCs w:val="32"/>
          <w:lang w:val="en-US" w:eastAsia="zh-CN"/>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6DE40"/>
    <w:multiLevelType w:val="singleLevel"/>
    <w:tmpl w:val="77F6DE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89"/>
    <w:rsid w:val="00045D4A"/>
    <w:rsid w:val="000F4505"/>
    <w:rsid w:val="00116DA5"/>
    <w:rsid w:val="001407EE"/>
    <w:rsid w:val="00153FBB"/>
    <w:rsid w:val="00157E1A"/>
    <w:rsid w:val="0016090B"/>
    <w:rsid w:val="001E4518"/>
    <w:rsid w:val="00464B1B"/>
    <w:rsid w:val="00473ED7"/>
    <w:rsid w:val="005E1ABE"/>
    <w:rsid w:val="005F025D"/>
    <w:rsid w:val="00742D89"/>
    <w:rsid w:val="007D23A7"/>
    <w:rsid w:val="00801B5D"/>
    <w:rsid w:val="00870009"/>
    <w:rsid w:val="00940066"/>
    <w:rsid w:val="0096769C"/>
    <w:rsid w:val="00A63A2E"/>
    <w:rsid w:val="00C22A1F"/>
    <w:rsid w:val="00D66920"/>
    <w:rsid w:val="00D75BEF"/>
    <w:rsid w:val="00DF762F"/>
    <w:rsid w:val="00E347E0"/>
    <w:rsid w:val="04D833D9"/>
    <w:rsid w:val="0E2005F7"/>
    <w:rsid w:val="2D3D4ACF"/>
    <w:rsid w:val="366145AE"/>
    <w:rsid w:val="3AFFA3E0"/>
    <w:rsid w:val="49FA0F0E"/>
    <w:rsid w:val="4F903891"/>
    <w:rsid w:val="5FF7725A"/>
    <w:rsid w:val="66540B05"/>
    <w:rsid w:val="66FFF3E1"/>
    <w:rsid w:val="77DA1086"/>
    <w:rsid w:val="77F3EAC1"/>
    <w:rsid w:val="7B7D92DA"/>
    <w:rsid w:val="AEFF5A08"/>
    <w:rsid w:val="BBDF2524"/>
    <w:rsid w:val="FFDFF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2"/>
    <w:qFormat/>
    <w:uiPriority w:val="0"/>
    <w:pPr>
      <w:jc w:val="center"/>
    </w:pPr>
    <w:rPr>
      <w:kern w:val="0"/>
      <w:sz w:val="24"/>
    </w:rPr>
  </w:style>
  <w:style w:type="paragraph" w:styleId="4">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页眉 Char"/>
    <w:basedOn w:val="8"/>
    <w:link w:val="6"/>
    <w:qFormat/>
    <w:uiPriority w:val="99"/>
    <w:rPr>
      <w:rFonts w:ascii="Times New Roman" w:hAnsi="Times New Roman" w:eastAsia="仿宋_GB2312" w:cs="Times New Roman"/>
      <w:sz w:val="18"/>
      <w:szCs w:val="18"/>
    </w:rPr>
  </w:style>
  <w:style w:type="character" w:customStyle="1" w:styleId="11">
    <w:name w:val="页脚 Char"/>
    <w:basedOn w:val="8"/>
    <w:link w:val="5"/>
    <w:qFormat/>
    <w:uiPriority w:val="99"/>
    <w:rPr>
      <w:rFonts w:ascii="Times New Roman" w:hAnsi="Times New Roman" w:eastAsia="仿宋_GB2312" w:cs="Times New Roman"/>
      <w:sz w:val="18"/>
      <w:szCs w:val="18"/>
    </w:rPr>
  </w:style>
  <w:style w:type="paragraph" w:styleId="12">
    <w:name w:val="List Paragraph"/>
    <w:basedOn w:val="1"/>
    <w:qFormat/>
    <w:uiPriority w:val="34"/>
    <w:pPr>
      <w:ind w:firstLine="420" w:firstLineChars="200"/>
    </w:pPr>
  </w:style>
  <w:style w:type="paragraph" w:customStyle="1" w:styleId="13">
    <w:name w:val="段落"/>
    <w:basedOn w:val="1"/>
    <w:qFormat/>
    <w:uiPriority w:val="99"/>
    <w:pPr>
      <w:spacing w:line="560" w:lineRule="exact"/>
      <w:ind w:firstLine="640" w:firstLineChars="200"/>
    </w:pPr>
    <w:rPr>
      <w:rFonts w:ascii="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433</Words>
  <Characters>444</Characters>
  <Lines>7</Lines>
  <Paragraphs>2</Paragraphs>
  <TotalTime>1</TotalTime>
  <ScaleCrop>false</ScaleCrop>
  <LinksUpToDate>false</LinksUpToDate>
  <CharactersWithSpaces>444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2021-06-10T22:03:00Z</dcterms:created>
  <dc:creator>杨 永强</dc:creator>
  <cp:lastModifiedBy>Lenovo</cp:lastModifiedBy>
  <cp:lastPrinted>2025-08-20T02:29:00Z</cp:lastPrinted>
  <dcterms:modified xsi:type="dcterms:W3CDTF">2025-08-21T00:36:42Z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eyJoZGlkIjoiZDMyYWE0YWY5NTU5MWNhYzA0MWQ4MTIzMWZlYjllZTYiLCJ1c2VySWQiOiI5NzExNzAxMDAifQ==</vt:lpwstr>
  </property>
  <property fmtid="{D5CDD505-2E9C-101B-9397-08002B2CF9AE}" pid="4" name="ICV">
    <vt:lpwstr>C91C639D01364C51B684126D43DFE507</vt:lpwstr>
  </property>
</Properties>
</file>