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center" w:pos="4421"/>
          <w:tab w:val="right" w:pos="8843"/>
        </w:tabs>
        <w:spacing w:line="560" w:lineRule="exact"/>
        <w:ind w:left="0" w:firstLine="0"/>
        <w:jc w:val="center"/>
        <w:textAlignment w:val="auto"/>
        <w:outlineLvl w:val="0"/>
        <w:rPr>
          <w:rFonts w:hint="eastAsia" w:ascii="方正小标宋简体" w:hAnsi="方正小标宋简体" w:eastAsia="方正小标宋简体" w:cs="方正小标宋简体"/>
          <w:kern w:val="2"/>
          <w:sz w:val="44"/>
          <w:szCs w:val="44"/>
        </w:rPr>
      </w:pPr>
      <w:bookmarkStart w:id="0" w:name="_GoBack"/>
      <w:r>
        <w:rPr>
          <w:rFonts w:hint="eastAsia" w:ascii="方正小标宋简体" w:hAnsi="方正小标宋简体" w:eastAsia="方正小标宋简体" w:cs="方正小标宋简体"/>
          <w:kern w:val="2"/>
          <w:sz w:val="44"/>
          <w:szCs w:val="44"/>
        </w:rPr>
        <w:t>北京市通州区科技计划项目管理办法</w:t>
      </w:r>
    </w:p>
    <w:p>
      <w:pPr>
        <w:tabs>
          <w:tab w:val="center" w:pos="4421"/>
          <w:tab w:val="right" w:pos="8843"/>
        </w:tabs>
        <w:spacing w:line="560" w:lineRule="exact"/>
        <w:ind w:left="0" w:firstLine="0"/>
        <w:jc w:val="center"/>
        <w:textAlignment w:val="auto"/>
        <w:outlineLvl w:val="0"/>
        <w:rPr>
          <w:rFonts w:hint="default"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eastAsia="zh-CN"/>
        </w:rPr>
        <w:t>（</w:t>
      </w:r>
      <w:r>
        <w:rPr>
          <w:rFonts w:hint="eastAsia" w:ascii="方正小标宋简体" w:hAnsi="方正小标宋简体" w:eastAsia="方正小标宋简体" w:cs="方正小标宋简体"/>
          <w:kern w:val="2"/>
          <w:sz w:val="44"/>
          <w:szCs w:val="44"/>
          <w:lang w:val="en-US" w:eastAsia="zh-CN"/>
        </w:rPr>
        <w:t>征求意见稿）</w:t>
      </w:r>
    </w:p>
    <w:bookmarkEnd w:id="0"/>
    <w:p>
      <w:pPr>
        <w:spacing w:line="560" w:lineRule="exact"/>
        <w:ind w:left="0" w:firstLine="642" w:firstLineChars="200"/>
        <w:textAlignment w:val="auto"/>
        <w:rPr>
          <w:rFonts w:hint="eastAsia" w:ascii="黑体" w:hAnsi="黑体" w:eastAsia="黑体" w:cs="仿宋_GB2312"/>
          <w:b/>
          <w:bCs/>
          <w:kern w:val="2"/>
          <w:szCs w:val="32"/>
        </w:rPr>
      </w:pPr>
    </w:p>
    <w:p>
      <w:pPr>
        <w:spacing w:line="560" w:lineRule="exact"/>
        <w:ind w:left="0" w:firstLine="0"/>
        <w:jc w:val="center"/>
        <w:textAlignment w:val="auto"/>
        <w:rPr>
          <w:rFonts w:hint="eastAsia" w:ascii="黑体" w:hAnsi="黑体" w:eastAsia="黑体" w:cs="楷体_GB2312"/>
          <w:b w:val="0"/>
          <w:bCs w:val="0"/>
          <w:kern w:val="2"/>
          <w:szCs w:val="32"/>
        </w:rPr>
      </w:pPr>
      <w:r>
        <w:rPr>
          <w:rFonts w:hint="eastAsia" w:ascii="黑体" w:hAnsi="黑体" w:eastAsia="黑体" w:cs="仿宋_GB2312"/>
          <w:b w:val="0"/>
          <w:bCs w:val="0"/>
          <w:kern w:val="2"/>
          <w:szCs w:val="32"/>
        </w:rPr>
        <w:t>第一章  总则</w:t>
      </w:r>
    </w:p>
    <w:p>
      <w:pPr>
        <w:spacing w:line="560" w:lineRule="exact"/>
        <w:ind w:left="0" w:firstLine="642" w:firstLineChars="200"/>
        <w:textAlignment w:val="auto"/>
        <w:rPr>
          <w:rFonts w:hint="eastAsia" w:ascii="仿宋_GB2312" w:hAnsi="仿宋_GB2312" w:cs="仿宋_GB2312"/>
          <w:b/>
          <w:bCs/>
          <w:kern w:val="2"/>
          <w:szCs w:val="32"/>
        </w:rPr>
      </w:pPr>
    </w:p>
    <w:p>
      <w:pPr>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第一条</w:t>
      </w:r>
      <w:r>
        <w:rPr>
          <w:rFonts w:hint="eastAsia" w:ascii="仿宋_GB2312" w:hAnsi="仿宋_GB2312" w:cs="仿宋_GB2312"/>
          <w:kern w:val="2"/>
          <w:szCs w:val="32"/>
        </w:rPr>
        <w:t xml:space="preserve">  为优化科技资源配置，规范和加强北京市通州区科技计划项目（以下简称项目）管理，提高项目质量和管理效率，进一步激发科研人员的创新活力，根据国家及北京市科技计划项目管理有关规定，制定本办法。</w:t>
      </w:r>
    </w:p>
    <w:p>
      <w:pPr>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第二条</w:t>
      </w:r>
      <w:r>
        <w:rPr>
          <w:rFonts w:hint="eastAsia" w:ascii="仿宋_GB2312" w:hAnsi="仿宋_GB2312" w:cs="仿宋_GB2312"/>
          <w:kern w:val="2"/>
          <w:szCs w:val="32"/>
        </w:rPr>
        <w:t xml:space="preserve">  本办法适用于由北京市通州区科学技术委员会（以下简称区科委）立项支持的项目。</w:t>
      </w:r>
    </w:p>
    <w:p>
      <w:pPr>
        <w:spacing w:line="560" w:lineRule="exact"/>
        <w:ind w:left="0" w:firstLine="642" w:firstLineChars="200"/>
        <w:textAlignment w:val="auto"/>
        <w:rPr>
          <w:rFonts w:hint="eastAsia" w:ascii="仿宋_GB2312" w:hAnsi="仿宋_GB2312" w:cs="仿宋_GB2312"/>
          <w:b/>
          <w:bCs/>
          <w:kern w:val="2"/>
          <w:szCs w:val="32"/>
        </w:rPr>
      </w:pPr>
      <w:r>
        <w:rPr>
          <w:rFonts w:hint="eastAsia" w:ascii="仿宋_GB2312" w:hAnsi="仿宋_GB2312" w:cs="仿宋_GB2312"/>
          <w:b/>
          <w:bCs/>
          <w:kern w:val="2"/>
          <w:szCs w:val="32"/>
        </w:rPr>
        <w:t>第三条</w:t>
      </w:r>
      <w:r>
        <w:rPr>
          <w:rFonts w:hint="eastAsia" w:ascii="仿宋_GB2312" w:hAnsi="仿宋_GB2312" w:cs="仿宋_GB2312"/>
          <w:kern w:val="2"/>
          <w:szCs w:val="32"/>
        </w:rPr>
        <w:t xml:space="preserve">  本办法所指项目是指为服务国家创新驱动发展战略，实现通州区经济社会发展目标，由区科委支持开展的科学技术研究开发、成果转化应用等相关活动。</w:t>
      </w:r>
    </w:p>
    <w:p>
      <w:pPr>
        <w:spacing w:line="560" w:lineRule="exact"/>
        <w:ind w:left="0" w:firstLine="642" w:firstLineChars="200"/>
        <w:textAlignment w:val="auto"/>
        <w:rPr>
          <w:rFonts w:hint="eastAsia"/>
        </w:rPr>
      </w:pPr>
      <w:r>
        <w:rPr>
          <w:rFonts w:hint="eastAsia" w:ascii="仿宋_GB2312" w:hAnsi="仿宋_GB2312" w:cs="仿宋_GB2312"/>
          <w:b/>
          <w:bCs/>
          <w:kern w:val="2"/>
          <w:szCs w:val="32"/>
        </w:rPr>
        <w:t>第四条</w:t>
      </w:r>
      <w:r>
        <w:rPr>
          <w:rFonts w:hint="eastAsia" w:ascii="仿宋_GB2312" w:hAnsi="仿宋_GB2312" w:cs="仿宋_GB2312"/>
          <w:kern w:val="2"/>
          <w:szCs w:val="32"/>
        </w:rPr>
        <w:t xml:space="preserve">  项目管理遵循职责清晰、科学规范、公开透明、监</w:t>
      </w:r>
      <w:r>
        <w:rPr>
          <w:rFonts w:hint="eastAsia" w:ascii="仿宋_GB2312" w:hAnsi="仿宋_GB2312" w:cs="仿宋_GB2312"/>
          <w:spacing w:val="-8"/>
          <w:kern w:val="2"/>
          <w:szCs w:val="32"/>
        </w:rPr>
        <w:t>管有力的原则，以进一步优化科技资源配置，充分调动科研人员</w:t>
      </w:r>
      <w:r>
        <w:rPr>
          <w:rFonts w:hint="eastAsia" w:ascii="仿宋_GB2312" w:hAnsi="仿宋_GB2312" w:cs="仿宋_GB2312"/>
          <w:kern w:val="2"/>
          <w:szCs w:val="32"/>
        </w:rPr>
        <w:t>的积极性和创造性，形成充满活力的科技管理和运行机制。</w:t>
      </w:r>
    </w:p>
    <w:p>
      <w:pPr>
        <w:spacing w:line="560" w:lineRule="exact"/>
        <w:ind w:left="0" w:firstLine="0"/>
        <w:textAlignment w:val="auto"/>
        <w:rPr>
          <w:rFonts w:hint="eastAsia" w:ascii="黑体" w:hAnsi="黑体" w:eastAsia="黑体" w:cs="仿宋_GB2312"/>
          <w:b/>
          <w:bCs/>
          <w:kern w:val="2"/>
          <w:szCs w:val="32"/>
        </w:rPr>
      </w:pPr>
    </w:p>
    <w:p>
      <w:pPr>
        <w:spacing w:line="560" w:lineRule="exact"/>
        <w:ind w:left="0" w:firstLine="0"/>
        <w:jc w:val="center"/>
        <w:textAlignment w:val="auto"/>
        <w:rPr>
          <w:rFonts w:hint="eastAsia" w:ascii="黑体" w:hAnsi="黑体" w:eastAsia="黑体" w:cs="仿宋_GB2312"/>
          <w:b w:val="0"/>
          <w:bCs w:val="0"/>
          <w:kern w:val="2"/>
          <w:szCs w:val="32"/>
        </w:rPr>
      </w:pPr>
      <w:r>
        <w:rPr>
          <w:rFonts w:hint="eastAsia" w:ascii="黑体" w:hAnsi="黑体" w:eastAsia="黑体" w:cs="仿宋_GB2312"/>
          <w:b w:val="0"/>
          <w:bCs w:val="0"/>
          <w:kern w:val="2"/>
          <w:szCs w:val="32"/>
        </w:rPr>
        <w:t>第二章  责任主体与职责</w:t>
      </w:r>
    </w:p>
    <w:p>
      <w:pPr>
        <w:pStyle w:val="2"/>
        <w:spacing w:line="560" w:lineRule="exact"/>
        <w:ind w:left="0" w:firstLine="480"/>
      </w:pPr>
    </w:p>
    <w:p>
      <w:pPr>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第五条</w:t>
      </w:r>
      <w:r>
        <w:rPr>
          <w:rFonts w:hint="eastAsia" w:ascii="仿宋_GB2312" w:hAnsi="仿宋_GB2312" w:cs="仿宋_GB2312"/>
          <w:kern w:val="2"/>
          <w:szCs w:val="32"/>
        </w:rPr>
        <w:t xml:space="preserve">  区科委是项目的主管部门，主要职责包括：</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（一）制定项目管理制度并监督执行;</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（二）按照科技计划年度重点任务组织项目论证,审议、确定立项项目，签订项目任务书；</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（三）对实施中的项目进行指导、评估和监督检查,协调处理项目执行中的重大问题;</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（四）组织项目综合绩效评价;</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（五）负责项目相关责任主体的科技信用管理;</w:t>
      </w:r>
    </w:p>
    <w:p>
      <w:pPr>
        <w:spacing w:line="560" w:lineRule="exact"/>
        <w:ind w:left="0" w:firstLine="640" w:firstLineChars="200"/>
        <w:textAlignment w:val="auto"/>
        <w:rPr>
          <w:rFonts w:hint="eastAsia" w:ascii="仿宋_GB2312" w:hAnsi="仿宋_GB2312" w:cs="仿宋_GB2312"/>
          <w:kern w:val="2"/>
          <w:szCs w:val="32"/>
        </w:rPr>
      </w:pPr>
      <w:r>
        <w:t>（</w:t>
      </w:r>
      <w:r>
        <w:rPr>
          <w:rFonts w:hint="eastAsia"/>
        </w:rPr>
        <w:t>六</w:t>
      </w:r>
      <w:r>
        <w:t>）</w:t>
      </w:r>
      <w:r>
        <w:rPr>
          <w:rFonts w:hint="eastAsia" w:ascii="仿宋_GB2312" w:hAnsi="仿宋_GB2312" w:cs="仿宋_GB2312"/>
          <w:szCs w:val="32"/>
        </w:rPr>
        <w:t>受理项目立项、综合绩效评价申诉</w:t>
      </w:r>
      <w:r>
        <w:rPr>
          <w:rFonts w:hint="eastAsia" w:ascii="仿宋_GB2312" w:hAnsi="仿宋_GB2312" w:cs="仿宋_GB2312"/>
          <w:kern w:val="2"/>
          <w:szCs w:val="32"/>
        </w:rPr>
        <w:t>;</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（七）负责项目信息公开与档案管理工作;</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（八）推进项目管理数字化建设,提升管理服务的智能化水平。</w:t>
      </w:r>
    </w:p>
    <w:p>
      <w:pPr>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第六条</w:t>
      </w:r>
      <w:r>
        <w:rPr>
          <w:rFonts w:hint="eastAsia" w:ascii="仿宋_GB2312" w:hAnsi="仿宋_GB2312" w:cs="仿宋_GB2312"/>
          <w:kern w:val="2"/>
          <w:szCs w:val="32"/>
        </w:rPr>
        <w:t xml:space="preserve">  承担单位是具体实施项目的责任主体，主要职责包括：</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（一）开展项目可行性研究，提出项目实施方案,配合区科委完成项目实施方案及经费预算论证，与区科委签订项目任务书;</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（二）落实项目实施的配套条件和经费,建立稳定的研究团队，完善科研管理制度;</w:t>
      </w:r>
    </w:p>
    <w:p>
      <w:pPr>
        <w:adjustRightInd w:val="0"/>
        <w:snapToGrid w:val="0"/>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（三）负责项目实施，遵守项目管理的相关规定,规范使用项目科技经费，完成项目任务书规定的目标和任务;</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（四）</w:t>
      </w:r>
      <w:r>
        <w:rPr>
          <w:rFonts w:hint="eastAsia" w:ascii="仿宋_GB2312" w:hAnsi="仿宋_GB2312" w:cs="仿宋_GB2312"/>
          <w:szCs w:val="32"/>
        </w:rPr>
        <w:t>及时报告项目重大进展、提交综合绩效评价等材料,按程序报批调整、备案或终止的事项;</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（五）开展与项目相关的科技成果转化、合作交流、人才培养、科技宣传推广等工作;</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（六）多主体联合承担的项目,由项目第一承担单位负责组织、协调项目实施，并对项目负主要责任，项目其他参与单位须配合完成项目任务;</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（七）对所有提交材料的真实性和有效性负责;</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（八）</w:t>
      </w:r>
      <w:r>
        <w:rPr>
          <w:rFonts w:hint="eastAsia" w:ascii="仿宋_GB2312" w:hAnsi="仿宋_GB2312" w:cs="仿宋_GB2312"/>
          <w:szCs w:val="32"/>
        </w:rPr>
        <w:t>配合区科委完成项目相关的跟踪统计监测等工作</w:t>
      </w:r>
      <w:r>
        <w:rPr>
          <w:rFonts w:hint="eastAsia" w:ascii="仿宋_GB2312" w:hAnsi="仿宋_GB2312" w:cs="仿宋_GB2312"/>
          <w:kern w:val="2"/>
          <w:szCs w:val="32"/>
        </w:rPr>
        <w:t>。</w:t>
      </w:r>
    </w:p>
    <w:p>
      <w:pPr>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第七条</w:t>
      </w:r>
      <w:r>
        <w:rPr>
          <w:rFonts w:hint="eastAsia" w:ascii="仿宋_GB2312" w:hAnsi="仿宋_GB2312" w:cs="仿宋_GB2312"/>
          <w:kern w:val="2"/>
          <w:szCs w:val="32"/>
        </w:rPr>
        <w:t xml:space="preserve">  咨询专家主要职责包括：</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遵循独立、保密、回避原则，参与项目的可行性评估、立项方案论证、综合绩效评价等工作。</w:t>
      </w:r>
    </w:p>
    <w:p>
      <w:pPr>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第八条</w:t>
      </w:r>
      <w:r>
        <w:rPr>
          <w:rFonts w:hint="eastAsia" w:ascii="仿宋_GB2312" w:hAnsi="仿宋_GB2312" w:cs="仿宋_GB2312"/>
          <w:kern w:val="2"/>
          <w:szCs w:val="32"/>
        </w:rPr>
        <w:t xml:space="preserve">  承担单位及项目负责人应具备下列条件：</w:t>
      </w:r>
    </w:p>
    <w:p>
      <w:pPr>
        <w:spacing w:line="560" w:lineRule="exact"/>
        <w:ind w:left="0" w:firstLine="640" w:firstLineChars="200"/>
        <w:textAlignment w:val="auto"/>
        <w:rPr>
          <w:rFonts w:ascii="仿宋_GB2312" w:hAnsi="仿宋_GB2312" w:cs="仿宋_GB2312"/>
          <w:kern w:val="2"/>
          <w:szCs w:val="32"/>
        </w:rPr>
      </w:pPr>
      <w:r>
        <w:rPr>
          <w:rFonts w:hint="eastAsia" w:ascii="仿宋_GB2312" w:hAnsi="仿宋_GB2312" w:cs="仿宋_GB2312"/>
          <w:kern w:val="2"/>
          <w:szCs w:val="32"/>
        </w:rPr>
        <w:t>（一）承担单位应具有开展科研及相关工作的基础条件</w:t>
      </w:r>
      <w:r>
        <w:rPr>
          <w:rFonts w:hint="eastAsia" w:ascii="仿宋_GB2312" w:hAnsi="仿宋_GB2312" w:cs="仿宋_GB2312"/>
          <w:kern w:val="2"/>
          <w:szCs w:val="32"/>
          <w:lang w:eastAsia="zh-CN"/>
        </w:rPr>
        <w:t>，</w:t>
      </w:r>
      <w:r>
        <w:rPr>
          <w:rFonts w:hint="eastAsia" w:ascii="仿宋_GB2312" w:hAnsi="仿宋_GB2312" w:cs="仿宋_GB2312"/>
          <w:kern w:val="2"/>
          <w:szCs w:val="32"/>
        </w:rPr>
        <w:t>具有项目实施的基础条件和保障能力,具备健全的项目管理、财务管理、科研人员管理、科技成果与知识产权管理、档案管理制度，拥有专业研究团队和科研管理团队，符合区科委的科技信用管理要求;</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w:t>
      </w:r>
      <w:r>
        <w:rPr>
          <w:rFonts w:hint="eastAsia" w:ascii="仿宋_GB2312" w:hAnsi="仿宋_GB2312" w:cs="仿宋_GB2312"/>
          <w:kern w:val="2"/>
          <w:szCs w:val="32"/>
          <w:lang w:val="en-US" w:eastAsia="zh-CN"/>
        </w:rPr>
        <w:t>二</w:t>
      </w:r>
      <w:r>
        <w:rPr>
          <w:rFonts w:hint="eastAsia" w:ascii="仿宋_GB2312" w:hAnsi="仿宋_GB2312" w:cs="仿宋_GB2312"/>
          <w:kern w:val="2"/>
          <w:szCs w:val="32"/>
        </w:rPr>
        <w:t>）项目负责人应具有较强的项目组织管理和协调能力,身体健康并能履行职责，符合区科委对负责人的科技信用管理要求。多主体联合承担的项目，项目负责人原则上由第一承担单位人员担任，负责组织、协调项目实施，并对项目负主要责任。</w:t>
      </w:r>
    </w:p>
    <w:p>
      <w:pPr>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第九条</w:t>
      </w:r>
      <w:r>
        <w:rPr>
          <w:rFonts w:hint="eastAsia" w:ascii="仿宋_GB2312" w:hAnsi="仿宋_GB2312" w:cs="仿宋_GB2312"/>
          <w:kern w:val="2"/>
          <w:szCs w:val="32"/>
        </w:rPr>
        <w:t xml:space="preserve">  咨询专家应具备下列条件：</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（一）具有良好的科学道德和职业道德、严谨的工作作风,能够客观、公正、实事求是地提出咨询意见;</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二）科技专家应从事与所咨询项目相关的专业研究,具有高级技术职称或相当资格，熟悉相关领域的科技、经济发展状况，了解科技活动的特点与规律，经验丰富，在本领域或行业内具有较高的水平；财务专家应从事财务相关领域工作，并具有中级或中级以上专业技术职称或同等专业水平。</w:t>
      </w:r>
    </w:p>
    <w:p>
      <w:pPr>
        <w:spacing w:line="560" w:lineRule="exact"/>
        <w:ind w:left="0" w:firstLine="200"/>
        <w:textAlignment w:val="auto"/>
        <w:rPr>
          <w:rFonts w:hint="eastAsia" w:ascii="黑体" w:hAnsi="黑体" w:eastAsia="黑体" w:cs="仿宋_GB2312"/>
          <w:b/>
          <w:bCs/>
          <w:kern w:val="2"/>
          <w:szCs w:val="32"/>
        </w:rPr>
      </w:pPr>
    </w:p>
    <w:p>
      <w:pPr>
        <w:spacing w:line="560" w:lineRule="exact"/>
        <w:ind w:left="0" w:firstLine="0"/>
        <w:jc w:val="center"/>
        <w:textAlignment w:val="auto"/>
        <w:rPr>
          <w:rFonts w:hint="eastAsia" w:ascii="黑体" w:hAnsi="黑体" w:eastAsia="黑体" w:cs="楷体_GB2312"/>
          <w:kern w:val="2"/>
          <w:szCs w:val="32"/>
        </w:rPr>
      </w:pPr>
      <w:r>
        <w:rPr>
          <w:rFonts w:hint="eastAsia" w:ascii="黑体" w:hAnsi="黑体" w:eastAsia="黑体" w:cs="仿宋_GB2312"/>
          <w:b w:val="0"/>
          <w:bCs w:val="0"/>
          <w:kern w:val="2"/>
          <w:szCs w:val="32"/>
        </w:rPr>
        <w:t>第三章  申报与立项管理</w:t>
      </w:r>
    </w:p>
    <w:p>
      <w:pPr>
        <w:spacing w:line="560" w:lineRule="exact"/>
        <w:ind w:left="0" w:firstLine="642" w:firstLineChars="200"/>
        <w:textAlignment w:val="auto"/>
        <w:rPr>
          <w:rFonts w:hint="eastAsia" w:ascii="仿宋_GB2312" w:hAnsi="仿宋_GB2312" w:cs="仿宋_GB2312"/>
          <w:b/>
          <w:bCs/>
          <w:kern w:val="2"/>
          <w:szCs w:val="32"/>
        </w:rPr>
      </w:pPr>
    </w:p>
    <w:p>
      <w:pPr>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第十条</w:t>
      </w:r>
      <w:r>
        <w:rPr>
          <w:rFonts w:hint="eastAsia" w:ascii="仿宋_GB2312" w:hAnsi="仿宋_GB2312" w:cs="仿宋_GB2312"/>
          <w:kern w:val="2"/>
          <w:szCs w:val="32"/>
        </w:rPr>
        <w:t xml:space="preserve">  项目的立项程序包括项目审核、行政决策、项目预算评审与实施方案“二合一”论证（以下简称“二合一”论证）、项目任务书签订等环节。</w:t>
      </w:r>
    </w:p>
    <w:p>
      <w:pPr>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第十一条</w:t>
      </w:r>
      <w:r>
        <w:rPr>
          <w:rFonts w:hint="eastAsia" w:ascii="仿宋_GB2312" w:hAnsi="仿宋_GB2312" w:cs="仿宋_GB2312"/>
          <w:kern w:val="2"/>
          <w:szCs w:val="32"/>
        </w:rPr>
        <w:t xml:space="preserve">  </w:t>
      </w:r>
      <w:r>
        <w:rPr>
          <w:rFonts w:hint="eastAsia" w:ascii="仿宋_GB2312" w:hAnsi="仿宋_GB2312" w:cs="仿宋_GB2312"/>
          <w:szCs w:val="32"/>
        </w:rPr>
        <w:t>项目应围绕经济社会发展需求，强化自上而下主动布局与自下而上自主申报相结合，综合运用公开征集、定向组织等多种</w:t>
      </w:r>
      <w:r>
        <w:rPr>
          <w:rFonts w:hint="eastAsia" w:ascii="仿宋_GB2312" w:hAnsi="仿宋_GB2312" w:cs="仿宋_GB2312"/>
          <w:kern w:val="2"/>
          <w:szCs w:val="32"/>
        </w:rPr>
        <w:t>方式遴选。</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（一）</w:t>
      </w:r>
      <w:r>
        <w:rPr>
          <w:rFonts w:hint="eastAsia" w:ascii="仿宋_GB2312" w:hAnsi="仿宋_GB2312" w:cs="仿宋_GB2312"/>
          <w:spacing w:val="1"/>
          <w:w w:val="97"/>
          <w:kern w:val="0"/>
          <w:szCs w:val="32"/>
          <w:fitText w:val="7200" w:id="-1242283520"/>
        </w:rPr>
        <w:t>公开征集是指围绕国家和北京市关于加强国际科技</w:t>
      </w:r>
      <w:r>
        <w:rPr>
          <w:rFonts w:hint="eastAsia" w:ascii="仿宋_GB2312" w:hAnsi="仿宋_GB2312" w:cs="仿宋_GB2312"/>
          <w:spacing w:val="27"/>
          <w:w w:val="97"/>
          <w:kern w:val="0"/>
          <w:szCs w:val="32"/>
          <w:fitText w:val="7200" w:id="-1242283520"/>
        </w:rPr>
        <w:t>创</w:t>
      </w:r>
      <w:r>
        <w:rPr>
          <w:rFonts w:hint="eastAsia" w:ascii="仿宋_GB2312" w:hAnsi="仿宋_GB2312" w:cs="仿宋_GB2312"/>
          <w:kern w:val="2"/>
          <w:szCs w:val="32"/>
        </w:rPr>
        <w:t>新中心建设的部署要求、规划计划和实施方案，以服务北京城市副中心高质量发展为目标，根据通州区科技创新和产业高质量发展工作要求，以推进技术创新和科技成果转化、提升城市品质和促进民生服务保障为目的，面向社会进行公开征集;</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（二）定向组织是指围绕通州区委、区政府中心工作,凝练服务通州区经济社会发展的重大科技任务，形成重点领域专项工作，通过定向择优、揭榜挂帅等方式，确定项目承担单位。</w:t>
      </w:r>
    </w:p>
    <w:p>
      <w:pPr>
        <w:spacing w:line="560" w:lineRule="exact"/>
        <w:ind w:left="0" w:firstLine="738" w:firstLineChars="230"/>
        <w:textAlignment w:val="auto"/>
        <w:rPr>
          <w:rFonts w:hint="eastAsia" w:ascii="仿宋_GB2312" w:hAnsi="仿宋_GB2312" w:cs="仿宋_GB2312"/>
          <w:kern w:val="2"/>
          <w:szCs w:val="32"/>
        </w:rPr>
      </w:pPr>
      <w:r>
        <w:rPr>
          <w:rFonts w:hint="eastAsia" w:ascii="仿宋_GB2312" w:hAnsi="仿宋_GB2312" w:cs="仿宋_GB2312"/>
          <w:b/>
          <w:bCs/>
          <w:kern w:val="2"/>
          <w:szCs w:val="32"/>
        </w:rPr>
        <w:t>第十二条</w:t>
      </w:r>
      <w:r>
        <w:rPr>
          <w:rFonts w:hint="eastAsia" w:ascii="仿宋_GB2312" w:hAnsi="仿宋_GB2312" w:cs="仿宋_GB2312"/>
          <w:kern w:val="2"/>
          <w:szCs w:val="32"/>
        </w:rPr>
        <w:t xml:space="preserve">  项目申报单位编制《项目实施方案》报区科委审核。</w:t>
      </w:r>
      <w:r>
        <w:rPr>
          <w:rFonts w:hint="eastAsia" w:ascii="仿宋_GB2312" w:hAnsi="仿宋_GB2312" w:cs="仿宋_GB2312"/>
          <w:szCs w:val="32"/>
        </w:rPr>
        <w:t>通过审核的项目，经区科委行政决策后进入“二合一”论证环节。以公开征集方式组织的项目，应进行拟立项公示，公示期为</w:t>
      </w:r>
      <w:r>
        <w:rPr>
          <w:rFonts w:hint="eastAsia"/>
          <w:kern w:val="2"/>
          <w:szCs w:val="32"/>
        </w:rPr>
        <w:t>5</w:t>
      </w:r>
      <w:r>
        <w:rPr>
          <w:rFonts w:hint="eastAsia" w:ascii="仿宋_GB2312" w:hAnsi="仿宋_GB2312" w:cs="仿宋_GB2312"/>
          <w:szCs w:val="32"/>
        </w:rPr>
        <w:t>个工作日。</w:t>
      </w:r>
    </w:p>
    <w:p>
      <w:pPr>
        <w:tabs>
          <w:tab w:val="left" w:pos="1890"/>
        </w:tabs>
        <w:adjustRightInd w:val="0"/>
        <w:snapToGrid w:val="0"/>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 xml:space="preserve">第十三条  </w:t>
      </w:r>
      <w:r>
        <w:rPr>
          <w:rFonts w:hint="eastAsia" w:ascii="仿宋_GB2312" w:hAnsi="仿宋_GB2312" w:cs="仿宋_GB2312"/>
          <w:kern w:val="2"/>
          <w:szCs w:val="32"/>
        </w:rPr>
        <w:t>区科委按照“目标相关性、技术创新性、路线可行性、政策相符性、经费合理性”等原则，采取通讯、会议等形式组织专家开展“二合一”论证。按照业务相关性及回避原则，组建涵盖科技、财务等方面专家组成的专家组，专家组原则上由</w:t>
      </w:r>
      <w:r>
        <w:rPr>
          <w:kern w:val="2"/>
          <w:szCs w:val="32"/>
        </w:rPr>
        <w:t>5</w:t>
      </w:r>
      <w:r>
        <w:rPr>
          <w:rFonts w:hint="eastAsia" w:ascii="仿宋_GB2312" w:hAnsi="仿宋_GB2312" w:cs="仿宋_GB2312"/>
          <w:kern w:val="2"/>
          <w:szCs w:val="32"/>
        </w:rPr>
        <w:t>人以上（含</w:t>
      </w:r>
      <w:r>
        <w:rPr>
          <w:rFonts w:hint="eastAsia"/>
          <w:kern w:val="2"/>
          <w:szCs w:val="32"/>
        </w:rPr>
        <w:t>5</w:t>
      </w:r>
      <w:r>
        <w:rPr>
          <w:rFonts w:hint="eastAsia" w:ascii="仿宋_GB2312" w:hAnsi="仿宋_GB2312" w:cs="仿宋_GB2312"/>
          <w:kern w:val="2"/>
          <w:szCs w:val="32"/>
        </w:rPr>
        <w:t>人）单数组成，其中财务专家不少于</w:t>
      </w:r>
      <w:r>
        <w:rPr>
          <w:rFonts w:hint="eastAsia"/>
          <w:kern w:val="2"/>
          <w:szCs w:val="32"/>
        </w:rPr>
        <w:t>1</w:t>
      </w:r>
      <w:r>
        <w:rPr>
          <w:rFonts w:hint="eastAsia" w:ascii="仿宋_GB2312" w:hAnsi="仿宋_GB2312" w:cs="仿宋_GB2312"/>
          <w:kern w:val="2"/>
          <w:szCs w:val="32"/>
        </w:rPr>
        <w:t>名且不超过总人数的</w:t>
      </w:r>
      <w:r>
        <w:rPr>
          <w:rFonts w:hint="eastAsia"/>
          <w:kern w:val="2"/>
          <w:szCs w:val="32"/>
        </w:rPr>
        <w:t>30%</w:t>
      </w:r>
      <w:r>
        <w:rPr>
          <w:rFonts w:hint="eastAsia" w:ascii="仿宋_GB2312" w:hAnsi="仿宋_GB2312" w:cs="仿宋_GB2312"/>
          <w:kern w:val="2"/>
          <w:szCs w:val="32"/>
        </w:rPr>
        <w:t>。</w:t>
      </w:r>
    </w:p>
    <w:p>
      <w:pPr>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第十四条</w:t>
      </w:r>
      <w:r>
        <w:rPr>
          <w:rFonts w:hint="eastAsia" w:ascii="仿宋_GB2312" w:hAnsi="仿宋_GB2312" w:cs="仿宋_GB2312"/>
          <w:kern w:val="2"/>
          <w:szCs w:val="32"/>
        </w:rPr>
        <w:t xml:space="preserve">  </w:t>
      </w:r>
      <w:r>
        <w:rPr>
          <w:rFonts w:hint="eastAsia" w:ascii="仿宋_GB2312" w:hAnsi="仿宋_GB2312" w:cs="仿宋_GB2312"/>
          <w:szCs w:val="32"/>
        </w:rPr>
        <w:t>通过“二合一”论证的申报单位与区科委签订任务书。涉及科技伦理等风险的项目应写明科技伦理风险及防控应对措施。</w:t>
      </w:r>
    </w:p>
    <w:p>
      <w:pPr>
        <w:spacing w:line="560" w:lineRule="exact"/>
        <w:ind w:left="0" w:firstLine="642" w:firstLineChars="200"/>
        <w:textAlignment w:val="auto"/>
        <w:rPr>
          <w:rFonts w:hint="eastAsia" w:ascii="仿宋_GB2312" w:hAnsi="仿宋_GB2312" w:cs="仿宋_GB2312"/>
          <w:szCs w:val="32"/>
        </w:rPr>
      </w:pPr>
      <w:r>
        <w:rPr>
          <w:rFonts w:hint="eastAsia" w:ascii="仿宋_GB2312" w:hAnsi="仿宋_GB2312" w:cs="仿宋_GB2312"/>
          <w:b/>
          <w:bCs/>
          <w:kern w:val="2"/>
          <w:szCs w:val="32"/>
        </w:rPr>
        <w:t>第十五条</w:t>
      </w:r>
      <w:r>
        <w:rPr>
          <w:rFonts w:hint="eastAsia" w:ascii="仿宋_GB2312" w:hAnsi="仿宋_GB2312" w:cs="仿宋_GB2312"/>
          <w:kern w:val="2"/>
          <w:szCs w:val="32"/>
        </w:rPr>
        <w:t xml:space="preserve">  </w:t>
      </w:r>
      <w:r>
        <w:rPr>
          <w:rFonts w:hint="eastAsia" w:ascii="仿宋_GB2312" w:hAnsi="仿宋_GB2312" w:cs="仿宋_GB2312"/>
          <w:szCs w:val="32"/>
        </w:rPr>
        <w:t>申报单位对拟立项公示有异议的，可在公示期内向区科委提出申诉。具有下列情形之一的，申诉申请不予受理：</w:t>
      </w:r>
    </w:p>
    <w:p>
      <w:pPr>
        <w:spacing w:line="56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（一）非项目申报单位或申报人提出申诉申请的;</w:t>
      </w:r>
    </w:p>
    <w:p>
      <w:pPr>
        <w:spacing w:line="56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（二）提交申诉申请的时间超过规定截止日期的;</w:t>
      </w:r>
    </w:p>
    <w:p>
      <w:pPr>
        <w:spacing w:line="56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（三）申诉申请内容或者手续不全的;</w:t>
      </w:r>
    </w:p>
    <w:p>
      <w:pPr>
        <w:spacing w:line="56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（四）对评审专家的评审意见等学术判断有不同意见的。</w:t>
      </w:r>
    </w:p>
    <w:p>
      <w:pPr>
        <w:spacing w:line="560" w:lineRule="exact"/>
        <w:ind w:left="0" w:firstLine="640" w:firstLineChars="200"/>
        <w:textAlignment w:val="auto"/>
        <w:rPr>
          <w:rFonts w:hint="eastAsia"/>
        </w:rPr>
      </w:pPr>
      <w:r>
        <w:rPr>
          <w:rFonts w:hint="eastAsia" w:ascii="仿宋_GB2312" w:hAnsi="仿宋_GB2312" w:cs="仿宋_GB2312"/>
          <w:szCs w:val="32"/>
        </w:rPr>
        <w:t>区科委受理申诉并开展调查，自受理之日起</w:t>
      </w:r>
      <w:r>
        <w:rPr>
          <w:rFonts w:hint="eastAsia"/>
          <w:kern w:val="2"/>
          <w:szCs w:val="32"/>
        </w:rPr>
        <w:t>15</w:t>
      </w:r>
      <w:r>
        <w:rPr>
          <w:rFonts w:hint="eastAsia" w:ascii="仿宋_GB2312" w:hAnsi="仿宋_GB2312" w:cs="仿宋_GB2312"/>
          <w:szCs w:val="32"/>
        </w:rPr>
        <w:t>个工作日内向申诉者反馈处理意见。</w:t>
      </w:r>
    </w:p>
    <w:p>
      <w:pPr>
        <w:spacing w:before="120" w:beforeLines="50" w:after="120" w:afterLines="50" w:line="560" w:lineRule="exact"/>
        <w:ind w:left="0" w:firstLine="0"/>
        <w:jc w:val="center"/>
        <w:textAlignment w:val="auto"/>
        <w:outlineLvl w:val="0"/>
        <w:rPr>
          <w:rFonts w:hint="eastAsia" w:ascii="黑体" w:hAnsi="黑体" w:eastAsia="黑体" w:cs="楷体_GB2312"/>
          <w:b w:val="0"/>
          <w:bCs w:val="0"/>
          <w:kern w:val="2"/>
          <w:szCs w:val="32"/>
        </w:rPr>
      </w:pPr>
      <w:r>
        <w:rPr>
          <w:rFonts w:hint="eastAsia" w:ascii="黑体" w:hAnsi="黑体" w:eastAsia="黑体" w:cs="仿宋_GB2312"/>
          <w:b w:val="0"/>
          <w:bCs w:val="0"/>
          <w:kern w:val="2"/>
          <w:szCs w:val="32"/>
        </w:rPr>
        <w:t>第四章  实施管理</w:t>
      </w:r>
    </w:p>
    <w:p>
      <w:pPr>
        <w:pStyle w:val="10"/>
        <w:spacing w:line="560" w:lineRule="exact"/>
        <w:ind w:left="0" w:firstLine="642" w:firstLineChars="200"/>
        <w:rPr>
          <w:rFonts w:hint="eastAsia" w:ascii="仿宋_GB2312" w:hAnsi="仿宋_GB2312" w:cs="仿宋_GB2312"/>
          <w:b/>
          <w:bCs/>
          <w:kern w:val="2"/>
          <w:szCs w:val="32"/>
        </w:rPr>
      </w:pPr>
    </w:p>
    <w:p>
      <w:pPr>
        <w:pStyle w:val="10"/>
        <w:spacing w:line="560" w:lineRule="exact"/>
        <w:ind w:left="0" w:firstLine="642" w:firstLineChars="200"/>
        <w:rPr>
          <w:rFonts w:hint="eastAsia" w:ascii="仿宋_GB2312" w:hAnsi="仿宋_GB2312" w:cs="仿宋_GB2312"/>
          <w:szCs w:val="32"/>
        </w:rPr>
      </w:pPr>
      <w:r>
        <w:rPr>
          <w:rFonts w:hint="eastAsia" w:ascii="仿宋_GB2312" w:hAnsi="仿宋_GB2312" w:cs="仿宋_GB2312"/>
          <w:b/>
          <w:bCs/>
          <w:kern w:val="2"/>
          <w:szCs w:val="32"/>
        </w:rPr>
        <w:t>第十六条</w:t>
      </w:r>
      <w:r>
        <w:rPr>
          <w:rFonts w:hint="eastAsia" w:ascii="仿宋_GB2312" w:hAnsi="仿宋_GB2312" w:cs="仿宋_GB2312"/>
          <w:kern w:val="2"/>
          <w:szCs w:val="32"/>
        </w:rPr>
        <w:t xml:space="preserve">  </w:t>
      </w:r>
      <w:r>
        <w:rPr>
          <w:rFonts w:hint="eastAsia" w:ascii="仿宋_GB2312" w:hAnsi="仿宋_GB2312" w:cs="仿宋_GB2312"/>
          <w:szCs w:val="32"/>
        </w:rPr>
        <w:t>承担单位应当根据任务书确定的目标任务和分工安排，履行责任和义务，按进度高质量完成相关任务。区科委对实施周期</w:t>
      </w:r>
      <w:r>
        <w:rPr>
          <w:rFonts w:hint="eastAsia" w:ascii="Times New Roman" w:hAnsi="Times New Roman"/>
          <w:kern w:val="2"/>
          <w:szCs w:val="32"/>
        </w:rPr>
        <w:t>1</w:t>
      </w:r>
      <w:r>
        <w:rPr>
          <w:rFonts w:hint="eastAsia" w:ascii="仿宋_GB2312" w:hAnsi="仿宋_GB2312" w:cs="仿宋_GB2312"/>
          <w:szCs w:val="32"/>
        </w:rPr>
        <w:t>年（含）以内的项目原则上不开展过程检查，对实施周期</w:t>
      </w:r>
      <w:r>
        <w:rPr>
          <w:rFonts w:ascii="Times New Roman" w:hAnsi="Times New Roman"/>
          <w:szCs w:val="32"/>
        </w:rPr>
        <w:t>1</w:t>
      </w:r>
      <w:r>
        <w:rPr>
          <w:rFonts w:hint="eastAsia" w:ascii="仿宋_GB2312" w:hAnsi="仿宋_GB2312" w:cs="仿宋_GB2312"/>
          <w:szCs w:val="32"/>
        </w:rPr>
        <w:t>年以上的项目应开展过程检查。</w:t>
      </w:r>
    </w:p>
    <w:p>
      <w:pPr>
        <w:pStyle w:val="10"/>
        <w:spacing w:line="560" w:lineRule="exact"/>
        <w:ind w:left="0" w:firstLine="642" w:firstLineChars="200"/>
        <w:rPr>
          <w:rFonts w:hint="eastAsia" w:ascii="仿宋_GB2312" w:hAnsi="仿宋_GB2312" w:cs="仿宋_GB2312"/>
          <w:szCs w:val="32"/>
        </w:rPr>
      </w:pPr>
      <w:r>
        <w:rPr>
          <w:rFonts w:hint="eastAsia" w:ascii="仿宋_GB2312" w:hAnsi="仿宋_GB2312" w:cs="仿宋_GB2312"/>
          <w:b/>
          <w:bCs/>
          <w:kern w:val="2"/>
          <w:szCs w:val="32"/>
        </w:rPr>
        <w:t xml:space="preserve">第十七条  </w:t>
      </w:r>
      <w:r>
        <w:rPr>
          <w:rFonts w:hint="eastAsia" w:ascii="仿宋_GB2312" w:hAnsi="仿宋_GB2312" w:cs="仿宋_GB2312"/>
          <w:szCs w:val="32"/>
        </w:rPr>
        <w:t>项目执行中，在研究方向不变、不降低考核指标且符合申报要求的前提下，承担单位可以自主调整技术路线、研究人员等事项，并在项目实施期满前向区科委备案，实施期满后不再受理。</w:t>
      </w:r>
    </w:p>
    <w:p>
      <w:pPr>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第十八条</w:t>
      </w:r>
      <w:r>
        <w:rPr>
          <w:rFonts w:hint="eastAsia" w:ascii="仿宋_GB2312" w:hAnsi="仿宋_GB2312" w:cs="仿宋_GB2312"/>
          <w:kern w:val="2"/>
          <w:szCs w:val="32"/>
        </w:rPr>
        <w:t xml:space="preserve">  </w:t>
      </w:r>
      <w:r>
        <w:rPr>
          <w:rFonts w:hint="eastAsia" w:ascii="仿宋_GB2312" w:hAnsi="仿宋_GB2312" w:cs="仿宋_GB2312"/>
          <w:szCs w:val="32"/>
        </w:rPr>
        <w:t>项目在技术、应用、产业化等方面取得重大进展，承担单位应及时向区科委报告，并作为科技信用评价等级提升的重要依据。</w:t>
      </w:r>
    </w:p>
    <w:p>
      <w:pPr>
        <w:spacing w:line="560" w:lineRule="exact"/>
        <w:ind w:left="0" w:firstLine="642" w:firstLineChars="200"/>
        <w:textAlignment w:val="auto"/>
        <w:rPr>
          <w:rFonts w:hint="eastAsia" w:ascii="仿宋_GB2312" w:hAnsi="仿宋_GB2312" w:cs="仿宋_GB2312"/>
          <w:szCs w:val="32"/>
        </w:rPr>
      </w:pPr>
      <w:r>
        <w:rPr>
          <w:rFonts w:hint="eastAsia" w:ascii="仿宋_GB2312" w:hAnsi="仿宋_GB2312" w:cs="仿宋_GB2312"/>
          <w:b/>
          <w:bCs/>
          <w:kern w:val="2"/>
          <w:szCs w:val="32"/>
        </w:rPr>
        <w:t>第十九条</w:t>
      </w:r>
      <w:r>
        <w:rPr>
          <w:rFonts w:hint="eastAsia" w:ascii="仿宋_GB2312" w:hAnsi="仿宋_GB2312" w:cs="仿宋_GB2312"/>
          <w:szCs w:val="32"/>
        </w:rPr>
        <w:t xml:space="preserve">  项目出现重大调整或终止情形的，承担单位应及时提交书面申请，实施期结束后不予受理；区科委可直接提出终止的处理意见。项目延期原则上只能申请</w:t>
      </w:r>
      <w:r>
        <w:rPr>
          <w:rFonts w:hint="eastAsia"/>
          <w:kern w:val="2"/>
          <w:szCs w:val="32"/>
        </w:rPr>
        <w:t>1</w:t>
      </w:r>
      <w:r>
        <w:rPr>
          <w:rFonts w:hint="eastAsia" w:ascii="仿宋_GB2312" w:hAnsi="仿宋_GB2312" w:cs="仿宋_GB2312"/>
          <w:szCs w:val="32"/>
        </w:rPr>
        <w:t>次，延期时间一般不超过</w:t>
      </w:r>
      <w:r>
        <w:rPr>
          <w:rFonts w:hint="eastAsia"/>
          <w:kern w:val="2"/>
          <w:szCs w:val="32"/>
        </w:rPr>
        <w:t>1</w:t>
      </w:r>
      <w:r>
        <w:rPr>
          <w:rFonts w:hint="eastAsia" w:ascii="仿宋_GB2312" w:hAnsi="仿宋_GB2312" w:cs="仿宋_GB2312"/>
          <w:szCs w:val="32"/>
        </w:rPr>
        <w:t>年。</w:t>
      </w:r>
    </w:p>
    <w:p>
      <w:pPr>
        <w:spacing w:line="560" w:lineRule="exact"/>
        <w:ind w:left="0" w:leftChars="0" w:firstLine="640" w:firstLineChars="200"/>
        <w:textAlignment w:val="auto"/>
        <w:rPr>
          <w:rFonts w:hint="eastAsia" w:ascii="仿宋_GB2312" w:hAnsi="仿宋_GB2312" w:cs="仿宋_GB2312"/>
          <w:szCs w:val="32"/>
        </w:rPr>
      </w:pPr>
      <w:r>
        <w:rPr>
          <w:rFonts w:hint="eastAsia" w:ascii="仿宋_GB2312" w:hAnsi="仿宋_GB2312" w:cs="仿宋_GB2312"/>
          <w:szCs w:val="32"/>
        </w:rPr>
        <w:t>（一）重大调整事项包括：</w:t>
      </w:r>
    </w:p>
    <w:p>
      <w:pPr>
        <w:spacing w:line="560" w:lineRule="exact"/>
        <w:ind w:left="0" w:firstLine="640" w:firstLineChars="200"/>
        <w:textAlignment w:val="auto"/>
        <w:rPr>
          <w:rFonts w:hint="eastAsia" w:ascii="仿宋_GB2312" w:hAnsi="仿宋_GB2312" w:cs="仿宋_GB2312"/>
          <w:szCs w:val="32"/>
        </w:rPr>
      </w:pPr>
      <w:r>
        <w:rPr>
          <w:rFonts w:hint="eastAsia"/>
          <w:kern w:val="2"/>
          <w:szCs w:val="32"/>
        </w:rPr>
        <w:t>1</w:t>
      </w:r>
      <w:r>
        <w:rPr>
          <w:rFonts w:hint="eastAsia" w:ascii="仿宋_GB2312" w:hAnsi="仿宋_GB2312" w:cs="仿宋_GB2312"/>
          <w:szCs w:val="32"/>
        </w:rPr>
        <w:t>.变更项目承担单位、负责人、实施周期、主要研究目标和考核指标等;</w:t>
      </w:r>
    </w:p>
    <w:p>
      <w:pPr>
        <w:spacing w:line="560" w:lineRule="exact"/>
        <w:ind w:left="0" w:firstLine="640" w:firstLineChars="200"/>
        <w:textAlignment w:val="auto"/>
        <w:rPr>
          <w:rFonts w:hint="eastAsia" w:ascii="仿宋_GB2312" w:hAnsi="仿宋_GB2312" w:cs="仿宋_GB2312"/>
          <w:szCs w:val="32"/>
        </w:rPr>
      </w:pPr>
      <w:r>
        <w:rPr>
          <w:rFonts w:hint="eastAsia"/>
          <w:kern w:val="2"/>
          <w:szCs w:val="32"/>
        </w:rPr>
        <w:t>2</w:t>
      </w:r>
      <w:r>
        <w:rPr>
          <w:rFonts w:hint="eastAsia" w:ascii="仿宋_GB2312" w:hAnsi="仿宋_GB2312" w:cs="仿宋_GB2312"/>
          <w:szCs w:val="32"/>
        </w:rPr>
        <w:t>.调整项目总预算;</w:t>
      </w:r>
    </w:p>
    <w:p>
      <w:pPr>
        <w:spacing w:line="560" w:lineRule="exact"/>
        <w:ind w:left="0" w:firstLine="640" w:firstLineChars="200"/>
        <w:textAlignment w:val="auto"/>
        <w:rPr>
          <w:rFonts w:hint="eastAsia" w:ascii="仿宋_GB2312" w:hAnsi="仿宋_GB2312" w:cs="仿宋_GB2312"/>
          <w:szCs w:val="32"/>
        </w:rPr>
      </w:pPr>
      <w:r>
        <w:rPr>
          <w:rFonts w:hint="eastAsia"/>
          <w:kern w:val="2"/>
          <w:szCs w:val="32"/>
        </w:rPr>
        <w:t>3</w:t>
      </w:r>
      <w:r>
        <w:rPr>
          <w:rFonts w:hint="eastAsia" w:ascii="仿宋_GB2312" w:hAnsi="仿宋_GB2312" w:cs="仿宋_GB2312"/>
          <w:szCs w:val="32"/>
        </w:rPr>
        <w:t>.区科委认定的其他情形。</w:t>
      </w:r>
    </w:p>
    <w:p>
      <w:pPr>
        <w:spacing w:line="56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（二）终止事项包括：</w:t>
      </w:r>
    </w:p>
    <w:p>
      <w:pPr>
        <w:spacing w:line="560" w:lineRule="exact"/>
        <w:ind w:left="0" w:firstLine="640" w:firstLineChars="200"/>
        <w:textAlignment w:val="auto"/>
        <w:rPr>
          <w:rFonts w:hint="eastAsia" w:ascii="仿宋_GB2312" w:hAnsi="仿宋_GB2312" w:cs="仿宋_GB2312"/>
          <w:szCs w:val="32"/>
        </w:rPr>
      </w:pPr>
      <w:r>
        <w:rPr>
          <w:rFonts w:hint="eastAsia"/>
          <w:kern w:val="2"/>
          <w:szCs w:val="32"/>
        </w:rPr>
        <w:t>1</w:t>
      </w:r>
      <w:r>
        <w:rPr>
          <w:rFonts w:hint="eastAsia" w:ascii="仿宋_GB2312" w:hAnsi="仿宋_GB2312" w:cs="仿宋_GB2312"/>
          <w:szCs w:val="32"/>
        </w:rPr>
        <w:t>.承担单位在项目申请阶段伪造或者编造申请材料，骗取立项;</w:t>
      </w:r>
    </w:p>
    <w:p>
      <w:pPr>
        <w:spacing w:line="560" w:lineRule="exact"/>
        <w:ind w:left="0" w:firstLine="640" w:firstLineChars="200"/>
        <w:textAlignment w:val="auto"/>
        <w:rPr>
          <w:rFonts w:hint="eastAsia" w:ascii="仿宋_GB2312" w:hAnsi="仿宋_GB2312" w:cs="仿宋_GB2312"/>
          <w:szCs w:val="32"/>
        </w:rPr>
      </w:pPr>
      <w:r>
        <w:rPr>
          <w:rFonts w:hint="eastAsia"/>
          <w:kern w:val="2"/>
          <w:szCs w:val="32"/>
        </w:rPr>
        <w:t>2</w:t>
      </w:r>
      <w:r>
        <w:rPr>
          <w:rFonts w:hint="eastAsia" w:ascii="仿宋_GB2312" w:hAnsi="仿宋_GB2312" w:cs="仿宋_GB2312"/>
          <w:szCs w:val="32"/>
        </w:rPr>
        <w:t>.市场、技术预测不准确，项目继续实施将导致原定目标失效;</w:t>
      </w:r>
    </w:p>
    <w:p>
      <w:pPr>
        <w:spacing w:line="560" w:lineRule="exact"/>
        <w:ind w:left="0" w:firstLine="640" w:firstLineChars="200"/>
        <w:textAlignment w:val="auto"/>
        <w:rPr>
          <w:rFonts w:hint="eastAsia" w:ascii="仿宋_GB2312" w:hAnsi="仿宋_GB2312" w:cs="仿宋_GB2312"/>
          <w:szCs w:val="32"/>
        </w:rPr>
      </w:pPr>
      <w:r>
        <w:rPr>
          <w:rFonts w:hint="eastAsia"/>
          <w:kern w:val="2"/>
          <w:szCs w:val="32"/>
        </w:rPr>
        <w:t>3</w:t>
      </w:r>
      <w:r>
        <w:rPr>
          <w:rFonts w:hint="eastAsia" w:ascii="仿宋_GB2312" w:hAnsi="仿宋_GB2312" w:cs="仿宋_GB2312"/>
          <w:szCs w:val="32"/>
        </w:rPr>
        <w:t>.经实践证明，项目技术路线不可行，或无法实现任务书约定的进度且无改进办法;</w:t>
      </w:r>
    </w:p>
    <w:p>
      <w:pPr>
        <w:spacing w:line="560" w:lineRule="exact"/>
        <w:ind w:left="0" w:firstLine="640" w:firstLineChars="200"/>
        <w:textAlignment w:val="auto"/>
        <w:rPr>
          <w:rFonts w:hint="eastAsia" w:ascii="仿宋_GB2312" w:hAnsi="仿宋_GB2312" w:cs="仿宋_GB2312"/>
          <w:szCs w:val="32"/>
        </w:rPr>
      </w:pPr>
      <w:r>
        <w:rPr>
          <w:szCs w:val="32"/>
        </w:rPr>
        <w:t>4</w:t>
      </w:r>
      <w:r>
        <w:rPr>
          <w:rFonts w:hint="eastAsia" w:ascii="仿宋_GB2312" w:hAnsi="仿宋_GB2312" w:cs="仿宋_GB2312"/>
          <w:szCs w:val="32"/>
        </w:rPr>
        <w:t>.完成项目任务所需的资金、原材料、人员、支撑条件等未落实或发生改变导致无法正常进行;</w:t>
      </w:r>
    </w:p>
    <w:p>
      <w:pPr>
        <w:spacing w:line="560" w:lineRule="exact"/>
        <w:ind w:left="0" w:firstLine="640" w:firstLineChars="200"/>
        <w:textAlignment w:val="auto"/>
        <w:rPr>
          <w:rFonts w:hint="eastAsia" w:ascii="仿宋_GB2312" w:hAnsi="仿宋_GB2312" w:cs="仿宋_GB2312"/>
          <w:szCs w:val="32"/>
        </w:rPr>
      </w:pPr>
      <w:r>
        <w:rPr>
          <w:rFonts w:hint="eastAsia"/>
          <w:szCs w:val="32"/>
        </w:rPr>
        <w:t>5</w:t>
      </w:r>
      <w:r>
        <w:rPr>
          <w:rFonts w:hint="eastAsia" w:ascii="仿宋_GB2312" w:hAnsi="仿宋_GB2312" w:cs="仿宋_GB2312"/>
          <w:szCs w:val="32"/>
        </w:rPr>
        <w:t>.承担单位在项目执行中，出现严重违规违纪行为，不按规定进行整改或拒绝整改;</w:t>
      </w:r>
    </w:p>
    <w:p>
      <w:pPr>
        <w:spacing w:line="560" w:lineRule="exact"/>
        <w:ind w:left="0" w:firstLine="640" w:firstLineChars="200"/>
        <w:textAlignment w:val="auto"/>
        <w:rPr>
          <w:rFonts w:hint="eastAsia" w:ascii="仿宋_GB2312" w:hAnsi="仿宋_GB2312" w:cs="仿宋_GB2312"/>
          <w:szCs w:val="32"/>
        </w:rPr>
      </w:pPr>
      <w:r>
        <w:rPr>
          <w:rFonts w:hint="eastAsia"/>
          <w:szCs w:val="32"/>
        </w:rPr>
        <w:t>6</w:t>
      </w:r>
      <w:r>
        <w:rPr>
          <w:rFonts w:hint="eastAsia" w:ascii="仿宋_GB2312" w:hAnsi="仿宋_GB2312" w:cs="仿宋_GB2312"/>
          <w:szCs w:val="32"/>
        </w:rPr>
        <w:t>.区科委认定的其他情形。</w:t>
      </w:r>
    </w:p>
    <w:p>
      <w:pPr>
        <w:spacing w:line="560" w:lineRule="exact"/>
        <w:ind w:left="0" w:firstLine="642" w:firstLineChars="200"/>
        <w:textAlignment w:val="auto"/>
        <w:rPr>
          <w:rFonts w:hint="eastAsia" w:ascii="仿宋_GB2312" w:hAnsi="仿宋_GB2312" w:cs="仿宋_GB2312"/>
          <w:szCs w:val="32"/>
        </w:rPr>
      </w:pPr>
      <w:r>
        <w:rPr>
          <w:rFonts w:hint="eastAsia" w:ascii="仿宋_GB2312" w:hAnsi="仿宋_GB2312" w:cs="仿宋_GB2312"/>
          <w:b/>
          <w:bCs/>
          <w:kern w:val="2"/>
          <w:szCs w:val="32"/>
        </w:rPr>
        <w:t>第二十条</w:t>
      </w:r>
      <w:r>
        <w:rPr>
          <w:rFonts w:hint="eastAsia" w:ascii="仿宋_GB2312" w:hAnsi="仿宋_GB2312" w:cs="仿宋_GB2312"/>
          <w:szCs w:val="32"/>
        </w:rPr>
        <w:t xml:space="preserve">  对于终止的项目，应将已开展的工作、经费使用、已购置设备仪器、阶段性成果、知识产权等情况形成书面报告一并提交。区科委对项目执行情况进行调研，必要时可组织专家论证会，根据调研或专家论证结果下达处理意见。承担单位自收到终止结论之日起</w:t>
      </w:r>
      <w:r>
        <w:rPr>
          <w:rFonts w:hint="eastAsia"/>
          <w:szCs w:val="32"/>
        </w:rPr>
        <w:t>1</w:t>
      </w:r>
      <w:r>
        <w:rPr>
          <w:rFonts w:hint="eastAsia" w:ascii="仿宋_GB2312" w:hAnsi="仿宋_GB2312" w:cs="仿宋_GB2312"/>
          <w:szCs w:val="32"/>
        </w:rPr>
        <w:t>个月内及时清理账目与资产，依据审计结果将结余资金按原渠道退回。</w:t>
      </w:r>
    </w:p>
    <w:p>
      <w:pPr>
        <w:pStyle w:val="10"/>
        <w:spacing w:line="560" w:lineRule="exact"/>
        <w:ind w:left="0" w:firstLine="200"/>
        <w:rPr>
          <w:rFonts w:hint="eastAsia" w:ascii="仿宋_GB2312" w:hAnsi="仿宋_GB2312" w:cs="仿宋_GB2312"/>
          <w:szCs w:val="32"/>
        </w:rPr>
      </w:pPr>
    </w:p>
    <w:p>
      <w:pPr>
        <w:spacing w:line="560" w:lineRule="exact"/>
        <w:ind w:left="0" w:firstLine="0"/>
        <w:jc w:val="center"/>
        <w:textAlignment w:val="auto"/>
        <w:outlineLvl w:val="0"/>
        <w:rPr>
          <w:rFonts w:hint="eastAsia" w:ascii="黑体" w:hAnsi="黑体" w:eastAsia="黑体" w:cs="楷体_GB2312"/>
          <w:b w:val="0"/>
          <w:bCs w:val="0"/>
          <w:kern w:val="2"/>
          <w:szCs w:val="32"/>
        </w:rPr>
      </w:pPr>
      <w:r>
        <w:rPr>
          <w:rFonts w:hint="eastAsia" w:ascii="黑体" w:hAnsi="黑体" w:eastAsia="黑体" w:cs="仿宋_GB2312"/>
          <w:b w:val="0"/>
          <w:bCs w:val="0"/>
          <w:kern w:val="2"/>
          <w:szCs w:val="32"/>
        </w:rPr>
        <w:t>第五章  综合绩效评价管理</w:t>
      </w:r>
    </w:p>
    <w:p>
      <w:pPr>
        <w:spacing w:line="560" w:lineRule="exact"/>
        <w:ind w:left="0" w:firstLine="642" w:firstLineChars="200"/>
        <w:textAlignment w:val="auto"/>
        <w:rPr>
          <w:rFonts w:hint="eastAsia" w:ascii="仿宋_GB2312" w:hAnsi="仿宋_GB2312" w:cs="仿宋_GB2312"/>
          <w:b/>
          <w:bCs/>
          <w:kern w:val="2"/>
          <w:szCs w:val="32"/>
        </w:rPr>
      </w:pPr>
    </w:p>
    <w:p>
      <w:pPr>
        <w:spacing w:line="560" w:lineRule="exact"/>
        <w:ind w:left="0" w:firstLine="642" w:firstLineChars="200"/>
        <w:textAlignment w:val="auto"/>
        <w:rPr>
          <w:rFonts w:hint="eastAsia" w:ascii="仿宋_GB2312" w:hAnsi="仿宋_GB2312" w:cs="仿宋_GB2312"/>
          <w:szCs w:val="32"/>
        </w:rPr>
      </w:pPr>
      <w:r>
        <w:rPr>
          <w:rFonts w:hint="eastAsia" w:ascii="仿宋_GB2312" w:hAnsi="仿宋_GB2312" w:cs="仿宋_GB2312"/>
          <w:b/>
          <w:bCs/>
          <w:kern w:val="2"/>
          <w:szCs w:val="32"/>
        </w:rPr>
        <w:t>第二十一条</w:t>
      </w:r>
      <w:r>
        <w:rPr>
          <w:rFonts w:hint="eastAsia" w:ascii="仿宋_GB2312" w:hAnsi="仿宋_GB2312" w:cs="仿宋_GB2312"/>
          <w:szCs w:val="32"/>
        </w:rPr>
        <w:t xml:space="preserve">  项目应在实施期满后</w:t>
      </w:r>
      <w:r>
        <w:rPr>
          <w:rFonts w:hint="eastAsia"/>
          <w:szCs w:val="32"/>
        </w:rPr>
        <w:t>3</w:t>
      </w:r>
      <w:r>
        <w:rPr>
          <w:rFonts w:hint="eastAsia" w:ascii="仿宋_GB2312" w:hAnsi="仿宋_GB2312" w:cs="仿宋_GB2312"/>
          <w:szCs w:val="32"/>
        </w:rPr>
        <w:t>个月内完成综合绩效评价工作。承担单位和负责人应向区科委提交如下材料：</w:t>
      </w:r>
    </w:p>
    <w:p>
      <w:pPr>
        <w:spacing w:line="560" w:lineRule="exact"/>
        <w:ind w:left="0" w:leftChars="0" w:firstLine="640" w:firstLineChars="200"/>
        <w:textAlignment w:val="auto"/>
        <w:rPr>
          <w:rFonts w:hint="eastAsia" w:ascii="仿宋_GB2312" w:hAnsi="仿宋_GB2312" w:cs="仿宋_GB2312"/>
          <w:szCs w:val="32"/>
        </w:rPr>
      </w:pPr>
      <w:r>
        <w:rPr>
          <w:rFonts w:hint="eastAsia" w:ascii="仿宋_GB2312" w:hAnsi="仿宋_GB2312" w:cs="仿宋_GB2312"/>
          <w:szCs w:val="32"/>
        </w:rPr>
        <w:t>（一）项目综合绩效自评价报告;</w:t>
      </w:r>
    </w:p>
    <w:p>
      <w:pPr>
        <w:spacing w:line="56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（二）会计师事务所出具的审计报告;</w:t>
      </w:r>
    </w:p>
    <w:p>
      <w:pPr>
        <w:spacing w:line="56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（三）其他补充说明材料。</w:t>
      </w:r>
    </w:p>
    <w:p>
      <w:pPr>
        <w:spacing w:line="560" w:lineRule="exact"/>
        <w:ind w:left="0" w:firstLine="642" w:firstLineChars="200"/>
        <w:textAlignment w:val="auto"/>
        <w:rPr>
          <w:rFonts w:hint="eastAsia" w:ascii="仿宋_GB2312" w:hAnsi="仿宋_GB2312" w:cs="仿宋_GB2312"/>
          <w:szCs w:val="32"/>
        </w:rPr>
      </w:pPr>
      <w:r>
        <w:rPr>
          <w:rFonts w:hint="eastAsia" w:ascii="仿宋_GB2312" w:hAnsi="仿宋_GB2312" w:cs="仿宋_GB2312"/>
          <w:b/>
          <w:bCs/>
          <w:kern w:val="2"/>
          <w:szCs w:val="32"/>
        </w:rPr>
        <w:t>第二十二条</w:t>
      </w:r>
      <w:r>
        <w:rPr>
          <w:rFonts w:hint="eastAsia" w:ascii="仿宋_GB2312" w:hAnsi="仿宋_GB2312" w:cs="仿宋_GB2312"/>
          <w:szCs w:val="32"/>
        </w:rPr>
        <w:t xml:space="preserve">  项目综合绩效评价工作原则上由区科委组织评价专家组开展；对于承担单位近三年来科技信用评级主为</w:t>
      </w:r>
      <w:r>
        <w:rPr>
          <w:rFonts w:hint="eastAsia"/>
          <w:szCs w:val="32"/>
        </w:rPr>
        <w:t>A</w:t>
      </w:r>
      <w:r>
        <w:rPr>
          <w:rFonts w:hint="eastAsia" w:ascii="仿宋_GB2312" w:hAnsi="仿宋_GB2312" w:cs="仿宋_GB2312"/>
          <w:szCs w:val="32"/>
        </w:rPr>
        <w:t>级的，区科委可授权其自行组建专家组开展综合绩效评价工作，评价结论报区科委备案。评价专家组一般应由</w:t>
      </w:r>
      <w:r>
        <w:rPr>
          <w:rFonts w:hint="eastAsia"/>
          <w:szCs w:val="32"/>
        </w:rPr>
        <w:t>5</w:t>
      </w:r>
      <w:r>
        <w:rPr>
          <w:rFonts w:hint="eastAsia" w:ascii="仿宋_GB2312" w:hAnsi="仿宋_GB2312" w:cs="仿宋_GB2312"/>
          <w:szCs w:val="32"/>
        </w:rPr>
        <w:t>人以上（含</w:t>
      </w:r>
      <w:r>
        <w:rPr>
          <w:rFonts w:hint="eastAsia"/>
          <w:szCs w:val="32"/>
        </w:rPr>
        <w:t>5</w:t>
      </w:r>
      <w:r>
        <w:rPr>
          <w:rFonts w:hint="eastAsia" w:ascii="仿宋_GB2312" w:hAnsi="仿宋_GB2312" w:cs="仿宋_GB2312"/>
          <w:szCs w:val="32"/>
        </w:rPr>
        <w:t>人）相关领域的单数专家组成。</w:t>
      </w:r>
    </w:p>
    <w:p>
      <w:pPr>
        <w:tabs>
          <w:tab w:val="left" w:pos="1890"/>
        </w:tabs>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 xml:space="preserve">第二十三条 </w:t>
      </w:r>
      <w:r>
        <w:rPr>
          <w:rFonts w:hint="eastAsia" w:ascii="仿宋_GB2312" w:hAnsi="仿宋_GB2312" w:cs="仿宋_GB2312"/>
          <w:kern w:val="2"/>
          <w:szCs w:val="32"/>
        </w:rPr>
        <w:t xml:space="preserve"> 项目综合绩效评价结论分为通过、未通过和结题三类。</w:t>
      </w:r>
    </w:p>
    <w:p>
      <w:pPr>
        <w:tabs>
          <w:tab w:val="left" w:pos="1890"/>
        </w:tabs>
        <w:adjustRightInd w:val="0"/>
        <w:snapToGrid w:val="0"/>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（一）通过：完成任务书确定的目标和任务的。</w:t>
      </w:r>
    </w:p>
    <w:p>
      <w:pPr>
        <w:tabs>
          <w:tab w:val="left" w:pos="1890"/>
        </w:tabs>
        <w:adjustRightInd w:val="0"/>
        <w:snapToGrid w:val="0"/>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（二）具有下列情形之一的，为未通过：</w:t>
      </w:r>
    </w:p>
    <w:p>
      <w:pPr>
        <w:tabs>
          <w:tab w:val="left" w:pos="1890"/>
        </w:tabs>
        <w:adjustRightInd w:val="0"/>
        <w:snapToGrid w:val="0"/>
        <w:spacing w:line="560" w:lineRule="exact"/>
        <w:ind w:left="0" w:firstLine="640" w:firstLineChars="200"/>
        <w:textAlignment w:val="auto"/>
        <w:rPr>
          <w:rFonts w:hint="eastAsia" w:ascii="仿宋_GB2312" w:hAnsi="仿宋_GB2312" w:cs="仿宋_GB2312"/>
          <w:kern w:val="2"/>
          <w:szCs w:val="32"/>
        </w:rPr>
      </w:pPr>
      <w:r>
        <w:rPr>
          <w:rFonts w:hint="eastAsia"/>
          <w:szCs w:val="32"/>
        </w:rPr>
        <w:t>1</w:t>
      </w:r>
      <w:r>
        <w:rPr>
          <w:rFonts w:hint="eastAsia" w:ascii="仿宋_GB2312" w:hAnsi="仿宋_GB2312" w:cs="仿宋_GB2312"/>
          <w:kern w:val="2"/>
          <w:szCs w:val="32"/>
        </w:rPr>
        <w:t>.因非不可抗拒因素未完成任务书确定的主要目标和任务的;</w:t>
      </w:r>
    </w:p>
    <w:p>
      <w:pPr>
        <w:tabs>
          <w:tab w:val="left" w:pos="1890"/>
        </w:tabs>
        <w:adjustRightInd w:val="0"/>
        <w:snapToGrid w:val="0"/>
        <w:spacing w:line="560" w:lineRule="exact"/>
        <w:ind w:left="0" w:firstLine="640" w:firstLineChars="200"/>
        <w:textAlignment w:val="auto"/>
        <w:rPr>
          <w:rFonts w:hint="eastAsia" w:ascii="仿宋_GB2312" w:hAnsi="仿宋_GB2312" w:cs="仿宋_GB2312"/>
          <w:kern w:val="2"/>
          <w:szCs w:val="32"/>
        </w:rPr>
      </w:pPr>
      <w:r>
        <w:rPr>
          <w:rFonts w:hint="eastAsia"/>
          <w:szCs w:val="32"/>
        </w:rPr>
        <w:t>2</w:t>
      </w:r>
      <w:r>
        <w:rPr>
          <w:rFonts w:hint="eastAsia" w:ascii="仿宋_GB2312" w:hAnsi="仿宋_GB2312" w:cs="仿宋_GB2312"/>
          <w:kern w:val="2"/>
          <w:szCs w:val="32"/>
        </w:rPr>
        <w:t>.未按期提交综合绩效评价材料或提供的文件、资料、数据存在弄虚作假的;</w:t>
      </w:r>
    </w:p>
    <w:p>
      <w:pPr>
        <w:tabs>
          <w:tab w:val="left" w:pos="1890"/>
        </w:tabs>
        <w:adjustRightInd w:val="0"/>
        <w:snapToGrid w:val="0"/>
        <w:spacing w:line="560" w:lineRule="exact"/>
        <w:ind w:left="0" w:firstLine="640" w:firstLineChars="200"/>
        <w:textAlignment w:val="auto"/>
        <w:rPr>
          <w:rFonts w:hint="eastAsia" w:ascii="仿宋_GB2312" w:hAnsi="仿宋_GB2312" w:cs="仿宋_GB2312"/>
          <w:kern w:val="2"/>
          <w:szCs w:val="32"/>
        </w:rPr>
      </w:pPr>
      <w:r>
        <w:rPr>
          <w:rFonts w:hint="eastAsia"/>
          <w:szCs w:val="32"/>
        </w:rPr>
        <w:t>3</w:t>
      </w:r>
      <w:r>
        <w:rPr>
          <w:rFonts w:hint="eastAsia" w:ascii="仿宋_GB2312" w:hAnsi="仿宋_GB2312" w:cs="仿宋_GB2312"/>
          <w:kern w:val="2"/>
          <w:szCs w:val="32"/>
        </w:rPr>
        <w:t>.未按相关要求报批项目重大调整事项的;</w:t>
      </w:r>
    </w:p>
    <w:p>
      <w:pPr>
        <w:tabs>
          <w:tab w:val="left" w:pos="1890"/>
        </w:tabs>
        <w:adjustRightInd w:val="0"/>
        <w:snapToGrid w:val="0"/>
        <w:spacing w:line="560" w:lineRule="exact"/>
        <w:ind w:left="0" w:firstLine="640" w:firstLineChars="200"/>
        <w:textAlignment w:val="auto"/>
        <w:rPr>
          <w:rFonts w:hint="eastAsia" w:ascii="仿宋_GB2312" w:hAnsi="仿宋_GB2312" w:cs="仿宋_GB2312"/>
          <w:kern w:val="2"/>
          <w:szCs w:val="32"/>
        </w:rPr>
      </w:pPr>
      <w:r>
        <w:rPr>
          <w:kern w:val="2"/>
          <w:szCs w:val="32"/>
        </w:rPr>
        <w:t>4</w:t>
      </w:r>
      <w:r>
        <w:rPr>
          <w:rFonts w:hint="eastAsia" w:ascii="仿宋_GB2312" w:hAnsi="仿宋_GB2312" w:cs="仿宋_GB2312"/>
          <w:kern w:val="2"/>
          <w:szCs w:val="32"/>
        </w:rPr>
        <w:t>.承担单位或个人存在严重科研失信、科技伦理违法违规行为并造成重大影响的;</w:t>
      </w:r>
    </w:p>
    <w:p>
      <w:pPr>
        <w:tabs>
          <w:tab w:val="left" w:pos="1890"/>
        </w:tabs>
        <w:adjustRightInd w:val="0"/>
        <w:snapToGrid w:val="0"/>
        <w:spacing w:line="560" w:lineRule="exact"/>
        <w:ind w:left="0" w:firstLine="640" w:firstLineChars="200"/>
        <w:textAlignment w:val="auto"/>
        <w:rPr>
          <w:rFonts w:hint="eastAsia" w:ascii="仿宋_GB2312" w:hAnsi="仿宋_GB2312" w:cs="仿宋_GB2312"/>
          <w:kern w:val="2"/>
          <w:szCs w:val="32"/>
        </w:rPr>
      </w:pPr>
      <w:r>
        <w:rPr>
          <w:rFonts w:hint="eastAsia"/>
          <w:kern w:val="2"/>
          <w:szCs w:val="32"/>
        </w:rPr>
        <w:t>5</w:t>
      </w:r>
      <w:r>
        <w:rPr>
          <w:rFonts w:hint="eastAsia" w:ascii="仿宋_GB2312" w:hAnsi="仿宋_GB2312" w:cs="仿宋_GB2312"/>
          <w:kern w:val="2"/>
          <w:szCs w:val="32"/>
        </w:rPr>
        <w:t>.拒不配合综合绩效评价工作或逾期不开展综合绩效评价的。</w:t>
      </w:r>
    </w:p>
    <w:p>
      <w:pPr>
        <w:tabs>
          <w:tab w:val="left" w:pos="1890"/>
        </w:tabs>
        <w:adjustRightInd w:val="0"/>
        <w:snapToGrid w:val="0"/>
        <w:spacing w:line="54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（三）结题：因不可抗拒因素未完成任务书确定的目标和任务的。</w:t>
      </w:r>
    </w:p>
    <w:p>
      <w:pPr>
        <w:tabs>
          <w:tab w:val="left" w:pos="1890"/>
        </w:tabs>
        <w:adjustRightInd w:val="0"/>
        <w:snapToGrid w:val="0"/>
        <w:spacing w:line="540" w:lineRule="exact"/>
        <w:ind w:left="0" w:firstLine="640" w:firstLineChars="200"/>
        <w:textAlignment w:val="auto"/>
        <w:rPr>
          <w:rFonts w:hint="eastAsia"/>
        </w:rPr>
      </w:pPr>
      <w:r>
        <w:rPr>
          <w:rFonts w:hint="eastAsia"/>
        </w:rPr>
        <w:t>区科委根据项目综合绩效评价情况，形成项目综合绩效评价结论，并向承担单位下达综合绩效评价结论通知。</w:t>
      </w:r>
    </w:p>
    <w:p>
      <w:pPr>
        <w:tabs>
          <w:tab w:val="left" w:pos="1890"/>
        </w:tabs>
        <w:adjustRightInd w:val="0"/>
        <w:snapToGrid w:val="0"/>
        <w:spacing w:line="54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第二十四条</w:t>
      </w:r>
      <w:r>
        <w:rPr>
          <w:rFonts w:hint="eastAsia" w:ascii="仿宋_GB2312" w:hAnsi="仿宋_GB2312" w:cs="仿宋_GB2312"/>
          <w:kern w:val="2"/>
          <w:szCs w:val="32"/>
        </w:rPr>
        <w:t xml:space="preserve">  </w:t>
      </w:r>
      <w:r>
        <w:rPr>
          <w:rFonts w:hint="eastAsia" w:ascii="仿宋_GB2312" w:hAnsi="仿宋_GB2312" w:cs="仿宋_GB2312"/>
          <w:szCs w:val="32"/>
        </w:rPr>
        <w:t>项目形成的研究成果，包括论文、专著、样机、样品、视频等，应当根据任务书要求，标注受通州区科技计划资助。标注的成果作为项目综合绩效评价的重要依据。</w:t>
      </w:r>
    </w:p>
    <w:p>
      <w:pPr>
        <w:tabs>
          <w:tab w:val="left" w:pos="1890"/>
        </w:tabs>
        <w:adjustRightInd w:val="0"/>
        <w:snapToGrid w:val="0"/>
        <w:spacing w:line="54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第二十五条</w:t>
      </w:r>
      <w:r>
        <w:rPr>
          <w:rFonts w:hint="eastAsia" w:ascii="仿宋_GB2312" w:hAnsi="仿宋_GB2312" w:cs="仿宋_GB2312"/>
          <w:kern w:val="2"/>
          <w:szCs w:val="32"/>
        </w:rPr>
        <w:t xml:space="preserve">  </w:t>
      </w:r>
      <w:r>
        <w:rPr>
          <w:rFonts w:hint="eastAsia" w:ascii="仿宋_GB2312" w:hAnsi="仿宋_GB2312" w:cs="仿宋_GB2312"/>
          <w:szCs w:val="32"/>
        </w:rPr>
        <w:t>承担单位对综合绩效评价结论有异议的，在收到评价结论通知之日起</w:t>
      </w:r>
      <w:r>
        <w:rPr>
          <w:rFonts w:hint="eastAsia"/>
          <w:kern w:val="2"/>
          <w:szCs w:val="32"/>
        </w:rPr>
        <w:t>5</w:t>
      </w:r>
      <w:r>
        <w:rPr>
          <w:rFonts w:hint="eastAsia" w:ascii="仿宋_GB2312" w:hAnsi="仿宋_GB2312" w:cs="仿宋_GB2312"/>
          <w:szCs w:val="32"/>
        </w:rPr>
        <w:t>个工作日内，可向区科委提出申诉。区科委针对申诉内容组织专家复审，依据复审结果维持或者修改综合绩效评价结论</w:t>
      </w:r>
      <w:r>
        <w:rPr>
          <w:rFonts w:hint="eastAsia" w:ascii="仿宋_GB2312" w:hAnsi="仿宋_GB2312" w:cs="仿宋_GB2312"/>
          <w:kern w:val="2"/>
          <w:szCs w:val="32"/>
        </w:rPr>
        <w:t>。</w:t>
      </w:r>
    </w:p>
    <w:p>
      <w:pPr>
        <w:spacing w:line="540" w:lineRule="exact"/>
        <w:ind w:left="0" w:firstLine="642" w:firstLineChars="200"/>
        <w:textAlignment w:val="auto"/>
        <w:rPr>
          <w:rFonts w:hint="eastAsia" w:ascii="仿宋_GB2312" w:hAnsi="仿宋_GB2312" w:cs="仿宋_GB2312"/>
          <w:szCs w:val="32"/>
        </w:rPr>
      </w:pPr>
      <w:r>
        <w:rPr>
          <w:rFonts w:hint="eastAsia" w:ascii="仿宋_GB2312" w:hAnsi="仿宋_GB2312" w:cs="仿宋_GB2312"/>
          <w:b/>
          <w:bCs/>
          <w:kern w:val="2"/>
          <w:szCs w:val="32"/>
        </w:rPr>
        <w:t xml:space="preserve">第二十六条 </w:t>
      </w:r>
      <w:r>
        <w:rPr>
          <w:rFonts w:hint="eastAsia" w:ascii="仿宋_GB2312" w:hAnsi="仿宋_GB2312" w:cs="仿宋_GB2312"/>
          <w:kern w:val="2"/>
          <w:szCs w:val="32"/>
        </w:rPr>
        <w:t xml:space="preserve"> </w:t>
      </w:r>
      <w:r>
        <w:rPr>
          <w:rFonts w:hint="eastAsia" w:ascii="仿宋_GB2312" w:hAnsi="仿宋_GB2312" w:cs="仿宋_GB2312"/>
          <w:szCs w:val="32"/>
        </w:rPr>
        <w:t>项目具有下列情形之一的，所有承担单位应及时清理账目与资产，依据审计结果在实施期满</w:t>
      </w:r>
      <w:r>
        <w:rPr>
          <w:rFonts w:hint="eastAsia"/>
          <w:kern w:val="2"/>
          <w:szCs w:val="32"/>
        </w:rPr>
        <w:t>3</w:t>
      </w:r>
      <w:r>
        <w:rPr>
          <w:rFonts w:hint="eastAsia" w:ascii="仿宋_GB2312" w:hAnsi="仿宋_GB2312" w:cs="仿宋_GB2312"/>
          <w:szCs w:val="32"/>
        </w:rPr>
        <w:t>个月内按照原渠道退回结余资金；未完成结余资金退回的，将不予下达综合绩效评价结论通知。</w:t>
      </w:r>
    </w:p>
    <w:p>
      <w:pPr>
        <w:numPr>
          <w:ilvl w:val="0"/>
          <w:numId w:val="1"/>
        </w:numPr>
        <w:spacing w:line="54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综合绩效评价结论为未通过；</w:t>
      </w:r>
    </w:p>
    <w:p>
      <w:pPr>
        <w:numPr>
          <w:ilvl w:val="0"/>
          <w:numId w:val="1"/>
        </w:numPr>
        <w:spacing w:line="54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综合绩效评价结论为结题；</w:t>
      </w:r>
    </w:p>
    <w:p>
      <w:pPr>
        <w:numPr>
          <w:ilvl w:val="0"/>
          <w:numId w:val="1"/>
        </w:numPr>
        <w:spacing w:line="540" w:lineRule="exact"/>
        <w:ind w:left="0" w:firstLine="640" w:firstLineChars="200"/>
        <w:textAlignment w:val="auto"/>
        <w:rPr>
          <w:rFonts w:hint="eastAsia" w:ascii="仿宋_GB2312" w:hAnsi="仿宋_GB2312" w:cs="仿宋_GB2312"/>
          <w:szCs w:val="32"/>
        </w:rPr>
      </w:pPr>
      <w:r>
        <w:rPr>
          <w:rFonts w:hint="eastAsia" w:ascii="仿宋_GB2312" w:hAnsi="仿宋_GB2312" w:cs="仿宋_GB2312"/>
          <w:szCs w:val="32"/>
        </w:rPr>
        <w:t>综合绩效评价时承担单位或负责人科技信用列入失信惩戒名单的。</w:t>
      </w:r>
    </w:p>
    <w:p>
      <w:pPr>
        <w:pStyle w:val="10"/>
        <w:spacing w:line="540" w:lineRule="exact"/>
        <w:ind w:left="0" w:firstLine="200"/>
        <w:rPr>
          <w:rFonts w:hint="eastAsia"/>
        </w:rPr>
      </w:pPr>
    </w:p>
    <w:p>
      <w:pPr>
        <w:spacing w:line="560" w:lineRule="exact"/>
        <w:ind w:left="0" w:firstLine="0"/>
        <w:jc w:val="center"/>
        <w:textAlignment w:val="auto"/>
        <w:rPr>
          <w:rFonts w:hint="eastAsia" w:ascii="黑体" w:hAnsi="黑体" w:eastAsia="黑体" w:cs="仿宋_GB2312"/>
          <w:b w:val="0"/>
          <w:bCs w:val="0"/>
          <w:kern w:val="2"/>
          <w:szCs w:val="32"/>
        </w:rPr>
      </w:pPr>
      <w:r>
        <w:rPr>
          <w:rFonts w:hint="eastAsia" w:ascii="黑体" w:hAnsi="黑体" w:eastAsia="黑体" w:cs="仿宋_GB2312"/>
          <w:b w:val="0"/>
          <w:bCs w:val="0"/>
          <w:kern w:val="2"/>
          <w:szCs w:val="32"/>
        </w:rPr>
        <w:t>第六章  信用与监督管理</w:t>
      </w:r>
    </w:p>
    <w:p>
      <w:pPr>
        <w:spacing w:line="560" w:lineRule="exact"/>
        <w:ind w:left="0" w:firstLine="642" w:firstLineChars="200"/>
        <w:textAlignment w:val="auto"/>
        <w:rPr>
          <w:rFonts w:hint="eastAsia" w:ascii="仿宋_GB2312" w:hAnsi="仿宋_GB2312" w:cs="仿宋_GB2312"/>
          <w:b/>
          <w:bCs/>
          <w:kern w:val="2"/>
          <w:szCs w:val="32"/>
        </w:rPr>
      </w:pPr>
    </w:p>
    <w:p>
      <w:pPr>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第二十七条</w:t>
      </w:r>
      <w:r>
        <w:rPr>
          <w:rFonts w:hint="eastAsia" w:ascii="仿宋_GB2312" w:hAnsi="仿宋_GB2312" w:cs="仿宋_GB2312"/>
          <w:kern w:val="2"/>
          <w:szCs w:val="32"/>
        </w:rPr>
        <w:t xml:space="preserve">  区科委建立覆盖项目管理全过程的科研诚信与监督管理制度，加强对相关主体的行为规范、工作纪律、科研诚信、科技伦理、履职尽责等情况的监督。对项目申报、“二合一”论证、实施、综合绩效评价等全过程各责任主体实施科技信用评级，并将其信用评级信息作为相关工作的决策依据。</w:t>
      </w:r>
    </w:p>
    <w:p>
      <w:pPr>
        <w:spacing w:line="560" w:lineRule="exact"/>
        <w:ind w:left="0" w:firstLine="642" w:firstLineChars="200"/>
        <w:textAlignment w:val="auto"/>
        <w:rPr>
          <w:rFonts w:hint="eastAsia" w:ascii="仿宋_GB2312" w:hAnsi="仿宋_GB2312" w:cs="仿宋_GB2312"/>
          <w:b/>
          <w:bCs/>
          <w:kern w:val="2"/>
          <w:szCs w:val="32"/>
        </w:rPr>
      </w:pPr>
      <w:r>
        <w:rPr>
          <w:rFonts w:hint="eastAsia" w:ascii="仿宋_GB2312" w:hAnsi="仿宋_GB2312" w:cs="仿宋_GB2312"/>
          <w:b/>
          <w:bCs/>
          <w:kern w:val="2"/>
          <w:szCs w:val="32"/>
        </w:rPr>
        <w:t>第二十八条</w:t>
      </w:r>
      <w:r>
        <w:rPr>
          <w:rFonts w:hint="eastAsia" w:ascii="仿宋_GB2312" w:hAnsi="仿宋_GB2312" w:cs="仿宋_GB2312"/>
          <w:kern w:val="2"/>
          <w:szCs w:val="32"/>
        </w:rPr>
        <w:t xml:space="preserve">  项目承诺管理制度。申报单位、负责人应在项目申报时签署书面承诺，保证提交材料合法真实，对信息虚假导致的后果承担责任。评审专家应在项目立项和综合绩效评价时签署书面承诺，保证遵守回避、保密、客观、公正原则，对违规行为后果承担责任。</w:t>
      </w:r>
    </w:p>
    <w:p>
      <w:pPr>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第二十九条</w:t>
      </w:r>
      <w:r>
        <w:rPr>
          <w:rFonts w:hint="eastAsia" w:ascii="仿宋_GB2312" w:hAnsi="仿宋_GB2312" w:cs="仿宋_GB2312"/>
          <w:kern w:val="2"/>
          <w:szCs w:val="32"/>
        </w:rPr>
        <w:t xml:space="preserve">  对监督中发现的违规行为，予以以下处理：</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（一）对有违规行为的评审专家，阶段性或永久性取消评审和申报参与项目资格；</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（二）对有违规行为的承担单位和科研人员，予以约谈、限期整改、暂停拨款、追回已拨资金、终止项目、阶段性或永久性取消申报参与项目资格等处理；</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（三）对有违规行为的第三方机构及人员，可视情况将相关问题及线索移交具有处罚或处理权限的主管部门或行业协会处理。</w:t>
      </w:r>
    </w:p>
    <w:p>
      <w:pPr>
        <w:spacing w:line="560" w:lineRule="exact"/>
        <w:ind w:left="0" w:firstLine="640" w:firstLineChars="200"/>
        <w:textAlignment w:val="auto"/>
        <w:rPr>
          <w:rFonts w:hint="eastAsia" w:ascii="仿宋_GB2312" w:hAnsi="仿宋_GB2312" w:cs="仿宋_GB2312"/>
          <w:kern w:val="2"/>
          <w:szCs w:val="32"/>
        </w:rPr>
      </w:pPr>
      <w:r>
        <w:rPr>
          <w:rFonts w:hint="eastAsia" w:ascii="仿宋_GB2312" w:hAnsi="仿宋_GB2312" w:cs="仿宋_GB2312"/>
          <w:kern w:val="2"/>
          <w:szCs w:val="32"/>
        </w:rPr>
        <w:t>处理结果纳入科研诚信记录，对严重失信行为实行追责和惩戒。涉嫌违法、违纪行为的，应及时移交司法机关和纪检监察部门。</w:t>
      </w:r>
    </w:p>
    <w:p>
      <w:pPr>
        <w:pStyle w:val="10"/>
        <w:spacing w:line="540" w:lineRule="exact"/>
        <w:rPr>
          <w:rFonts w:hint="eastAsia"/>
        </w:rPr>
      </w:pPr>
    </w:p>
    <w:p>
      <w:pPr>
        <w:tabs>
          <w:tab w:val="left" w:pos="1890"/>
          <w:tab w:val="left" w:pos="1995"/>
        </w:tabs>
        <w:spacing w:line="540" w:lineRule="exact"/>
        <w:ind w:left="0" w:firstLine="0"/>
        <w:jc w:val="center"/>
        <w:textAlignment w:val="auto"/>
        <w:outlineLvl w:val="0"/>
        <w:rPr>
          <w:rFonts w:hint="eastAsia" w:ascii="黑体" w:hAnsi="黑体" w:eastAsia="黑体" w:cs="仿宋_GB2312"/>
          <w:b w:val="0"/>
          <w:bCs w:val="0"/>
          <w:kern w:val="2"/>
          <w:szCs w:val="32"/>
        </w:rPr>
      </w:pPr>
      <w:r>
        <w:rPr>
          <w:rFonts w:hint="eastAsia" w:ascii="黑体" w:hAnsi="黑体" w:eastAsia="黑体" w:cs="仿宋_GB2312"/>
          <w:b w:val="0"/>
          <w:bCs w:val="0"/>
          <w:kern w:val="2"/>
          <w:szCs w:val="32"/>
        </w:rPr>
        <w:t>第七章  附则</w:t>
      </w:r>
    </w:p>
    <w:p>
      <w:pPr>
        <w:spacing w:line="560" w:lineRule="exact"/>
        <w:ind w:left="0" w:firstLine="642" w:firstLineChars="200"/>
        <w:textAlignment w:val="auto"/>
        <w:rPr>
          <w:rFonts w:hint="eastAsia" w:ascii="仿宋_GB2312" w:hAnsi="仿宋_GB2312" w:cs="仿宋_GB2312"/>
          <w:b/>
          <w:bCs/>
          <w:kern w:val="2"/>
          <w:szCs w:val="32"/>
        </w:rPr>
      </w:pPr>
    </w:p>
    <w:p>
      <w:pPr>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第三十条</w:t>
      </w:r>
      <w:r>
        <w:rPr>
          <w:rFonts w:hint="eastAsia" w:ascii="仿宋_GB2312" w:hAnsi="仿宋_GB2312" w:cs="仿宋_GB2312"/>
          <w:kern w:val="2"/>
          <w:szCs w:val="32"/>
        </w:rPr>
        <w:t xml:space="preserve">  项目管理过程中涉及信息公开、成果转化的，按照国家和北京市有关规定执行。</w:t>
      </w:r>
    </w:p>
    <w:p>
      <w:pPr>
        <w:spacing w:line="560" w:lineRule="exact"/>
        <w:ind w:left="0" w:firstLine="642" w:firstLineChars="200"/>
        <w:textAlignment w:val="auto"/>
        <w:rPr>
          <w:rFonts w:hint="eastAsia" w:ascii="仿宋_GB2312" w:hAnsi="仿宋_GB2312" w:cs="仿宋_GB2312"/>
          <w:kern w:val="2"/>
          <w:szCs w:val="32"/>
        </w:rPr>
      </w:pPr>
      <w:r>
        <w:rPr>
          <w:rFonts w:hint="eastAsia" w:ascii="仿宋_GB2312" w:hAnsi="仿宋_GB2312" w:cs="仿宋_GB2312"/>
          <w:b/>
          <w:bCs/>
          <w:kern w:val="2"/>
          <w:szCs w:val="32"/>
        </w:rPr>
        <w:t>第三十一条</w:t>
      </w:r>
      <w:r>
        <w:rPr>
          <w:rFonts w:hint="eastAsia" w:ascii="仿宋_GB2312" w:hAnsi="仿宋_GB2312" w:cs="仿宋_GB2312"/>
          <w:kern w:val="2"/>
          <w:szCs w:val="32"/>
        </w:rPr>
        <w:t xml:space="preserve">  本办法由区科委负责解释。</w:t>
      </w:r>
    </w:p>
    <w:p>
      <w:pPr>
        <w:spacing w:line="560" w:lineRule="exact"/>
        <w:ind w:left="0" w:firstLine="642" w:firstLineChars="200"/>
        <w:rPr>
          <w:rFonts w:hint="eastAsia" w:ascii="仿宋_GB2312" w:hAnsi="仿宋_GB2312" w:cs="仿宋_GB2312"/>
          <w:kern w:val="2"/>
          <w:szCs w:val="32"/>
        </w:rPr>
      </w:pPr>
      <w:r>
        <w:rPr>
          <w:rFonts w:hint="eastAsia" w:ascii="仿宋_GB2312" w:hAnsi="仿宋_GB2312" w:cs="仿宋_GB2312"/>
          <w:b/>
          <w:bCs/>
          <w:kern w:val="2"/>
          <w:szCs w:val="32"/>
        </w:rPr>
        <w:t>第三十二条</w:t>
      </w:r>
      <w:r>
        <w:rPr>
          <w:rFonts w:hint="eastAsia" w:ascii="仿宋_GB2312" w:hAnsi="仿宋_GB2312" w:cs="仿宋_GB2312"/>
          <w:kern w:val="2"/>
          <w:szCs w:val="32"/>
        </w:rPr>
        <w:t xml:space="preserve">  本办法自</w:t>
      </w:r>
      <w:r>
        <w:rPr>
          <w:rFonts w:hint="eastAsia"/>
          <w:kern w:val="2"/>
          <w:szCs w:val="32"/>
          <w:lang w:val="en-US" w:eastAsia="zh-CN"/>
        </w:rPr>
        <w:t>发布之</w:t>
      </w:r>
      <w:r>
        <w:rPr>
          <w:rFonts w:hint="eastAsia" w:ascii="仿宋_GB2312" w:hAnsi="仿宋_GB2312" w:cs="仿宋_GB2312"/>
          <w:kern w:val="2"/>
          <w:szCs w:val="32"/>
        </w:rPr>
        <w:t>日起施行，《北京市通州区科技计划项目管理办法（试行）》（通科发〔</w:t>
      </w:r>
      <w:r>
        <w:rPr>
          <w:rFonts w:hint="eastAsia"/>
          <w:kern w:val="2"/>
          <w:szCs w:val="32"/>
        </w:rPr>
        <w:t>202</w:t>
      </w:r>
      <w:r>
        <w:rPr>
          <w:rFonts w:hint="eastAsia"/>
          <w:kern w:val="2"/>
          <w:szCs w:val="32"/>
          <w:lang w:val="en-US" w:eastAsia="zh-CN"/>
        </w:rPr>
        <w:t>3</w:t>
      </w:r>
      <w:r>
        <w:rPr>
          <w:rFonts w:hint="eastAsia"/>
          <w:kern w:val="2"/>
          <w:szCs w:val="32"/>
        </w:rPr>
        <w:t>〕</w:t>
      </w:r>
      <w:r>
        <w:rPr>
          <w:rFonts w:hint="eastAsia"/>
          <w:kern w:val="2"/>
          <w:szCs w:val="32"/>
          <w:lang w:val="en-US" w:eastAsia="zh-CN"/>
        </w:rPr>
        <w:t>8</w:t>
      </w:r>
      <w:r>
        <w:rPr>
          <w:rFonts w:hint="eastAsia" w:ascii="仿宋_GB2312" w:hAnsi="仿宋_GB2312" w:cs="仿宋_GB2312"/>
          <w:kern w:val="2"/>
          <w:szCs w:val="32"/>
        </w:rPr>
        <w:t>号）同时废止。</w:t>
      </w:r>
    </w:p>
    <w:p>
      <w:pPr>
        <w:spacing w:line="560" w:lineRule="exact"/>
        <w:ind w:left="0" w:firstLine="200"/>
        <w:rPr>
          <w:rFonts w:hint="eastAsia"/>
        </w:rPr>
      </w:pPr>
    </w:p>
    <w:p>
      <w:pPr>
        <w:pStyle w:val="2"/>
        <w:ind w:firstLine="480"/>
      </w:pPr>
    </w:p>
    <w:p>
      <w:pPr>
        <w:rPr>
          <w:rFonts w:hint="eastAsia"/>
        </w:rPr>
      </w:pPr>
    </w:p>
    <w:p>
      <w:pPr>
        <w:pStyle w:val="2"/>
        <w:ind w:firstLine="480"/>
      </w:pPr>
    </w:p>
    <w:p>
      <w:pPr>
        <w:rPr>
          <w:rFonts w:hint="eastAsia"/>
        </w:rPr>
      </w:pPr>
    </w:p>
    <w:p>
      <w:pPr>
        <w:pStyle w:val="2"/>
        <w:ind w:firstLine="480"/>
      </w:pPr>
    </w:p>
    <w:p>
      <w:pPr>
        <w:rPr>
          <w:rFonts w:hint="eastAsia"/>
        </w:rPr>
      </w:pPr>
    </w:p>
    <w:p>
      <w:pPr>
        <w:pStyle w:val="2"/>
        <w:ind w:firstLine="480"/>
      </w:pPr>
    </w:p>
    <w:p>
      <w:pPr>
        <w:rPr>
          <w:rFonts w:hint="eastAsia"/>
        </w:rPr>
      </w:pPr>
    </w:p>
    <w:p>
      <w:pPr>
        <w:pStyle w:val="2"/>
        <w:ind w:firstLine="480"/>
      </w:pPr>
    </w:p>
    <w:p>
      <w:pPr>
        <w:rPr>
          <w:rFonts w:hint="eastAsia"/>
        </w:rPr>
      </w:pPr>
    </w:p>
    <w:p>
      <w:pPr>
        <w:rPr>
          <w:rFonts w:hint="eastAsia"/>
        </w:rPr>
      </w:pPr>
    </w:p>
    <w:sectPr>
      <w:headerReference r:id="rId5" w:type="default"/>
      <w:footerReference r:id="rId7" w:type="default"/>
      <w:headerReference r:id="rId6" w:type="even"/>
      <w:footerReference r:id="rId8" w:type="even"/>
      <w:footnotePr>
        <w:numFmt w:val="decimalHalfWidth"/>
      </w:footnotePr>
      <w:endnotePr>
        <w:numFmt w:val="chineseCounting"/>
      </w:endnotePr>
      <w:pgSz w:w="11905" w:h="16837"/>
      <w:pgMar w:top="2098" w:right="1474" w:bottom="1985" w:left="1588" w:header="567" w:footer="147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2336" behindDoc="0" locked="0" layoutInCell="1" allowOverlap="1">
              <wp:simplePos x="0" y="0"/>
              <wp:positionH relativeFrom="margin">
                <wp:posOffset>4923155</wp:posOffset>
              </wp:positionH>
              <wp:positionV relativeFrom="paragraph">
                <wp:posOffset>104775</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4"/>
                            <w:rPr>
                              <w:rStyle w:val="26"/>
                            </w:rPr>
                          </w:pPr>
                          <w:r>
                            <w:rPr>
                              <w:rStyle w:val="26"/>
                              <w:rFonts w:hint="eastAsia" w:ascii="宋体" w:hAnsi="宋体" w:eastAsia="宋体" w:cs="宋体"/>
                              <w:sz w:val="28"/>
                              <w:szCs w:val="32"/>
                            </w:rPr>
                            <w:fldChar w:fldCharType="begin"/>
                          </w:r>
                          <w:r>
                            <w:rPr>
                              <w:rStyle w:val="26"/>
                              <w:rFonts w:hint="eastAsia" w:ascii="宋体" w:hAnsi="宋体" w:eastAsia="宋体" w:cs="宋体"/>
                              <w:sz w:val="28"/>
                              <w:szCs w:val="32"/>
                            </w:rPr>
                            <w:instrText xml:space="preserve">PAGE  </w:instrText>
                          </w:r>
                          <w:r>
                            <w:rPr>
                              <w:rStyle w:val="26"/>
                              <w:rFonts w:hint="eastAsia" w:ascii="宋体" w:hAnsi="宋体" w:eastAsia="宋体" w:cs="宋体"/>
                              <w:sz w:val="28"/>
                              <w:szCs w:val="32"/>
                            </w:rPr>
                            <w:fldChar w:fldCharType="separate"/>
                          </w:r>
                          <w:r>
                            <w:rPr>
                              <w:rStyle w:val="26"/>
                              <w:rFonts w:ascii="宋体" w:hAnsi="宋体" w:eastAsia="宋体" w:cs="宋体"/>
                              <w:sz w:val="28"/>
                              <w:szCs w:val="32"/>
                            </w:rPr>
                            <w:t>- 1 -</w:t>
                          </w:r>
                          <w:r>
                            <w:rPr>
                              <w:rStyle w:val="26"/>
                              <w:rFonts w:hint="eastAsia" w:ascii="宋体" w:hAnsi="宋体" w:eastAsia="宋体" w:cs="宋体"/>
                              <w:sz w:val="28"/>
                              <w:szCs w:val="32"/>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left:387.65pt;margin-top:8.25pt;height:144pt;width:144pt;mso-position-horizontal-relative:margin;mso-wrap-style:none;z-index:251662336;mso-width-relative:page;mso-height-relative:page;" filled="f" stroked="f" coordsize="21600,21600" o:gfxdata="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Dl0AbNYAAAALAQAADwAAAAAAAAABACAAAAA4AAAAZHJzL2Rv&#10;d25yZXYueG1sUEsBAhQAFAAAAAgAh07iQL2uO++0AQAAUgMAAA4AAAAAAAAAAQAgAAAAOwEAAGRy&#10;cy9lMm9Eb2MueG1sUEsFBgAAAAAGAAYAWQEAAGEFAAAAAA==&#10;">
              <v:fill on="f" focussize="0,0"/>
              <v:stroke on="f"/>
              <v:imagedata o:title=""/>
              <o:lock v:ext="edit" aspectratio="f"/>
              <v:textbox inset="0mm,0mm,0mm,0mm" style="mso-fit-shape-to-text:t;">
                <w:txbxContent>
                  <w:p>
                    <w:pPr>
                      <w:pStyle w:val="14"/>
                      <w:rPr>
                        <w:rStyle w:val="26"/>
                      </w:rPr>
                    </w:pPr>
                    <w:r>
                      <w:rPr>
                        <w:rStyle w:val="26"/>
                        <w:rFonts w:hint="eastAsia" w:ascii="宋体" w:hAnsi="宋体" w:eastAsia="宋体" w:cs="宋体"/>
                        <w:sz w:val="28"/>
                        <w:szCs w:val="32"/>
                      </w:rPr>
                      <w:fldChar w:fldCharType="begin"/>
                    </w:r>
                    <w:r>
                      <w:rPr>
                        <w:rStyle w:val="26"/>
                        <w:rFonts w:hint="eastAsia" w:ascii="宋体" w:hAnsi="宋体" w:eastAsia="宋体" w:cs="宋体"/>
                        <w:sz w:val="28"/>
                        <w:szCs w:val="32"/>
                      </w:rPr>
                      <w:instrText xml:space="preserve">PAGE  </w:instrText>
                    </w:r>
                    <w:r>
                      <w:rPr>
                        <w:rStyle w:val="26"/>
                        <w:rFonts w:hint="eastAsia" w:ascii="宋体" w:hAnsi="宋体" w:eastAsia="宋体" w:cs="宋体"/>
                        <w:sz w:val="28"/>
                        <w:szCs w:val="32"/>
                      </w:rPr>
                      <w:fldChar w:fldCharType="separate"/>
                    </w:r>
                    <w:r>
                      <w:rPr>
                        <w:rStyle w:val="26"/>
                        <w:rFonts w:ascii="宋体" w:hAnsi="宋体" w:eastAsia="宋体" w:cs="宋体"/>
                        <w:sz w:val="28"/>
                        <w:szCs w:val="32"/>
                      </w:rPr>
                      <w:t>- 1 -</w:t>
                    </w:r>
                    <w:r>
                      <w:rPr>
                        <w:rStyle w:val="26"/>
                        <w:rFonts w:hint="eastAsia" w:ascii="宋体" w:hAnsi="宋体" w:eastAsia="宋体" w:cs="宋体"/>
                        <w:sz w:val="28"/>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3360" behindDoc="0" locked="0" layoutInCell="1" allowOverlap="1">
              <wp:simplePos x="0" y="0"/>
              <wp:positionH relativeFrom="margin">
                <wp:posOffset>-209550</wp:posOffset>
              </wp:positionH>
              <wp:positionV relativeFrom="paragraph">
                <wp:posOffset>104775</wp:posOffset>
              </wp:positionV>
              <wp:extent cx="1828800" cy="304165"/>
              <wp:effectExtent l="0" t="0" r="0" b="0"/>
              <wp:wrapNone/>
              <wp:docPr id="5" name="文本框 7"/>
              <wp:cNvGraphicFramePr/>
              <a:graphic xmlns:a="http://schemas.openxmlformats.org/drawingml/2006/main">
                <a:graphicData uri="http://schemas.microsoft.com/office/word/2010/wordprocessingShape">
                  <wps:wsp>
                    <wps:cNvSpPr txBox="true"/>
                    <wps:spPr>
                      <a:xfrm>
                        <a:off x="0" y="0"/>
                        <a:ext cx="1828800" cy="304165"/>
                      </a:xfrm>
                      <a:prstGeom prst="rect">
                        <a:avLst/>
                      </a:prstGeom>
                      <a:noFill/>
                      <a:ln>
                        <a:noFill/>
                      </a:ln>
                    </wps:spPr>
                    <wps:txbx>
                      <w:txbxContent>
                        <w:p>
                          <w:pPr>
                            <w:pStyle w:val="14"/>
                            <w:rPr>
                              <w:rStyle w:val="26"/>
                              <w:rFonts w:hint="eastAsia" w:ascii="宋体" w:hAnsi="宋体" w:eastAsia="宋体" w:cs="宋体"/>
                              <w:sz w:val="28"/>
                              <w:szCs w:val="28"/>
                            </w:rPr>
                          </w:pPr>
                          <w:r>
                            <w:rPr>
                              <w:rStyle w:val="26"/>
                              <w:rFonts w:hint="eastAsia" w:ascii="宋体" w:hAnsi="宋体" w:eastAsia="宋体" w:cs="宋体"/>
                              <w:sz w:val="28"/>
                              <w:szCs w:val="28"/>
                            </w:rPr>
                            <w:fldChar w:fldCharType="begin"/>
                          </w:r>
                          <w:r>
                            <w:rPr>
                              <w:rStyle w:val="26"/>
                              <w:rFonts w:hint="eastAsia" w:ascii="宋体" w:hAnsi="宋体" w:eastAsia="宋体" w:cs="宋体"/>
                              <w:sz w:val="28"/>
                              <w:szCs w:val="28"/>
                            </w:rPr>
                            <w:instrText xml:space="preserve">PAGE  </w:instrText>
                          </w:r>
                          <w:r>
                            <w:rPr>
                              <w:rStyle w:val="26"/>
                              <w:rFonts w:hint="eastAsia" w:ascii="宋体" w:hAnsi="宋体" w:eastAsia="宋体" w:cs="宋体"/>
                              <w:sz w:val="28"/>
                              <w:szCs w:val="28"/>
                            </w:rPr>
                            <w:fldChar w:fldCharType="separate"/>
                          </w:r>
                          <w:r>
                            <w:rPr>
                              <w:rStyle w:val="26"/>
                              <w:rFonts w:ascii="宋体" w:hAnsi="宋体" w:eastAsia="宋体" w:cs="宋体"/>
                              <w:sz w:val="28"/>
                              <w:szCs w:val="28"/>
                            </w:rPr>
                            <w:t>- 12 -</w:t>
                          </w:r>
                          <w:r>
                            <w:rPr>
                              <w:rStyle w:val="26"/>
                              <w:rFonts w:hint="eastAsia" w:ascii="宋体" w:hAnsi="宋体" w:eastAsia="宋体" w:cs="宋体"/>
                              <w:sz w:val="28"/>
                              <w:szCs w:val="28"/>
                            </w:rPr>
                            <w:fldChar w:fldCharType="end"/>
                          </w:r>
                        </w:p>
                      </w:txbxContent>
                    </wps:txbx>
                    <wps:bodyPr wrap="none" lIns="0" tIns="0" rIns="0" bIns="0" upright="false"/>
                  </wps:wsp>
                </a:graphicData>
              </a:graphic>
            </wp:anchor>
          </w:drawing>
        </mc:Choice>
        <mc:Fallback>
          <w:pict>
            <v:shape id="文本框 7" o:spid="_x0000_s1026" o:spt="202" type="#_x0000_t202" style="position:absolute;left:0pt;margin-left:-16.5pt;margin-top:8.25pt;height:23.95pt;width:144pt;mso-position-horizontal-relative:margin;mso-wrap-style:none;z-index:251663360;mso-width-relative:page;mso-height-relative:page;" filled="f" stroked="f" coordsize="21600,21600" o:gfxdata="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LZ7oJvXAAAACQEAAA8AAAAAAAAAAQAgAAAAOAAAAGRycy9kb3ducmV2Lnht&#10;bFBLAQIUABQAAAAIAIdO4kCw/QiYqwEAADcDAAAOAAAAAAAAAAEAIAAAADwBAABkcnMvZTJvRG9j&#10;LnhtbFBLBQYAAAAABgAGAFkBAABZBQAAAAA=&#10;">
              <v:fill on="f" focussize="0,0"/>
              <v:stroke on="f"/>
              <v:imagedata o:title=""/>
              <o:lock v:ext="edit" aspectratio="f"/>
              <v:textbox inset="0mm,0mm,0mm,0mm">
                <w:txbxContent>
                  <w:p>
                    <w:pPr>
                      <w:pStyle w:val="14"/>
                      <w:rPr>
                        <w:rStyle w:val="26"/>
                        <w:rFonts w:hint="eastAsia" w:ascii="宋体" w:hAnsi="宋体" w:eastAsia="宋体" w:cs="宋体"/>
                        <w:sz w:val="28"/>
                        <w:szCs w:val="28"/>
                      </w:rPr>
                    </w:pPr>
                    <w:r>
                      <w:rPr>
                        <w:rStyle w:val="26"/>
                        <w:rFonts w:hint="eastAsia" w:ascii="宋体" w:hAnsi="宋体" w:eastAsia="宋体" w:cs="宋体"/>
                        <w:sz w:val="28"/>
                        <w:szCs w:val="28"/>
                      </w:rPr>
                      <w:fldChar w:fldCharType="begin"/>
                    </w:r>
                    <w:r>
                      <w:rPr>
                        <w:rStyle w:val="26"/>
                        <w:rFonts w:hint="eastAsia" w:ascii="宋体" w:hAnsi="宋体" w:eastAsia="宋体" w:cs="宋体"/>
                        <w:sz w:val="28"/>
                        <w:szCs w:val="28"/>
                      </w:rPr>
                      <w:instrText xml:space="preserve">PAGE  </w:instrText>
                    </w:r>
                    <w:r>
                      <w:rPr>
                        <w:rStyle w:val="26"/>
                        <w:rFonts w:hint="eastAsia" w:ascii="宋体" w:hAnsi="宋体" w:eastAsia="宋体" w:cs="宋体"/>
                        <w:sz w:val="28"/>
                        <w:szCs w:val="28"/>
                      </w:rPr>
                      <w:fldChar w:fldCharType="separate"/>
                    </w:r>
                    <w:r>
                      <w:rPr>
                        <w:rStyle w:val="26"/>
                        <w:rFonts w:ascii="宋体" w:hAnsi="宋体" w:eastAsia="宋体" w:cs="宋体"/>
                        <w:sz w:val="28"/>
                        <w:szCs w:val="28"/>
                      </w:rPr>
                      <w:t>- 12 -</w:t>
                    </w:r>
                    <w:r>
                      <w:rPr>
                        <w:rStyle w:val="26"/>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5615940" cy="32385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5615940" cy="323850"/>
                      </a:xfrm>
                      <a:prstGeom prst="rect">
                        <a:avLst/>
                      </a:prstGeom>
                      <a:noFill/>
                      <a:ln>
                        <a:noFill/>
                      </a:ln>
                    </wps:spPr>
                    <wps:txbx>
                      <w:txbxContent>
                        <w:p>
                          <w:pPr>
                            <w:spacing w:line="439" w:lineRule="atLeast"/>
                            <w:ind w:firstLine="0"/>
                            <w:jc w:val="center"/>
                            <w:rPr>
                              <w:rFonts w:hint="eastAsia" w:ascii="仿宋_GB2312"/>
                              <w:sz w:val="28"/>
                            </w:rPr>
                          </w:pPr>
                        </w:p>
                      </w:txbxContent>
                    </wps:txbx>
                    <wps:bodyPr wrap="square" lIns="0" tIns="0" rIns="0" bIns="0" upright="true"/>
                  </wps:wsp>
                </a:graphicData>
              </a:graphic>
            </wp:anchor>
          </w:drawing>
        </mc:Choice>
        <mc:Fallback>
          <w:pict>
            <v:shape id="_x0000_s1026" o:spid="_x0000_s1026" o:spt="202" type="#_x0000_t202" style="position:absolute;left:0pt;margin-left:0pt;margin-top:0pt;height:25.5pt;width:442.2pt;z-index:251661312;mso-width-relative:page;mso-height-relative:page;" filled="f" stroked="f" coordsize="21600,21600" o:gfxdata="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NwTbnPUAAAABAEAAA8AAAAAAAAAAQAgAAAAOAAAAGRycy9kb3ducmV2LnhtbFBL&#10;AQIUABQAAAAIAIdO4kDlABzCqwEAADgDAAAOAAAAAAAAAAEAIAAAADkBAABkcnMvZTJvRG9jLnht&#10;bFBLBQYAAAAABgAGAFkBAABWBQAAAAA=&#10;">
              <v:fill on="f" focussize="0,0"/>
              <v:stroke on="f"/>
              <v:imagedata o:title=""/>
              <o:lock v:ext="edit" aspectratio="f"/>
              <v:textbox inset="0mm,0mm,0mm,0mm">
                <w:txbxContent>
                  <w:p>
                    <w:pPr>
                      <w:spacing w:line="439" w:lineRule="atLeast"/>
                      <w:ind w:firstLine="0"/>
                      <w:jc w:val="center"/>
                      <w:rPr>
                        <w:rFonts w:hint="eastAsia" w:ascii="仿宋_GB2312"/>
                        <w:sz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5615940" cy="97155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615940" cy="971550"/>
                      </a:xfrm>
                      <a:prstGeom prst="rect">
                        <a:avLst/>
                      </a:prstGeom>
                      <a:noFill/>
                      <a:ln>
                        <a:noFill/>
                      </a:ln>
                    </wps:spPr>
                    <wps:txbx>
                      <w:txbxContent>
                        <w:p>
                          <w:pPr>
                            <w:spacing w:line="272" w:lineRule="atLeast"/>
                            <w:rPr>
                              <w:rFonts w:hint="eastAsia"/>
                            </w:rPr>
                          </w:pPr>
                        </w:p>
                      </w:txbxContent>
                    </wps:txbx>
                    <wps:bodyPr wrap="square" lIns="0" tIns="0" rIns="0" bIns="0" upright="true"/>
                  </wps:wsp>
                </a:graphicData>
              </a:graphic>
            </wp:anchor>
          </w:drawing>
        </mc:Choice>
        <mc:Fallback>
          <w:pict>
            <v:shape id="_x0000_s1026" o:spid="_x0000_s1026" o:spt="202" type="#_x0000_t202" style="position:absolute;left:0pt;margin-left:0pt;margin-top:0pt;height:76.5pt;width:442.2pt;z-index:251660288;mso-width-relative:page;mso-height-relative:page;" filled="f" stroked="f" coordsize="21600,21600" o:gfxdata="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B/YuHbVAAAABQEAAA8AAAAAAAAAAQAgAAAAOAAAAGRycy9kb3ducmV2LnhtbFBL&#10;AQIUABQAAAAIAIdO4kAVKXN5qgEAADgDAAAOAAAAAAAAAAEAIAAAADoBAABkcnMvZTJvRG9jLnht&#10;bFBLBQYAAAAABgAGAFkBAABWBQAAAAA=&#10;">
              <v:fill on="f" focussize="0,0"/>
              <v:stroke on="f"/>
              <v:imagedata o:title=""/>
              <o:lock v:ext="edit" aspectratio="f"/>
              <v:textbox inset="0mm,0mm,0mm,0mm">
                <w:txbxContent>
                  <w:p>
                    <w:pPr>
                      <w:spacing w:line="272" w:lineRule="atLeast"/>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5615940" cy="97155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615940" cy="971550"/>
                      </a:xfrm>
                      <a:prstGeom prst="rect">
                        <a:avLst/>
                      </a:prstGeom>
                      <a:noFill/>
                      <a:ln>
                        <a:noFill/>
                      </a:ln>
                    </wps:spPr>
                    <wps:txbx>
                      <w:txbxContent>
                        <w:p>
                          <w:pPr>
                            <w:spacing w:line="272" w:lineRule="atLeast"/>
                            <w:rPr>
                              <w:rFonts w:hint="eastAsia"/>
                            </w:rPr>
                          </w:pPr>
                        </w:p>
                      </w:txbxContent>
                    </wps:txbx>
                    <wps:bodyPr wrap="square" lIns="0" tIns="0" rIns="0" bIns="0" upright="true"/>
                  </wps:wsp>
                </a:graphicData>
              </a:graphic>
            </wp:anchor>
          </w:drawing>
        </mc:Choice>
        <mc:Fallback>
          <w:pict>
            <v:shape id="_x0000_s1026" o:spid="_x0000_s1026" o:spt="202" type="#_x0000_t202" style="position:absolute;left:0pt;margin-left:0pt;margin-top:0pt;height:76.5pt;width:442.2pt;z-index:251659264;mso-width-relative:page;mso-height-relative:page;" filled="f" stroked="f" coordsize="21600,21600" o:gfxdata="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B/YuHbVAAAABQEAAA8AAAAAAAAAAQAgAAAAOAAAAGRycy9kb3ducmV2LnhtbFBL&#10;AQIUABQAAAAIAIdO4kBJV617qgEAADgDAAAOAAAAAAAAAAEAIAAAADoBAABkcnMvZTJvRG9jLnht&#10;bFBLBQYAAAAABgAGAFkBAABWBQAAAAA=&#10;">
              <v:fill on="f" focussize="0,0"/>
              <v:stroke on="f"/>
              <v:imagedata o:title=""/>
              <o:lock v:ext="edit" aspectratio="f"/>
              <v:textbox inset="0mm,0mm,0mm,0mm">
                <w:txbxContent>
                  <w:p>
                    <w:pPr>
                      <w:spacing w:line="272" w:lineRule="atLeast"/>
                      <w:rPr>
                        <w:rFonts w:hint="eastAsia"/>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F430E"/>
    <w:multiLevelType w:val="singleLevel"/>
    <w:tmpl w:val="E7BF43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true"/>
  <w:bordersDoNotSurroundFooter w:val="true"/>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39"/>
  <w:hyphenationZone w:val="360"/>
  <w:evenAndOddHeaders w:val="true"/>
  <w:drawingGridHorizontalSpacing w:val="0"/>
  <w:drawingGridVerticalSpacing w:val="0"/>
  <w:displayHorizontalDrawingGridEvery w:val="0"/>
  <w:displayVerticalDrawingGridEvery w:val="0"/>
  <w:doNotUseMarginsForDrawingGridOrigin w:val="true"/>
  <w:drawingGridHorizontalOrigin w:val="0"/>
  <w:drawingGridVerticalOrigin w:val="0"/>
  <w:doNotShadeFormData w:val="true"/>
  <w:characterSpacingControl w:val="compressPunctuation"/>
  <w:doNotValidateAgainstSchema/>
  <w:doNotDemarcateInvalidXml/>
  <w:hdrShapeDefaults>
    <o:shapelayout v:ext="edit">
      <o:idmap v:ext="edit" data="1"/>
    </o:shapelayout>
  </w:hdrShapeDefaults>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ZDMxODBmZjE3NTZmYWY2ZGMwNjEyODliYjYxZjAifQ=="/>
  </w:docVars>
  <w:rsids>
    <w:rsidRoot w:val="00172A27"/>
    <w:rsid w:val="00044199"/>
    <w:rsid w:val="000453F9"/>
    <w:rsid w:val="00083B47"/>
    <w:rsid w:val="00091460"/>
    <w:rsid w:val="000A1EE4"/>
    <w:rsid w:val="000B445B"/>
    <w:rsid w:val="000D476F"/>
    <w:rsid w:val="000E4DCE"/>
    <w:rsid w:val="000F4E04"/>
    <w:rsid w:val="00102118"/>
    <w:rsid w:val="00164A6C"/>
    <w:rsid w:val="001963C1"/>
    <w:rsid w:val="00202103"/>
    <w:rsid w:val="00224AE0"/>
    <w:rsid w:val="002260EB"/>
    <w:rsid w:val="002D09F8"/>
    <w:rsid w:val="002D23CB"/>
    <w:rsid w:val="002D396E"/>
    <w:rsid w:val="002E3CAB"/>
    <w:rsid w:val="002F65C3"/>
    <w:rsid w:val="00301696"/>
    <w:rsid w:val="00320BD6"/>
    <w:rsid w:val="00372435"/>
    <w:rsid w:val="003805C0"/>
    <w:rsid w:val="0038598B"/>
    <w:rsid w:val="003A2160"/>
    <w:rsid w:val="003D1193"/>
    <w:rsid w:val="0041507F"/>
    <w:rsid w:val="00431A0B"/>
    <w:rsid w:val="004535D2"/>
    <w:rsid w:val="00456AA6"/>
    <w:rsid w:val="00460C45"/>
    <w:rsid w:val="00470C2E"/>
    <w:rsid w:val="00486821"/>
    <w:rsid w:val="00494201"/>
    <w:rsid w:val="004A489A"/>
    <w:rsid w:val="004B60DE"/>
    <w:rsid w:val="004C011D"/>
    <w:rsid w:val="004F189D"/>
    <w:rsid w:val="0051406A"/>
    <w:rsid w:val="005D0A9B"/>
    <w:rsid w:val="005F4A7B"/>
    <w:rsid w:val="00610F29"/>
    <w:rsid w:val="00697EB6"/>
    <w:rsid w:val="006B2554"/>
    <w:rsid w:val="00700368"/>
    <w:rsid w:val="00725D69"/>
    <w:rsid w:val="00726767"/>
    <w:rsid w:val="00755CFD"/>
    <w:rsid w:val="00782944"/>
    <w:rsid w:val="007A137E"/>
    <w:rsid w:val="007B1BFE"/>
    <w:rsid w:val="007D4F50"/>
    <w:rsid w:val="007E408E"/>
    <w:rsid w:val="00803B98"/>
    <w:rsid w:val="0081204A"/>
    <w:rsid w:val="00813DFB"/>
    <w:rsid w:val="0081697A"/>
    <w:rsid w:val="00821812"/>
    <w:rsid w:val="008400CD"/>
    <w:rsid w:val="0086286A"/>
    <w:rsid w:val="008A3FF5"/>
    <w:rsid w:val="008C3FB6"/>
    <w:rsid w:val="008E3DE0"/>
    <w:rsid w:val="008F051B"/>
    <w:rsid w:val="0093063D"/>
    <w:rsid w:val="00942F7B"/>
    <w:rsid w:val="00947424"/>
    <w:rsid w:val="00955346"/>
    <w:rsid w:val="00981639"/>
    <w:rsid w:val="009816A1"/>
    <w:rsid w:val="009C3508"/>
    <w:rsid w:val="009D63CE"/>
    <w:rsid w:val="00A241C7"/>
    <w:rsid w:val="00A554AC"/>
    <w:rsid w:val="00A67343"/>
    <w:rsid w:val="00A7254A"/>
    <w:rsid w:val="00A96466"/>
    <w:rsid w:val="00AA5247"/>
    <w:rsid w:val="00AE4552"/>
    <w:rsid w:val="00AF187D"/>
    <w:rsid w:val="00B0157D"/>
    <w:rsid w:val="00B2619E"/>
    <w:rsid w:val="00B7122B"/>
    <w:rsid w:val="00B8196C"/>
    <w:rsid w:val="00B94E81"/>
    <w:rsid w:val="00BA047A"/>
    <w:rsid w:val="00BB64CE"/>
    <w:rsid w:val="00BD2648"/>
    <w:rsid w:val="00C2677F"/>
    <w:rsid w:val="00C3567F"/>
    <w:rsid w:val="00CA35DD"/>
    <w:rsid w:val="00CB1141"/>
    <w:rsid w:val="00D20A53"/>
    <w:rsid w:val="00D434CE"/>
    <w:rsid w:val="00D64A89"/>
    <w:rsid w:val="00D7367E"/>
    <w:rsid w:val="00D95031"/>
    <w:rsid w:val="00DF722B"/>
    <w:rsid w:val="00E037BE"/>
    <w:rsid w:val="00E140C4"/>
    <w:rsid w:val="00E51FBD"/>
    <w:rsid w:val="00E63505"/>
    <w:rsid w:val="00E71F08"/>
    <w:rsid w:val="00EA2159"/>
    <w:rsid w:val="00EB6797"/>
    <w:rsid w:val="00F1407D"/>
    <w:rsid w:val="00F53E5E"/>
    <w:rsid w:val="00F855D3"/>
    <w:rsid w:val="00FA7EE3"/>
    <w:rsid w:val="00FF0C5F"/>
    <w:rsid w:val="00FF15BC"/>
    <w:rsid w:val="0A251E39"/>
    <w:rsid w:val="122B57D4"/>
    <w:rsid w:val="14BA6305"/>
    <w:rsid w:val="1EDA9D92"/>
    <w:rsid w:val="1EE9A514"/>
    <w:rsid w:val="2DFE3EEF"/>
    <w:rsid w:val="3569CE7A"/>
    <w:rsid w:val="3777EDBA"/>
    <w:rsid w:val="37FD3BE8"/>
    <w:rsid w:val="38533B13"/>
    <w:rsid w:val="3B49EF74"/>
    <w:rsid w:val="3FA6BB7E"/>
    <w:rsid w:val="3FF33517"/>
    <w:rsid w:val="3FF580D2"/>
    <w:rsid w:val="3FFB0092"/>
    <w:rsid w:val="47CD9350"/>
    <w:rsid w:val="4A1721DA"/>
    <w:rsid w:val="4BFFF382"/>
    <w:rsid w:val="57C6A951"/>
    <w:rsid w:val="5CFE0C1B"/>
    <w:rsid w:val="5D1AC512"/>
    <w:rsid w:val="5D3DFBCC"/>
    <w:rsid w:val="5D5F1AC1"/>
    <w:rsid w:val="5DDB040C"/>
    <w:rsid w:val="5F3BDDB6"/>
    <w:rsid w:val="5FAAB3B2"/>
    <w:rsid w:val="5FB776D4"/>
    <w:rsid w:val="5FBF5618"/>
    <w:rsid w:val="5FDF3803"/>
    <w:rsid w:val="6CD35536"/>
    <w:rsid w:val="6D1F232A"/>
    <w:rsid w:val="6DB1AF6D"/>
    <w:rsid w:val="6F2B2C5E"/>
    <w:rsid w:val="6FBFCF7E"/>
    <w:rsid w:val="6FEC1057"/>
    <w:rsid w:val="71B45C3F"/>
    <w:rsid w:val="71DF04D5"/>
    <w:rsid w:val="72EF0154"/>
    <w:rsid w:val="77910F2C"/>
    <w:rsid w:val="779C34C3"/>
    <w:rsid w:val="77E4C25A"/>
    <w:rsid w:val="789F7321"/>
    <w:rsid w:val="79503A06"/>
    <w:rsid w:val="7AFF8CD7"/>
    <w:rsid w:val="7BDB8CE7"/>
    <w:rsid w:val="7BFBB346"/>
    <w:rsid w:val="7BFFCB4C"/>
    <w:rsid w:val="7C5EA5AD"/>
    <w:rsid w:val="7D03656E"/>
    <w:rsid w:val="7D17253D"/>
    <w:rsid w:val="7DC727FE"/>
    <w:rsid w:val="7DEF18BF"/>
    <w:rsid w:val="7DF7E17F"/>
    <w:rsid w:val="7EAFD2A5"/>
    <w:rsid w:val="7EC7724A"/>
    <w:rsid w:val="7EE7E78C"/>
    <w:rsid w:val="7EF6A393"/>
    <w:rsid w:val="7F760BA9"/>
    <w:rsid w:val="7F7F1CC6"/>
    <w:rsid w:val="7FBB5D19"/>
    <w:rsid w:val="7FBF2376"/>
    <w:rsid w:val="7FFBCA4C"/>
    <w:rsid w:val="959F2A21"/>
    <w:rsid w:val="9D5B3193"/>
    <w:rsid w:val="9D7329F6"/>
    <w:rsid w:val="9F6FAF08"/>
    <w:rsid w:val="ABFFB6AB"/>
    <w:rsid w:val="AF7FFEF1"/>
    <w:rsid w:val="B74D4073"/>
    <w:rsid w:val="BABDA892"/>
    <w:rsid w:val="BB6BFA55"/>
    <w:rsid w:val="BD7E3B6E"/>
    <w:rsid w:val="BE738381"/>
    <w:rsid w:val="BE9F3DF7"/>
    <w:rsid w:val="BF37EFE1"/>
    <w:rsid w:val="BFEF7A77"/>
    <w:rsid w:val="C5FBA76C"/>
    <w:rsid w:val="C6F6191F"/>
    <w:rsid w:val="C7FF0587"/>
    <w:rsid w:val="CFCE3119"/>
    <w:rsid w:val="CFF21304"/>
    <w:rsid w:val="D37F63C5"/>
    <w:rsid w:val="D3FF787D"/>
    <w:rsid w:val="D66F529D"/>
    <w:rsid w:val="D7FF841D"/>
    <w:rsid w:val="DBB7D8E7"/>
    <w:rsid w:val="DE7FAA1A"/>
    <w:rsid w:val="DE8F1DE6"/>
    <w:rsid w:val="DEC75D73"/>
    <w:rsid w:val="DEEFED2E"/>
    <w:rsid w:val="DFBA4755"/>
    <w:rsid w:val="DFF9AAD6"/>
    <w:rsid w:val="DFFFD140"/>
    <w:rsid w:val="E5676515"/>
    <w:rsid w:val="EB37AE24"/>
    <w:rsid w:val="EBF7C9F0"/>
    <w:rsid w:val="ECE4CCD1"/>
    <w:rsid w:val="ED3F3638"/>
    <w:rsid w:val="EDE55283"/>
    <w:rsid w:val="EDFC8ABA"/>
    <w:rsid w:val="EFDFEB01"/>
    <w:rsid w:val="F0DF925F"/>
    <w:rsid w:val="F3733973"/>
    <w:rsid w:val="F3D3466A"/>
    <w:rsid w:val="F5B7699C"/>
    <w:rsid w:val="F73F165A"/>
    <w:rsid w:val="F7FEC550"/>
    <w:rsid w:val="F7FF319E"/>
    <w:rsid w:val="F8BF709B"/>
    <w:rsid w:val="F8F2732C"/>
    <w:rsid w:val="FA7AB553"/>
    <w:rsid w:val="FA7F6C69"/>
    <w:rsid w:val="FB6F1D8C"/>
    <w:rsid w:val="FBBEAA22"/>
    <w:rsid w:val="FBF9C429"/>
    <w:rsid w:val="FDBB7A42"/>
    <w:rsid w:val="FDCF765C"/>
    <w:rsid w:val="FF3F1C36"/>
    <w:rsid w:val="FF6EF76B"/>
    <w:rsid w:val="FFDFF93A"/>
    <w:rsid w:val="FFE87E16"/>
    <w:rsid w:val="FFF14249"/>
    <w:rsid w:val="FFFB9244"/>
    <w:rsid w:val="FFFFC8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46" w:lineRule="auto"/>
      <w:ind w:left="1" w:firstLine="419"/>
      <w:jc w:val="both"/>
      <w:textAlignment w:val="bottom"/>
    </w:pPr>
    <w:rPr>
      <w:rFonts w:ascii="Times New Roman" w:hAnsi="Times New Roman" w:eastAsia="仿宋_GB2312" w:cs="Times New Roman"/>
      <w:sz w:val="32"/>
      <w:lang w:val="en-US" w:eastAsia="zh-CN" w:bidi="ar-SA"/>
    </w:rPr>
  </w:style>
  <w:style w:type="paragraph" w:styleId="4">
    <w:name w:val="heading 1"/>
    <w:basedOn w:val="1"/>
    <w:next w:val="5"/>
    <w:qFormat/>
    <w:uiPriority w:val="0"/>
    <w:pPr>
      <w:spacing w:before="104" w:beforeLines="0" w:beforeAutospacing="0" w:after="104" w:afterLines="0" w:afterAutospacing="0" w:line="0" w:lineRule="atLeast"/>
      <w:ind w:firstLine="0" w:firstLineChars="0"/>
      <w:jc w:val="center"/>
      <w:outlineLvl w:val="0"/>
    </w:pPr>
    <w:rPr>
      <w:rFonts w:ascii="Arial" w:hAnsi="Arial" w:eastAsia="黑体"/>
      <w:sz w:val="32"/>
    </w:rPr>
  </w:style>
  <w:style w:type="paragraph" w:styleId="5">
    <w:name w:val="heading 2"/>
    <w:basedOn w:val="1"/>
    <w:next w:val="6"/>
    <w:qFormat/>
    <w:uiPriority w:val="0"/>
    <w:pPr>
      <w:spacing w:line="0" w:lineRule="atLeast"/>
      <w:ind w:firstLine="0" w:firstLineChars="0"/>
      <w:jc w:val="center"/>
      <w:outlineLvl w:val="1"/>
    </w:pPr>
    <w:rPr>
      <w:rFonts w:ascii="Times New Roman" w:hAnsi="Times New Roman"/>
      <w:sz w:val="28"/>
    </w:rPr>
  </w:style>
  <w:style w:type="paragraph" w:styleId="6">
    <w:name w:val="heading 3"/>
    <w:basedOn w:val="1"/>
    <w:next w:val="1"/>
    <w:qFormat/>
    <w:uiPriority w:val="0"/>
    <w:pPr>
      <w:spacing w:before="104" w:beforeLines="0" w:beforeAutospacing="0" w:after="104" w:afterLines="0" w:afterAutospacing="0"/>
      <w:ind w:firstLine="0" w:firstLineChars="0"/>
      <w:outlineLvl w:val="2"/>
    </w:pPr>
    <w:rPr>
      <w:rFonts w:eastAsia="黑体"/>
    </w:rPr>
  </w:style>
  <w:style w:type="character" w:default="1" w:styleId="25">
    <w:name w:val="Default Paragraph Font"/>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widowControl/>
      <w:spacing w:line="360" w:lineRule="auto"/>
      <w:ind w:left="480" w:leftChars="0" w:firstLine="0" w:firstLineChars="0"/>
    </w:pPr>
    <w:rPr>
      <w:rFonts w:hint="eastAsia" w:hAnsi="宋体"/>
      <w:color w:val="000000"/>
      <w:sz w:val="24"/>
    </w:rPr>
  </w:style>
  <w:style w:type="paragraph" w:styleId="7">
    <w:name w:val="annotation text"/>
    <w:basedOn w:val="1"/>
    <w:qFormat/>
    <w:uiPriority w:val="0"/>
    <w:pPr>
      <w:jc w:val="left"/>
    </w:pPr>
  </w:style>
  <w:style w:type="paragraph" w:styleId="8">
    <w:name w:val="Body Text"/>
    <w:basedOn w:val="1"/>
    <w:next w:val="1"/>
    <w:qFormat/>
    <w:uiPriority w:val="0"/>
    <w:rPr>
      <w:rFonts w:eastAsia="仿宋_GB2312"/>
      <w:sz w:val="32"/>
    </w:rPr>
  </w:style>
  <w:style w:type="paragraph" w:styleId="9">
    <w:name w:val="toc 3"/>
    <w:basedOn w:val="1"/>
    <w:next w:val="1"/>
    <w:qFormat/>
    <w:uiPriority w:val="0"/>
    <w:pPr>
      <w:spacing w:line="305" w:lineRule="auto"/>
    </w:pPr>
  </w:style>
  <w:style w:type="paragraph" w:styleId="10">
    <w:name w:val="Plain Text"/>
    <w:basedOn w:val="1"/>
    <w:qFormat/>
    <w:uiPriority w:val="0"/>
    <w:rPr>
      <w:rFonts w:ascii="宋体" w:hAnsi="Courier New"/>
    </w:rPr>
  </w:style>
  <w:style w:type="paragraph" w:styleId="11">
    <w:name w:val="Date"/>
    <w:basedOn w:val="1"/>
    <w:next w:val="1"/>
    <w:link w:val="28"/>
    <w:qFormat/>
    <w:uiPriority w:val="0"/>
    <w:pPr>
      <w:ind w:left="100" w:leftChars="2500"/>
    </w:pPr>
  </w:style>
  <w:style w:type="paragraph" w:styleId="12">
    <w:name w:val="Body Text Indent 2"/>
    <w:basedOn w:val="1"/>
    <w:next w:val="8"/>
    <w:qFormat/>
    <w:uiPriority w:val="0"/>
    <w:pPr>
      <w:spacing w:after="120" w:line="480" w:lineRule="auto"/>
      <w:ind w:left="200" w:leftChars="200"/>
    </w:pPr>
  </w:style>
  <w:style w:type="paragraph" w:styleId="13">
    <w:name w:val="Balloon Text"/>
    <w:basedOn w:val="1"/>
    <w:link w:val="29"/>
    <w:qFormat/>
    <w:uiPriority w:val="0"/>
    <w:pPr>
      <w:spacing w:line="240" w:lineRule="auto"/>
    </w:pPr>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tabs>
        <w:tab w:val="center" w:pos="4153"/>
        <w:tab w:val="right" w:pos="8306"/>
      </w:tabs>
      <w:snapToGrid w:val="0"/>
    </w:pPr>
    <w:rPr>
      <w:sz w:val="18"/>
    </w:rPr>
  </w:style>
  <w:style w:type="paragraph" w:styleId="16">
    <w:name w:val="toc 1"/>
    <w:basedOn w:val="1"/>
    <w:next w:val="1"/>
    <w:qFormat/>
    <w:uiPriority w:val="0"/>
    <w:pPr>
      <w:spacing w:after="104" w:afterLines="0" w:afterAutospacing="0" w:line="0" w:lineRule="atLeast"/>
      <w:ind w:firstLine="0" w:firstLineChars="0"/>
      <w:jc w:val="left"/>
    </w:pPr>
    <w:rPr>
      <w:rFonts w:ascii="Arial" w:hAnsi="Arial" w:eastAsia="黑体"/>
      <w:sz w:val="28"/>
    </w:rPr>
  </w:style>
  <w:style w:type="paragraph" w:styleId="17">
    <w:name w:val="toc 4"/>
    <w:basedOn w:val="1"/>
    <w:next w:val="1"/>
    <w:qFormat/>
    <w:uiPriority w:val="0"/>
    <w:pPr>
      <w:spacing w:line="305" w:lineRule="auto"/>
      <w:ind w:firstLine="629" w:firstLineChars="0"/>
    </w:pPr>
  </w:style>
  <w:style w:type="paragraph" w:styleId="18">
    <w:name w:val="Subtitle"/>
    <w:basedOn w:val="1"/>
    <w:next w:val="1"/>
    <w:link w:val="30"/>
    <w:qFormat/>
    <w:uiPriority w:val="0"/>
    <w:pPr>
      <w:spacing w:line="560" w:lineRule="exact"/>
      <w:ind w:left="0" w:firstLine="200" w:firstLineChars="200"/>
      <w:textAlignment w:val="auto"/>
      <w:outlineLvl w:val="1"/>
    </w:pPr>
    <w:rPr>
      <w:rFonts w:ascii="Cambria" w:hAnsi="Cambria" w:eastAsia="楷体_GB2312"/>
      <w:b/>
      <w:bCs/>
      <w:kern w:val="28"/>
      <w:szCs w:val="32"/>
    </w:rPr>
  </w:style>
  <w:style w:type="paragraph" w:styleId="19">
    <w:name w:val="toc 2"/>
    <w:basedOn w:val="1"/>
    <w:next w:val="1"/>
    <w:qFormat/>
    <w:uiPriority w:val="0"/>
    <w:pPr>
      <w:spacing w:line="305" w:lineRule="auto"/>
      <w:ind w:firstLine="209" w:firstLineChars="0"/>
    </w:pPr>
  </w:style>
  <w:style w:type="paragraph" w:styleId="20">
    <w:name w:val="Body Text 2"/>
    <w:basedOn w:val="1"/>
    <w:qFormat/>
    <w:uiPriority w:val="0"/>
    <w:pPr>
      <w:spacing w:line="240" w:lineRule="auto"/>
      <w:ind w:left="0" w:leftChars="0" w:firstLine="420" w:firstLineChars="200"/>
      <w:textAlignment w:val="auto"/>
    </w:pPr>
    <w:rPr>
      <w:rFonts w:hint="eastAsia" w:eastAsia="宋体"/>
      <w:kern w:val="2"/>
      <w:sz w:val="28"/>
      <w:lang w:val="en-US" w:eastAsia="zh-CN"/>
    </w:rPr>
  </w:style>
  <w:style w:type="paragraph" w:styleId="21">
    <w:name w:val="Normal (Web)"/>
    <w:basedOn w:val="1"/>
    <w:qFormat/>
    <w:uiPriority w:val="0"/>
    <w:pPr>
      <w:widowControl/>
      <w:spacing w:line="240" w:lineRule="auto"/>
      <w:ind w:left="0" w:firstLine="0"/>
      <w:jc w:val="left"/>
      <w:textAlignment w:val="auto"/>
    </w:pPr>
    <w:rPr>
      <w:rFonts w:ascii="宋体" w:hAnsi="宋体" w:eastAsia="宋体" w:cs="宋体"/>
      <w:sz w:val="24"/>
      <w:szCs w:val="24"/>
      <w:lang w:val="en-US" w:eastAsia="zh-CN"/>
    </w:rPr>
  </w:style>
  <w:style w:type="paragraph" w:styleId="22">
    <w:name w:val="Title"/>
    <w:basedOn w:val="1"/>
    <w:next w:val="23"/>
    <w:qFormat/>
    <w:uiPriority w:val="0"/>
    <w:pPr>
      <w:spacing w:before="209" w:beforeLines="0" w:beforeAutospacing="0" w:after="209" w:afterLines="0" w:afterAutospacing="0" w:line="0" w:lineRule="atLeast"/>
      <w:ind w:firstLine="0" w:firstLineChars="0"/>
      <w:jc w:val="center"/>
    </w:pPr>
    <w:rPr>
      <w:rFonts w:ascii="Arial" w:hAnsi="Arial" w:eastAsia="黑体"/>
      <w:sz w:val="52"/>
    </w:rPr>
  </w:style>
  <w:style w:type="paragraph" w:customStyle="1" w:styleId="23">
    <w:name w:val="文章附标题"/>
    <w:basedOn w:val="1"/>
    <w:next w:val="4"/>
    <w:qFormat/>
    <w:uiPriority w:val="0"/>
    <w:pPr>
      <w:spacing w:before="104" w:beforeLines="0" w:beforeAutospacing="0" w:after="104" w:afterLines="0" w:afterAutospacing="0" w:line="0" w:lineRule="atLeast"/>
      <w:ind w:firstLine="0" w:firstLineChars="0"/>
      <w:jc w:val="center"/>
    </w:pPr>
    <w:rPr>
      <w:sz w:val="36"/>
    </w:rPr>
  </w:style>
  <w:style w:type="character" w:styleId="26">
    <w:name w:val="page number"/>
    <w:qFormat/>
    <w:uiPriority w:val="0"/>
    <w:rPr>
      <w:rFonts w:hint="default"/>
    </w:rPr>
  </w:style>
  <w:style w:type="character" w:styleId="27">
    <w:name w:val="Hyperlink"/>
    <w:qFormat/>
    <w:uiPriority w:val="0"/>
    <w:rPr>
      <w:rFonts w:hint="default"/>
      <w:color w:val="0000FF"/>
      <w:u w:val="single"/>
    </w:rPr>
  </w:style>
  <w:style w:type="character" w:customStyle="1" w:styleId="28">
    <w:name w:val="日期 Char"/>
    <w:link w:val="11"/>
    <w:qFormat/>
    <w:uiPriority w:val="0"/>
    <w:rPr>
      <w:rFonts w:eastAsia="仿宋_GB2312"/>
      <w:sz w:val="32"/>
    </w:rPr>
  </w:style>
  <w:style w:type="character" w:customStyle="1" w:styleId="29">
    <w:name w:val="批注框文本 Char"/>
    <w:basedOn w:val="25"/>
    <w:link w:val="13"/>
    <w:qFormat/>
    <w:uiPriority w:val="0"/>
    <w:rPr>
      <w:rFonts w:eastAsia="仿宋_GB2312"/>
      <w:sz w:val="18"/>
      <w:szCs w:val="18"/>
    </w:rPr>
  </w:style>
  <w:style w:type="character" w:customStyle="1" w:styleId="30">
    <w:name w:val="副标题 Char"/>
    <w:link w:val="18"/>
    <w:qFormat/>
    <w:uiPriority w:val="0"/>
    <w:rPr>
      <w:rFonts w:ascii="Cambria" w:hAnsi="Cambria" w:eastAsia="楷体_GB2312"/>
      <w:b/>
      <w:bCs/>
      <w:kern w:val="28"/>
      <w:sz w:val="32"/>
      <w:szCs w:val="32"/>
      <w:lang w:val="en-US" w:eastAsia="zh-CN" w:bidi="ar-SA"/>
    </w:rPr>
  </w:style>
  <w:style w:type="character" w:customStyle="1" w:styleId="31">
    <w:name w:val="超级链接"/>
    <w:qFormat/>
    <w:uiPriority w:val="0"/>
    <w:rPr>
      <w:color w:val="0000FF"/>
      <w:u w:val="single" w:color="0000FF"/>
    </w:rPr>
  </w:style>
  <w:style w:type="character" w:customStyle="1" w:styleId="32">
    <w:name w:val="链接"/>
    <w:qFormat/>
    <w:uiPriority w:val="0"/>
    <w:rPr>
      <w:color w:val="0000FF"/>
      <w:u w:val="single" w:color="0000FF"/>
    </w:rPr>
  </w:style>
  <w:style w:type="paragraph" w:customStyle="1" w:styleId="33">
    <w:name w:val="大标题"/>
    <w:basedOn w:val="1"/>
    <w:qFormat/>
    <w:uiPriority w:val="0"/>
    <w:pPr>
      <w:spacing w:line="600" w:lineRule="exact"/>
      <w:ind w:left="0" w:firstLine="0"/>
      <w:jc w:val="center"/>
      <w:textAlignment w:val="auto"/>
    </w:pPr>
    <w:rPr>
      <w:rFonts w:ascii="方正小标宋简体" w:eastAsia="方正小标宋简体"/>
      <w:b/>
      <w:color w:val="000000"/>
      <w:sz w:val="44"/>
      <w:szCs w:val="44"/>
    </w:rPr>
  </w:style>
  <w:style w:type="paragraph" w:customStyle="1" w:styleId="34">
    <w:name w:val="目录标题"/>
    <w:basedOn w:val="1"/>
    <w:next w:val="1"/>
    <w:qFormat/>
    <w:uiPriority w:val="0"/>
    <w:pPr>
      <w:spacing w:before="209" w:beforeLines="0" w:beforeAutospacing="0" w:after="209" w:afterLines="0" w:afterAutospacing="0" w:line="0" w:lineRule="atLeast"/>
      <w:jc w:val="center"/>
    </w:pPr>
    <w:rPr>
      <w:rFonts w:ascii="Arial" w:hAnsi="Arial" w:eastAsia="黑体"/>
      <w:spacing w:val="209"/>
      <w:sz w:val="52"/>
    </w:rPr>
  </w:style>
  <w:style w:type="paragraph" w:customStyle="1" w:styleId="35">
    <w:name w:val="WPS Plain"/>
    <w:qFormat/>
    <w:uiPriority w:val="0"/>
    <w:rPr>
      <w:rFonts w:ascii="Times New Roman" w:hAnsi="Times New Roman" w:eastAsia="宋体" w:cs="Times New Roman"/>
      <w:lang w:val="en-US" w:eastAsia="zh-CN" w:bidi="ar-SA"/>
    </w:rPr>
  </w:style>
  <w:style w:type="paragraph" w:customStyle="1" w:styleId="36">
    <w:name w:val="_Style 35"/>
    <w:unhideWhenUsed/>
    <w:qFormat/>
    <w:uiPriority w:val="99"/>
    <w:rPr>
      <w:rFonts w:ascii="Times New Roman" w:hAnsi="Times New Roman" w:eastAsia="仿宋_GB2312" w:cs="Times New Roman"/>
      <w:sz w:val="32"/>
      <w:lang w:val="en-US" w:eastAsia="zh-CN" w:bidi="ar-SA"/>
    </w:rPr>
  </w:style>
  <w:style w:type="paragraph" w:customStyle="1" w:styleId="37">
    <w:name w:val="无间隔2"/>
    <w:qFormat/>
    <w:uiPriority w:val="0"/>
    <w:pPr>
      <w:widowControl w:val="0"/>
      <w:spacing w:line="560" w:lineRule="exact"/>
      <w:ind w:firstLine="200" w:firstLineChars="200"/>
      <w:jc w:val="both"/>
    </w:pPr>
    <w:rPr>
      <w:rFonts w:ascii="Times New Roman" w:hAnsi="Times New Roman" w:eastAsia="黑体"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4635</Words>
  <Characters>4676</Characters>
  <Lines>34</Lines>
  <Paragraphs>9</Paragraphs>
  <TotalTime>0</TotalTime>
  <ScaleCrop>false</ScaleCrop>
  <LinksUpToDate>false</LinksUpToDate>
  <CharactersWithSpaces>4774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2023-02-26T16:06:00Z</dcterms:created>
  <dc:creator>科委025</dc:creator>
  <cp:lastModifiedBy>user</cp:lastModifiedBy>
  <cp:lastPrinted>2023-06-14T01:59:00Z</cp:lastPrinted>
  <dcterms:modified xsi:type="dcterms:W3CDTF">2025-08-18T10:41:29Z</dcterms:modified>
  <dc:title>通科发〔2011〕4号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E66C4B4079534FD6A5628A73C19DDACE_13</vt:lpwstr>
  </property>
  <property fmtid="{D5CDD505-2E9C-101B-9397-08002B2CF9AE}" pid="4" name="KSOTemplateDocerSaveRecord">
    <vt:lpwstr>eyJoZGlkIjoiNDhhMTJhMTZmZTkyMWI1MzUyNzI0MzMxNDY3MjEyNjkiLCJ1c2VySWQiOiIyODEzOTcwMTgifQ==</vt:lpwstr>
  </property>
</Properties>
</file>