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5CF924">
      <w:pPr>
        <w:ind w:firstLine="0" w:firstLineChars="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44"/>
          <w:szCs w:val="44"/>
          <w:lang w:bidi="ar"/>
        </w:rPr>
        <w:t>丰台区促进住宿业高质量发展</w:t>
      </w:r>
      <w:r>
        <w:rPr>
          <w:rFonts w:hint="eastAsia" w:ascii="方正小标宋简体" w:hAnsi="方正小标宋简体" w:eastAsia="方正小标宋简体" w:cs="方正小标宋简体"/>
          <w:sz w:val="44"/>
          <w:szCs w:val="44"/>
          <w:lang w:val="en-US" w:eastAsia="zh-CN" w:bidi="ar"/>
        </w:rPr>
        <w:t>扶持奖励办法</w:t>
      </w:r>
    </w:p>
    <w:p w14:paraId="59AEEBD0">
      <w:pPr>
        <w:ind w:firstLine="640"/>
        <w:jc w:val="center"/>
        <w:rPr>
          <w:rFonts w:hint="eastAsia"/>
        </w:rPr>
      </w:pPr>
      <w:r>
        <w:rPr>
          <w:rFonts w:hint="eastAsia"/>
        </w:rPr>
        <w:t>（公众征求意见稿）</w:t>
      </w:r>
    </w:p>
    <w:p w14:paraId="745432E2">
      <w:pPr>
        <w:pStyle w:val="2"/>
        <w:rPr>
          <w:rFonts w:hint="eastAsia"/>
        </w:rPr>
      </w:pPr>
      <w:bookmarkStart w:id="0" w:name="_GoBack"/>
      <w:bookmarkEnd w:id="0"/>
    </w:p>
    <w:p w14:paraId="13EBDAFF">
      <w:pPr>
        <w:ind w:firstLine="640"/>
        <w:rPr>
          <w:rFonts w:hint="eastAsia"/>
          <w:sz w:val="32"/>
          <w:szCs w:val="32"/>
        </w:rPr>
      </w:pPr>
      <w:r>
        <w:rPr>
          <w:rFonts w:hint="eastAsia"/>
          <w:sz w:val="32"/>
          <w:szCs w:val="32"/>
          <w:lang w:bidi="ar"/>
        </w:rPr>
        <w:t>为进一步促进全区住宿业创新发展、转型升级，</w:t>
      </w:r>
      <w:r>
        <w:rPr>
          <w:rFonts w:hint="eastAsia"/>
          <w:sz w:val="32"/>
          <w:szCs w:val="32"/>
          <w:lang w:val="en-US" w:eastAsia="zh-CN" w:bidi="ar"/>
        </w:rPr>
        <w:t>推动</w:t>
      </w:r>
      <w:r>
        <w:rPr>
          <w:rFonts w:hint="eastAsia"/>
          <w:sz w:val="32"/>
          <w:szCs w:val="32"/>
          <w:lang w:bidi="ar"/>
        </w:rPr>
        <w:t>住宿业规模化、品质化、规范化发展，依据《北京市酒店业管理暂行办法》等上位政策，结合全区实际，制定以下政策。</w:t>
      </w:r>
    </w:p>
    <w:p w14:paraId="2115DE11">
      <w:pPr>
        <w:pStyle w:val="3"/>
        <w:widowControl/>
        <w:rPr>
          <w:rFonts w:hint="eastAsia" w:eastAsia="宋体"/>
          <w:sz w:val="32"/>
          <w:szCs w:val="32"/>
        </w:rPr>
      </w:pPr>
      <w:r>
        <w:rPr>
          <w:rFonts w:hint="eastAsia" w:ascii="黑体" w:cs="黑体"/>
          <w:sz w:val="32"/>
          <w:szCs w:val="32"/>
        </w:rPr>
        <w:t>一、扶持政策</w:t>
      </w:r>
    </w:p>
    <w:p w14:paraId="5F1E11E0">
      <w:pPr>
        <w:ind w:firstLine="640"/>
        <w:rPr>
          <w:rFonts w:hint="eastAsia"/>
          <w:sz w:val="32"/>
          <w:szCs w:val="32"/>
        </w:rPr>
      </w:pPr>
      <w:r>
        <w:rPr>
          <w:rStyle w:val="13"/>
          <w:rFonts w:hint="eastAsia" w:ascii="楷体" w:hAnsi="楷体" w:cs="楷体"/>
          <w:sz w:val="32"/>
          <w:szCs w:val="32"/>
          <w:lang w:bidi="ar"/>
        </w:rPr>
        <w:t>（一）鼓励评星评级。</w:t>
      </w:r>
      <w:r>
        <w:rPr>
          <w:rFonts w:hint="eastAsia"/>
          <w:sz w:val="32"/>
          <w:szCs w:val="32"/>
          <w:lang w:bidi="ar"/>
        </w:rPr>
        <w:t>对新评五星级饭店、四星级饭店，分别给予</w:t>
      </w:r>
      <w:r>
        <w:rPr>
          <w:rFonts w:hint="eastAsia"/>
          <w:sz w:val="32"/>
          <w:szCs w:val="32"/>
          <w:lang w:val="en-US" w:eastAsia="zh-CN" w:bidi="ar"/>
        </w:rPr>
        <w:t>100</w:t>
      </w:r>
      <w:r>
        <w:rPr>
          <w:rFonts w:hint="eastAsia"/>
          <w:sz w:val="32"/>
          <w:szCs w:val="32"/>
          <w:lang w:bidi="ar"/>
        </w:rPr>
        <w:t>万元、30万元的一次性奖励，已享受过上述奖励的，再次升级只给予差额奖励。对申报主题酒店、精品酒店、绿色旅游饭店等且通过评定的，给予不超过15万元奖励。</w:t>
      </w:r>
    </w:p>
    <w:p w14:paraId="6278C6E7">
      <w:pPr>
        <w:ind w:firstLine="640"/>
        <w:rPr>
          <w:rFonts w:hint="eastAsia"/>
          <w:sz w:val="32"/>
          <w:szCs w:val="32"/>
        </w:rPr>
      </w:pPr>
      <w:r>
        <w:rPr>
          <w:rStyle w:val="13"/>
          <w:rFonts w:hint="eastAsia" w:ascii="楷体" w:hAnsi="楷体" w:cs="楷体"/>
          <w:sz w:val="32"/>
          <w:szCs w:val="32"/>
          <w:lang w:bidi="ar"/>
        </w:rPr>
        <w:t>（</w:t>
      </w:r>
      <w:r>
        <w:rPr>
          <w:rStyle w:val="13"/>
          <w:rFonts w:hint="eastAsia" w:ascii="楷体" w:hAnsi="楷体" w:eastAsia="楷体" w:cs="楷体"/>
          <w:sz w:val="32"/>
          <w:szCs w:val="32"/>
          <w:lang w:val="en-US" w:eastAsia="zh-CN" w:bidi="ar"/>
        </w:rPr>
        <w:t>二</w:t>
      </w:r>
      <w:r>
        <w:rPr>
          <w:rStyle w:val="13"/>
          <w:rFonts w:hint="eastAsia" w:ascii="楷体" w:hAnsi="楷体" w:cs="楷体"/>
          <w:sz w:val="32"/>
          <w:szCs w:val="32"/>
          <w:lang w:bidi="ar"/>
        </w:rPr>
        <w:t>）鼓励提质增效。</w:t>
      </w:r>
      <w:r>
        <w:rPr>
          <w:rStyle w:val="13"/>
          <w:rFonts w:hint="eastAsia" w:ascii="仿宋_GB2312" w:hAnsi="仿宋_GB2312" w:eastAsia="仿宋_GB2312" w:cs="仿宋_GB2312"/>
          <w:sz w:val="32"/>
          <w:szCs w:val="32"/>
          <w:lang w:val="en-US" w:eastAsia="zh-CN" w:bidi="ar"/>
        </w:rPr>
        <w:t>酒店年度营业收入增幅达10%以上，超出部分按3%比例给予最高20万元奖励。</w:t>
      </w:r>
      <w:r>
        <w:rPr>
          <w:rFonts w:hint="eastAsia"/>
          <w:sz w:val="32"/>
          <w:szCs w:val="32"/>
          <w:lang w:val="en-US" w:eastAsia="zh-CN" w:bidi="ar"/>
        </w:rPr>
        <w:t>对于本政策实施后，</w:t>
      </w:r>
      <w:r>
        <w:rPr>
          <w:rFonts w:hint="eastAsia"/>
          <w:sz w:val="32"/>
          <w:szCs w:val="32"/>
          <w:lang w:bidi="ar"/>
        </w:rPr>
        <w:t>潜力旅游住宿企业的营业额首次达到2000万元以上，给予一次性</w:t>
      </w:r>
      <w:r>
        <w:rPr>
          <w:rFonts w:hint="eastAsia"/>
          <w:sz w:val="32"/>
          <w:szCs w:val="32"/>
          <w:lang w:val="en-US" w:eastAsia="zh-CN" w:bidi="ar"/>
        </w:rPr>
        <w:t>2</w:t>
      </w:r>
      <w:r>
        <w:rPr>
          <w:rFonts w:hint="eastAsia"/>
          <w:sz w:val="32"/>
          <w:szCs w:val="32"/>
          <w:lang w:bidi="ar"/>
        </w:rPr>
        <w:t>0万元</w:t>
      </w:r>
      <w:r>
        <w:rPr>
          <w:rFonts w:hint="eastAsia"/>
          <w:sz w:val="32"/>
          <w:szCs w:val="32"/>
          <w:lang w:val="en-US" w:eastAsia="zh-CN" w:bidi="ar"/>
        </w:rPr>
        <w:t>奖励</w:t>
      </w:r>
      <w:r>
        <w:rPr>
          <w:rFonts w:hint="eastAsia"/>
          <w:sz w:val="32"/>
          <w:szCs w:val="32"/>
          <w:lang w:bidi="ar"/>
        </w:rPr>
        <w:t>；次年实现营业额正增长的，给予5万元奖励；第三年营业额增速高于全市平均水平的，给予5万元奖励。</w:t>
      </w:r>
    </w:p>
    <w:p w14:paraId="70A15111">
      <w:pPr>
        <w:ind w:firstLine="640"/>
        <w:rPr>
          <w:rFonts w:hint="eastAsia"/>
          <w:sz w:val="32"/>
          <w:szCs w:val="32"/>
        </w:rPr>
      </w:pPr>
      <w:r>
        <w:rPr>
          <w:rStyle w:val="13"/>
          <w:rFonts w:hint="eastAsia" w:ascii="楷体" w:hAnsi="楷体" w:cs="楷体"/>
          <w:sz w:val="32"/>
          <w:szCs w:val="32"/>
          <w:lang w:bidi="ar"/>
        </w:rPr>
        <w:t>（</w:t>
      </w:r>
      <w:r>
        <w:rPr>
          <w:rStyle w:val="13"/>
          <w:rFonts w:hint="eastAsia" w:ascii="楷体" w:hAnsi="楷体" w:eastAsia="楷体" w:cs="楷体"/>
          <w:sz w:val="32"/>
          <w:szCs w:val="32"/>
          <w:lang w:val="en-US" w:eastAsia="zh-CN" w:bidi="ar"/>
        </w:rPr>
        <w:t>三</w:t>
      </w:r>
      <w:r>
        <w:rPr>
          <w:rStyle w:val="13"/>
          <w:rFonts w:hint="eastAsia" w:ascii="楷体" w:hAnsi="楷体" w:cs="楷体"/>
          <w:sz w:val="32"/>
          <w:szCs w:val="32"/>
          <w:lang w:bidi="ar"/>
        </w:rPr>
        <w:t>）鼓励更新改造。</w:t>
      </w:r>
      <w:r>
        <w:rPr>
          <w:rFonts w:hint="eastAsia"/>
          <w:sz w:val="32"/>
          <w:szCs w:val="32"/>
          <w:lang w:bidi="ar"/>
        </w:rPr>
        <w:t>对于本</w:t>
      </w:r>
      <w:r>
        <w:rPr>
          <w:rFonts w:hint="eastAsia"/>
          <w:sz w:val="32"/>
          <w:szCs w:val="32"/>
          <w:lang w:val="en-US" w:eastAsia="zh-CN" w:bidi="ar"/>
        </w:rPr>
        <w:t>政策</w:t>
      </w:r>
      <w:r>
        <w:rPr>
          <w:rFonts w:hint="eastAsia"/>
          <w:sz w:val="32"/>
          <w:szCs w:val="32"/>
          <w:lang w:bidi="ar"/>
        </w:rPr>
        <w:t>实施后，酒店</w:t>
      </w:r>
      <w:r>
        <w:rPr>
          <w:rFonts w:hint="eastAsia"/>
          <w:sz w:val="32"/>
          <w:szCs w:val="32"/>
          <w:lang w:val="en-US" w:eastAsia="zh-CN" w:bidi="ar"/>
        </w:rPr>
        <w:t>一</w:t>
      </w:r>
      <w:r>
        <w:rPr>
          <w:rFonts w:hint="eastAsia"/>
          <w:sz w:val="32"/>
          <w:szCs w:val="32"/>
          <w:lang w:bidi="ar"/>
        </w:rPr>
        <w:t>年开展设备设施更新、翻新改造装修等超过500万元（含）的固定资产投资项目建设，在改造完成后复业并正常开展酒店运营的，经认定，</w:t>
      </w:r>
      <w:r>
        <w:rPr>
          <w:rFonts w:hint="eastAsia"/>
          <w:sz w:val="32"/>
          <w:szCs w:val="32"/>
          <w:lang w:val="en-US" w:eastAsia="zh-CN" w:bidi="ar"/>
        </w:rPr>
        <w:t>给予固定资产投资额1%的资金奖励，</w:t>
      </w:r>
      <w:r>
        <w:rPr>
          <w:rFonts w:hint="eastAsia"/>
          <w:sz w:val="32"/>
          <w:szCs w:val="32"/>
          <w:lang w:bidi="ar"/>
        </w:rPr>
        <w:t>单个项目最高给予</w:t>
      </w:r>
      <w:r>
        <w:rPr>
          <w:rFonts w:hint="eastAsia"/>
          <w:sz w:val="32"/>
          <w:szCs w:val="32"/>
          <w:lang w:val="en-US" w:eastAsia="zh-CN" w:bidi="ar"/>
        </w:rPr>
        <w:t>5</w:t>
      </w:r>
      <w:r>
        <w:rPr>
          <w:rFonts w:hint="eastAsia"/>
          <w:sz w:val="32"/>
          <w:szCs w:val="32"/>
          <w:lang w:bidi="ar"/>
        </w:rPr>
        <w:t>0万元奖励。</w:t>
      </w:r>
    </w:p>
    <w:p w14:paraId="5B86193D">
      <w:pPr>
        <w:ind w:firstLine="640"/>
        <w:rPr>
          <w:rFonts w:hint="eastAsia"/>
          <w:sz w:val="32"/>
          <w:szCs w:val="32"/>
          <w:lang w:bidi="ar"/>
        </w:rPr>
      </w:pPr>
      <w:r>
        <w:rPr>
          <w:rStyle w:val="13"/>
          <w:rFonts w:hint="eastAsia" w:ascii="楷体" w:hAnsi="楷体" w:cs="楷体"/>
          <w:sz w:val="32"/>
          <w:szCs w:val="32"/>
          <w:lang w:bidi="ar"/>
        </w:rPr>
        <w:t>（</w:t>
      </w:r>
      <w:r>
        <w:rPr>
          <w:rStyle w:val="13"/>
          <w:rFonts w:hint="eastAsia" w:ascii="楷体" w:hAnsi="楷体" w:eastAsia="楷体" w:cs="楷体"/>
          <w:sz w:val="32"/>
          <w:szCs w:val="32"/>
          <w:lang w:val="en-US" w:eastAsia="zh-CN" w:bidi="ar"/>
        </w:rPr>
        <w:t>四</w:t>
      </w:r>
      <w:r>
        <w:rPr>
          <w:rStyle w:val="13"/>
          <w:rFonts w:hint="eastAsia" w:ascii="楷体" w:hAnsi="楷体" w:cs="楷体"/>
          <w:sz w:val="32"/>
          <w:szCs w:val="32"/>
          <w:lang w:bidi="ar"/>
        </w:rPr>
        <w:t>）鼓励承接会展。</w:t>
      </w:r>
      <w:r>
        <w:rPr>
          <w:rFonts w:hint="eastAsia"/>
          <w:sz w:val="32"/>
          <w:szCs w:val="32"/>
          <w:lang w:bidi="ar"/>
        </w:rPr>
        <w:t>支持承接大型会议及各类活动，凡单次会务活动</w:t>
      </w:r>
      <w:r>
        <w:rPr>
          <w:rFonts w:hint="eastAsia"/>
          <w:sz w:val="32"/>
          <w:szCs w:val="32"/>
          <w:lang w:val="en-US" w:eastAsia="zh-CN" w:bidi="ar"/>
        </w:rPr>
        <w:t>收入</w:t>
      </w:r>
      <w:r>
        <w:rPr>
          <w:rFonts w:hint="eastAsia"/>
          <w:sz w:val="32"/>
          <w:szCs w:val="32"/>
          <w:lang w:bidi="ar"/>
        </w:rPr>
        <w:t>（包括会议费、租赁费、住宿和餐饮费）超过20万元（含），经认定，每场次给予</w:t>
      </w:r>
      <w:r>
        <w:rPr>
          <w:rFonts w:hint="eastAsia"/>
          <w:sz w:val="32"/>
          <w:szCs w:val="32"/>
          <w:lang w:val="en-US" w:eastAsia="zh-CN" w:bidi="ar"/>
        </w:rPr>
        <w:t>3</w:t>
      </w:r>
      <w:r>
        <w:rPr>
          <w:rFonts w:hint="eastAsia"/>
          <w:sz w:val="32"/>
          <w:szCs w:val="32"/>
          <w:lang w:bidi="ar"/>
        </w:rPr>
        <w:t>%的补贴，每个</w:t>
      </w:r>
      <w:r>
        <w:rPr>
          <w:rFonts w:hint="eastAsia"/>
          <w:sz w:val="32"/>
          <w:szCs w:val="32"/>
          <w:lang w:eastAsia="zh-CN" w:bidi="ar"/>
        </w:rPr>
        <w:t>企业</w:t>
      </w:r>
      <w:r>
        <w:rPr>
          <w:rFonts w:hint="eastAsia"/>
          <w:sz w:val="32"/>
          <w:szCs w:val="32"/>
          <w:lang w:bidi="ar"/>
        </w:rPr>
        <w:t>每年补助总额不超过20万元。对承办国际、国内重要会议及活动的，经认定，每个</w:t>
      </w:r>
      <w:r>
        <w:rPr>
          <w:rFonts w:hint="eastAsia"/>
          <w:sz w:val="32"/>
          <w:szCs w:val="32"/>
          <w:lang w:eastAsia="zh-CN" w:bidi="ar"/>
        </w:rPr>
        <w:t>企业</w:t>
      </w:r>
      <w:r>
        <w:rPr>
          <w:rFonts w:hint="eastAsia"/>
          <w:sz w:val="32"/>
          <w:szCs w:val="32"/>
          <w:lang w:bidi="ar"/>
        </w:rPr>
        <w:t>给予奖励20万元。</w:t>
      </w:r>
    </w:p>
    <w:p w14:paraId="3FCEF7EF">
      <w:pPr>
        <w:pStyle w:val="2"/>
        <w:ind w:left="0" w:firstLine="640"/>
        <w:rPr>
          <w:rFonts w:hint="default" w:ascii="仿宋_GB2312" w:hAnsi="仿宋_GB2312" w:eastAsia="仿宋_GB2312"/>
          <w:b w:val="0"/>
          <w:lang w:eastAsia="zh-CN" w:bidi="ar"/>
        </w:rPr>
      </w:pPr>
      <w:r>
        <w:rPr>
          <w:rStyle w:val="13"/>
          <w:rFonts w:hint="eastAsia" w:ascii="楷体" w:hAnsi="楷体" w:cs="楷体"/>
          <w:b w:val="0"/>
          <w:lang w:eastAsia="zh-CN" w:bidi="ar"/>
        </w:rPr>
        <w:t>（</w:t>
      </w:r>
      <w:r>
        <w:rPr>
          <w:rStyle w:val="13"/>
          <w:rFonts w:hint="eastAsia" w:ascii="楷体" w:hAnsi="楷体" w:cs="楷体"/>
          <w:b w:val="0"/>
          <w:lang w:val="en-US" w:eastAsia="zh-CN" w:bidi="ar"/>
        </w:rPr>
        <w:t>五</w:t>
      </w:r>
      <w:r>
        <w:rPr>
          <w:rStyle w:val="13"/>
          <w:rFonts w:hint="eastAsia" w:ascii="楷体" w:hAnsi="楷体" w:cs="楷体"/>
          <w:b w:val="0"/>
          <w:lang w:eastAsia="zh-CN" w:bidi="ar"/>
        </w:rPr>
        <w:t>）</w:t>
      </w:r>
      <w:r>
        <w:rPr>
          <w:rStyle w:val="13"/>
          <w:rFonts w:hint="eastAsia" w:ascii="楷体" w:hAnsi="楷体" w:eastAsia="楷体" w:cs="楷体"/>
          <w:b w:val="0"/>
          <w:lang w:val="en-US" w:eastAsia="zh-CN" w:bidi="ar"/>
        </w:rPr>
        <w:t>鼓励人才培养。</w:t>
      </w:r>
      <w:r>
        <w:rPr>
          <w:rStyle w:val="10"/>
          <w:rFonts w:hint="eastAsia" w:ascii="仿宋_GB2312" w:hAnsi="仿宋_GB2312" w:eastAsia="仿宋_GB2312" w:cs="仿宋_GB2312"/>
          <w:b w:val="0"/>
          <w:lang w:val="en-US" w:eastAsia="zh-CN" w:bidi="ar"/>
        </w:rPr>
        <w:t>鼓励酒店培养职业人才，对员工获得行业内全国星级旅游饭店服务技能竞赛奖励的企业，根据奖项设置，给予企业一等奖奖励6万元，二等奖奖励3万元，三等奖奖励2万元。对员工获得北京市酒店从业人员服务技能大赛奖励的企业，给予企业一等奖奖励3万元，二等奖奖励2万元，三等奖奖励1万元。</w:t>
      </w:r>
    </w:p>
    <w:p w14:paraId="6E711AA7">
      <w:pPr>
        <w:ind w:firstLine="640"/>
        <w:rPr>
          <w:rFonts w:hint="eastAsia"/>
          <w:sz w:val="32"/>
          <w:szCs w:val="32"/>
        </w:rPr>
      </w:pPr>
      <w:r>
        <w:rPr>
          <w:rStyle w:val="13"/>
          <w:rFonts w:hint="eastAsia" w:ascii="楷体" w:hAnsi="楷体" w:cs="楷体"/>
          <w:sz w:val="32"/>
          <w:szCs w:val="32"/>
          <w:lang w:bidi="ar"/>
        </w:rPr>
        <w:t>（</w:t>
      </w:r>
      <w:r>
        <w:rPr>
          <w:rStyle w:val="13"/>
          <w:rFonts w:hint="eastAsia" w:ascii="楷体" w:hAnsi="楷体" w:eastAsia="楷体" w:cs="楷体"/>
          <w:sz w:val="32"/>
          <w:szCs w:val="32"/>
          <w:lang w:val="en-US" w:eastAsia="zh-CN" w:bidi="ar"/>
        </w:rPr>
        <w:t>六</w:t>
      </w:r>
      <w:r>
        <w:rPr>
          <w:rStyle w:val="13"/>
          <w:rFonts w:hint="eastAsia" w:ascii="楷体" w:hAnsi="楷体" w:cs="楷体"/>
          <w:sz w:val="32"/>
          <w:szCs w:val="32"/>
          <w:lang w:bidi="ar"/>
        </w:rPr>
        <w:t>）支持企业</w:t>
      </w:r>
      <w:r>
        <w:rPr>
          <w:rStyle w:val="13"/>
          <w:rFonts w:hint="eastAsia" w:ascii="楷体" w:hAnsi="楷体" w:eastAsia="楷体" w:cs="楷体"/>
          <w:sz w:val="32"/>
          <w:szCs w:val="32"/>
          <w:lang w:val="en-US" w:eastAsia="zh-CN" w:bidi="ar"/>
        </w:rPr>
        <w:t>融资</w:t>
      </w:r>
      <w:r>
        <w:rPr>
          <w:rStyle w:val="13"/>
          <w:rFonts w:hint="eastAsia" w:ascii="楷体" w:hAnsi="楷体" w:cs="楷体"/>
          <w:sz w:val="32"/>
          <w:szCs w:val="32"/>
          <w:lang w:bidi="ar"/>
        </w:rPr>
        <w:t>。</w:t>
      </w:r>
      <w:r>
        <w:rPr>
          <w:rFonts w:hint="eastAsia"/>
          <w:sz w:val="32"/>
          <w:szCs w:val="32"/>
          <w:lang w:bidi="ar"/>
        </w:rPr>
        <w:t>进一步激发市场活力，缓解企业融资成本，对凡已获得北京市重点旅游项目贷款贴息的住宿业企业，按市区配套政策，给予最多不超过3个百分点的贷款贴息，贴息期限不超过3年。</w:t>
      </w:r>
    </w:p>
    <w:p w14:paraId="4BA2FF81">
      <w:pPr>
        <w:pStyle w:val="3"/>
        <w:widowControl/>
        <w:rPr>
          <w:rFonts w:hint="eastAsia" w:eastAsia="宋体"/>
          <w:sz w:val="32"/>
          <w:szCs w:val="32"/>
        </w:rPr>
      </w:pPr>
      <w:r>
        <w:rPr>
          <w:rFonts w:hint="eastAsia" w:ascii="黑体" w:cs="黑体"/>
          <w:sz w:val="32"/>
          <w:szCs w:val="32"/>
        </w:rPr>
        <w:t>二、附</w:t>
      </w:r>
      <w:r>
        <w:rPr>
          <w:rFonts w:hint="eastAsia" w:eastAsia="宋体"/>
          <w:sz w:val="32"/>
          <w:szCs w:val="32"/>
        </w:rPr>
        <w:t xml:space="preserve"> </w:t>
      </w:r>
      <w:r>
        <w:rPr>
          <w:rFonts w:hint="eastAsia" w:ascii="黑体" w:cs="黑体"/>
          <w:sz w:val="32"/>
          <w:szCs w:val="32"/>
        </w:rPr>
        <w:t>则</w:t>
      </w:r>
    </w:p>
    <w:p w14:paraId="6D33F42A">
      <w:pPr>
        <w:ind w:firstLine="640"/>
        <w:rPr>
          <w:rFonts w:hint="eastAsia"/>
          <w:sz w:val="32"/>
          <w:szCs w:val="32"/>
          <w:lang w:bidi="ar"/>
        </w:rPr>
      </w:pPr>
      <w:r>
        <w:rPr>
          <w:rFonts w:hint="eastAsia"/>
          <w:sz w:val="32"/>
          <w:szCs w:val="32"/>
          <w:lang w:bidi="ar"/>
        </w:rPr>
        <w:t>（一）本政策自发布之日起施行，有效期为3年。政策实施期间，如遇国家、北京市相关法律法规及政策调整，本政策将作相应修订。</w:t>
      </w:r>
    </w:p>
    <w:p w14:paraId="4D7EFEAE">
      <w:pPr>
        <w:ind w:firstLine="640"/>
        <w:rPr>
          <w:rFonts w:hint="eastAsia"/>
          <w:sz w:val="32"/>
          <w:szCs w:val="32"/>
          <w:lang w:bidi="ar"/>
        </w:rPr>
      </w:pPr>
      <w:r>
        <w:rPr>
          <w:rFonts w:hint="eastAsia"/>
          <w:sz w:val="32"/>
          <w:szCs w:val="32"/>
          <w:lang w:eastAsia="zh-CN" w:bidi="ar"/>
        </w:rPr>
        <w:t>（</w:t>
      </w:r>
      <w:r>
        <w:rPr>
          <w:rFonts w:hint="eastAsia"/>
          <w:sz w:val="32"/>
          <w:szCs w:val="32"/>
          <w:lang w:val="en-US" w:eastAsia="zh-CN" w:bidi="ar"/>
        </w:rPr>
        <w:t>二</w:t>
      </w:r>
      <w:r>
        <w:rPr>
          <w:rFonts w:hint="eastAsia"/>
          <w:sz w:val="32"/>
          <w:szCs w:val="32"/>
          <w:lang w:eastAsia="zh-CN" w:bidi="ar"/>
        </w:rPr>
        <w:t>）</w:t>
      </w:r>
      <w:r>
        <w:rPr>
          <w:rFonts w:hint="eastAsia"/>
          <w:sz w:val="32"/>
          <w:szCs w:val="32"/>
          <w:lang w:bidi="ar"/>
        </w:rPr>
        <w:t>本政策规定的支持政策按照“从高不重复”的原则执行，与本区其他政策条款性质相同的内容不重复适用。同一申报主体年度获得的奖励资金总额不超过100万元。</w:t>
      </w:r>
    </w:p>
    <w:p w14:paraId="7816A10A">
      <w:pPr>
        <w:ind w:firstLine="640"/>
        <w:rPr>
          <w:rFonts w:hint="eastAsia"/>
          <w:sz w:val="32"/>
          <w:szCs w:val="32"/>
          <w:lang w:bidi="ar"/>
        </w:rPr>
      </w:pPr>
      <w:r>
        <w:rPr>
          <w:rFonts w:hint="eastAsia"/>
          <w:sz w:val="32"/>
          <w:szCs w:val="32"/>
          <w:lang w:bidi="ar"/>
        </w:rPr>
        <w:t>（</w:t>
      </w:r>
      <w:r>
        <w:rPr>
          <w:rFonts w:hint="eastAsia"/>
          <w:sz w:val="32"/>
          <w:szCs w:val="32"/>
          <w:lang w:val="en-US" w:eastAsia="zh-CN" w:bidi="ar"/>
        </w:rPr>
        <w:t>三</w:t>
      </w:r>
      <w:r>
        <w:rPr>
          <w:rFonts w:hint="eastAsia"/>
          <w:sz w:val="32"/>
          <w:szCs w:val="32"/>
          <w:lang w:bidi="ar"/>
        </w:rPr>
        <w:t>）对提供虚假材料以及近三年有重大违法违规失信行为记录的主体取消享受有关政策支持的资格，追究相应的法律责任，并记入企业诚信系统。同时，申报主体须符合安全生产相关法律法规及标准要求，方可享受本政策支持。</w:t>
      </w:r>
    </w:p>
    <w:p w14:paraId="6729CEDF">
      <w:r>
        <w:rPr>
          <w:rFonts w:hint="eastAsia"/>
          <w:sz w:val="32"/>
          <w:szCs w:val="32"/>
          <w:lang w:bidi="ar"/>
        </w:rPr>
        <w:t>（</w:t>
      </w:r>
      <w:r>
        <w:rPr>
          <w:rFonts w:hint="eastAsia"/>
          <w:sz w:val="32"/>
          <w:szCs w:val="32"/>
          <w:lang w:val="en-US" w:eastAsia="zh-CN" w:bidi="ar"/>
        </w:rPr>
        <w:t>四</w:t>
      </w:r>
      <w:r>
        <w:rPr>
          <w:rFonts w:hint="eastAsia"/>
          <w:sz w:val="32"/>
          <w:szCs w:val="32"/>
          <w:lang w:bidi="ar"/>
        </w:rPr>
        <w:t>）本</w:t>
      </w:r>
      <w:r>
        <w:rPr>
          <w:rFonts w:hint="eastAsia"/>
          <w:sz w:val="32"/>
          <w:szCs w:val="32"/>
          <w:lang w:val="en-US" w:eastAsia="zh-CN" w:bidi="ar"/>
        </w:rPr>
        <w:t>政策</w:t>
      </w:r>
      <w:r>
        <w:rPr>
          <w:rFonts w:hint="eastAsia"/>
          <w:sz w:val="32"/>
          <w:szCs w:val="32"/>
          <w:lang w:bidi="ar"/>
        </w:rPr>
        <w:t>自发布之日起实施，由丰台区文化和旅游局负责解释及组织实施。</w:t>
      </w:r>
    </w:p>
    <w:sectPr>
      <w:pgSz w:w="12240" w:h="15840"/>
      <w:pgMar w:top="2098" w:right="1474" w:bottom="1984" w:left="1587"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E89369-848F-4CB2-B004-4563DDC507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E894246-9F05-454C-BCE6-87A1FAE5796B}"/>
  </w:font>
  <w:font w:name="DejaVu Sans">
    <w:altName w:val="Times New Roman"/>
    <w:panose1 w:val="02020603050405020304"/>
    <w:charset w:val="00"/>
    <w:family w:val="roman"/>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embedRegular r:id="rId3" w:fontKey="{A24A3EE1-A48B-4ECA-BE66-C5832D755B2C}"/>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4" w:fontKey="{3718CC76-D579-499C-B305-174FE78685D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61F3E"/>
    <w:rsid w:val="17F44BFE"/>
    <w:rsid w:val="24D43437"/>
    <w:rsid w:val="32803FFD"/>
    <w:rsid w:val="3F7F33BE"/>
    <w:rsid w:val="45DDE684"/>
    <w:rsid w:val="4DF158ED"/>
    <w:rsid w:val="563F8BB2"/>
    <w:rsid w:val="68FF0887"/>
    <w:rsid w:val="6F3D64F1"/>
    <w:rsid w:val="70C77C95"/>
    <w:rsid w:val="70D67458"/>
    <w:rsid w:val="72191945"/>
    <w:rsid w:val="83D8BF65"/>
    <w:rsid w:val="865BF593"/>
    <w:rsid w:val="BCDF4137"/>
    <w:rsid w:val="CBFE1679"/>
    <w:rsid w:val="D8FFEFAB"/>
    <w:rsid w:val="DD5DAF06"/>
    <w:rsid w:val="F5CA8FE7"/>
    <w:rsid w:val="F6EF1692"/>
    <w:rsid w:val="F7FEE7BE"/>
    <w:rsid w:val="FADF8BC0"/>
    <w:rsid w:val="FCCD710B"/>
    <w:rsid w:val="FCDF7156"/>
    <w:rsid w:val="FECB0EAE"/>
    <w:rsid w:val="FFDF6904"/>
    <w:rsid w:val="FFFF0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autoSpaceDN w:val="0"/>
      <w:spacing w:line="560" w:lineRule="exact"/>
      <w:ind w:firstLine="880" w:firstLineChars="200"/>
      <w:jc w:val="both"/>
    </w:pPr>
    <w:rPr>
      <w:rFonts w:hint="eastAsia"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spacing w:beforeAutospacing="0" w:afterAutospacing="0" w:line="560" w:lineRule="exact"/>
      <w:ind w:firstLine="880" w:firstLineChars="200"/>
      <w:jc w:val="left"/>
      <w:outlineLvl w:val="0"/>
    </w:pPr>
    <w:rPr>
      <w:rFonts w:hint="eastAsia" w:ascii="宋体" w:hAnsi="宋体" w:eastAsia="黑体" w:cs="宋体"/>
      <w:bCs/>
      <w:kern w:val="44"/>
      <w:sz w:val="32"/>
      <w:szCs w:val="48"/>
      <w:lang w:bidi="ar"/>
    </w:rPr>
  </w:style>
  <w:style w:type="paragraph" w:styleId="4">
    <w:name w:val="heading 2"/>
    <w:basedOn w:val="1"/>
    <w:next w:val="1"/>
    <w:link w:val="12"/>
    <w:unhideWhenUsed/>
    <w:qFormat/>
    <w:uiPriority w:val="0"/>
    <w:pPr>
      <w:keepNext/>
      <w:keepLines/>
      <w:spacing w:beforeAutospacing="0" w:afterAutospacing="0" w:line="560" w:lineRule="exact"/>
      <w:ind w:firstLine="880" w:firstLineChars="200"/>
      <w:jc w:val="left"/>
      <w:outlineLvl w:val="1"/>
    </w:pPr>
    <w:rPr>
      <w:rFonts w:ascii="DejaVu Sans" w:hAnsi="DejaVu Sans" w:eastAsia="楷体"/>
      <w:sz w:val="32"/>
      <w:szCs w:val="22"/>
    </w:rPr>
  </w:style>
  <w:style w:type="paragraph" w:styleId="5">
    <w:name w:val="heading 3"/>
    <w:basedOn w:val="1"/>
    <w:next w:val="1"/>
    <w:unhideWhenUsed/>
    <w:qFormat/>
    <w:uiPriority w:val="0"/>
    <w:pPr>
      <w:keepNext/>
      <w:keepLines/>
      <w:spacing w:beforeLines="0" w:beforeAutospacing="0" w:afterLines="0" w:afterAutospacing="0" w:line="520" w:lineRule="exact"/>
      <w:ind w:firstLine="880" w:firstLineChars="200"/>
      <w:outlineLvl w:val="2"/>
    </w:pPr>
    <w:rPr>
      <w:b/>
    </w:rPr>
  </w:style>
  <w:style w:type="character" w:default="1" w:styleId="10">
    <w:name w:val="Default Paragraph Font"/>
    <w:semiHidden/>
    <w:qFormat/>
    <w:uiPriority w:val="0"/>
    <w:rPr>
      <w:rFonts w:ascii="Calibri" w:hAnsi="Calibri"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0"/>
    <w:pPr>
      <w:ind w:left="420"/>
    </w:pPr>
    <w:rPr>
      <w:rFonts w:hint="default" w:ascii="等线" w:hAnsi="等线" w:eastAsia="等线"/>
      <w:b/>
      <w:sz w:val="30"/>
      <w:szCs w:val="24"/>
    </w:rPr>
  </w:style>
  <w:style w:type="paragraph" w:styleId="6">
    <w:name w:val="Body Text"/>
    <w:basedOn w:val="1"/>
    <w:qFormat/>
    <w:uiPriority w:val="0"/>
    <w:pPr>
      <w:spacing w:after="120" w:line="560" w:lineRule="exact"/>
      <w:ind w:firstLine="880" w:firstLineChars="200"/>
    </w:pPr>
    <w:rPr>
      <w:rFonts w:eastAsia="仿宋_GB2312" w:asciiTheme="minorAscii" w:hAnsiTheme="minorAscii" w:cstheme="minorBidi"/>
      <w:sz w:val="32"/>
    </w:rPr>
  </w:style>
  <w:style w:type="paragraph" w:styleId="7">
    <w:name w:val="footer"/>
    <w:basedOn w:val="1"/>
    <w:qFormat/>
    <w:uiPriority w:val="0"/>
    <w:pPr>
      <w:tabs>
        <w:tab w:val="center" w:pos="4153"/>
        <w:tab w:val="right" w:pos="8306"/>
      </w:tabs>
      <w:snapToGrid w:val="0"/>
      <w:jc w:val="left"/>
    </w:pPr>
    <w:rPr>
      <w:rFonts w:eastAsia="仿宋_GB2312"/>
      <w:sz w:val="28"/>
    </w:rPr>
  </w:style>
  <w:style w:type="paragraph" w:styleId="8">
    <w:name w:val="footnote text"/>
    <w:basedOn w:val="1"/>
    <w:qFormat/>
    <w:uiPriority w:val="0"/>
    <w:pPr>
      <w:snapToGrid w:val="0"/>
      <w:spacing w:line="320" w:lineRule="exact"/>
      <w:ind w:firstLine="0" w:firstLineChars="0"/>
      <w:jc w:val="left"/>
    </w:pPr>
    <w:rPr>
      <w:rFonts w:ascii="Times New Roman" w:hAnsi="Times New Roman" w:eastAsia="仿宋_GB2312"/>
      <w:sz w:val="18"/>
    </w:rPr>
  </w:style>
  <w:style w:type="character" w:styleId="11">
    <w:name w:val="footnote reference"/>
    <w:basedOn w:val="10"/>
    <w:qFormat/>
    <w:uiPriority w:val="0"/>
    <w:rPr>
      <w:rFonts w:eastAsia="仿宋_GB2312"/>
      <w:sz w:val="24"/>
      <w:vertAlign w:val="superscript"/>
    </w:rPr>
  </w:style>
  <w:style w:type="character" w:customStyle="1" w:styleId="12">
    <w:name w:val="标题 2 Char"/>
    <w:link w:val="4"/>
    <w:qFormat/>
    <w:uiPriority w:val="0"/>
    <w:rPr>
      <w:rFonts w:ascii="DejaVu Sans" w:hAnsi="DejaVu Sans" w:eastAsia="楷体" w:cs="Times New Roman"/>
      <w:sz w:val="32"/>
      <w:szCs w:val="22"/>
    </w:rPr>
  </w:style>
  <w:style w:type="character" w:customStyle="1" w:styleId="13">
    <w:name w:val="15"/>
    <w:basedOn w:val="10"/>
    <w:unhideWhenUsed/>
    <w:qFormat/>
    <w:uiPriority w:val="0"/>
    <w:rPr>
      <w:rFonts w:hint="default" w:ascii="DejaVu Sans" w:hAnsi="DejaVu Sans" w:eastAsia="楷体"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1087</Words>
  <Characters>1109</Characters>
  <Lines>0</Lines>
  <Paragraphs>0</Paragraphs>
  <TotalTime>1</TotalTime>
  <ScaleCrop>false</ScaleCrop>
  <LinksUpToDate>false</LinksUpToDate>
  <CharactersWithSpaces>1110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2025-07-11T02:26:00Z</dcterms:created>
  <dc:creator>百香果</dc:creator>
  <cp:lastModifiedBy>WPS_1489125052</cp:lastModifiedBy>
  <dcterms:modified xsi:type="dcterms:W3CDTF">2025-08-14T07:32:13Z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F1F6B201439449F692D55A3026283377_13</vt:lpwstr>
  </property>
  <property fmtid="{D5CDD505-2E9C-101B-9397-08002B2CF9AE}" pid="4" name="KSOTemplateDocerSaveRecord">
    <vt:lpwstr>eyJoZGlkIjoiMjNmNWQ3ZTQzZGQ3YzkzZWNjMGRlZDhhYjFlMjI1YmYiLCJ1c2VySWQiOiIyNjg1MjM0MzkifQ==</vt:lpwstr>
  </property>
</Properties>
</file>