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napToGrid w:val="0"/>
        <w:ind w:firstLine="0" w:firstLineChars="0"/>
        <w:jc w:val="left"/>
        <w:outlineLvl w:val="0"/>
        <w:rPr>
          <w:rFonts w:hint="default" w:ascii="黑体" w:hAnsi="黑体" w:eastAsia="黑体" w:cs="黑体"/>
          <w:sz w:val="32"/>
          <w:szCs w:val="32"/>
          <w:lang w:val="en-US" w:eastAsia="zh-CN"/>
        </w:rPr>
      </w:pPr>
    </w:p>
    <w:p>
      <w:pPr>
        <w:snapToGrid w:val="0"/>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大兴区村级分散式饮用水水源保护</w:t>
      </w:r>
    </w:p>
    <w:p>
      <w:pPr>
        <w:snapToGrid w:val="0"/>
        <w:ind w:firstLine="0" w:firstLineChars="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范围划分方案</w:t>
      </w:r>
      <w:r>
        <w:rPr>
          <w:rFonts w:hint="eastAsia" w:ascii="方正小标宋简体" w:hAnsi="方正小标宋简体" w:eastAsia="方正小标宋简体" w:cs="方正小标宋简体"/>
          <w:sz w:val="44"/>
          <w:szCs w:val="44"/>
          <w:lang w:eastAsia="zh-CN"/>
        </w:rPr>
        <w:t>（征求意见稿）</w:t>
      </w:r>
    </w:p>
    <w:p>
      <w:pPr>
        <w:snapToGrid w:val="0"/>
        <w:ind w:left="640" w:leftChars="200" w:firstLine="0" w:firstLineChars="0"/>
        <w:rPr>
          <w:rFonts w:hint="eastAsia" w:ascii="黑体" w:hAnsi="黑体" w:eastAsia="黑体" w:cs="黑体"/>
        </w:rPr>
      </w:pPr>
    </w:p>
    <w:p>
      <w:pPr>
        <w:numPr>
          <w:ilvl w:val="0"/>
          <w:numId w:val="2"/>
        </w:numPr>
        <w:snapToGrid w:val="0"/>
        <w:outlineLvl w:val="0"/>
        <w:rPr>
          <w:rFonts w:hint="eastAsia" w:ascii="黑体" w:hAnsi="黑体" w:eastAsia="黑体" w:cs="黑体"/>
        </w:rPr>
      </w:pPr>
      <w:r>
        <w:rPr>
          <w:rFonts w:hint="eastAsia" w:ascii="黑体" w:hAnsi="黑体" w:eastAsia="黑体" w:cs="黑体"/>
        </w:rPr>
        <w:t>水源地基本情况</w:t>
      </w:r>
    </w:p>
    <w:p>
      <w:pPr>
        <w:rPr>
          <w:rFonts w:hint="eastAsia"/>
          <w:kern w:val="0"/>
        </w:rPr>
      </w:pPr>
      <w:r>
        <w:rPr>
          <w:rFonts w:hint="eastAsia"/>
        </w:rPr>
        <w:t>为进一步做好我区饮用水水源保护工作，我区对村级分散式饮用水水源地开展水源保护范围划分工作</w:t>
      </w:r>
      <w:r>
        <w:t>。</w:t>
      </w:r>
      <w:r>
        <w:rPr>
          <w:rFonts w:hint="eastAsia"/>
        </w:rPr>
        <w:t>村级分散式饮用水水源地</w:t>
      </w:r>
      <w:r>
        <w:rPr>
          <w:rFonts w:hint="eastAsia"/>
          <w:kern w:val="0"/>
        </w:rPr>
        <w:t>具体情况如下：</w:t>
      </w:r>
    </w:p>
    <w:p>
      <w:pPr>
        <w:pStyle w:val="6"/>
        <w:ind w:firstLine="640"/>
        <w:rPr>
          <w:rFonts w:ascii="仿宋_GB2312" w:hAnsi="Times New Roman" w:cs="Times New Roman"/>
          <w:szCs w:val="32"/>
        </w:rPr>
      </w:pPr>
      <w:r>
        <w:rPr>
          <w:rFonts w:hint="eastAsia" w:ascii="仿宋_GB2312"/>
          <w:kern w:val="0"/>
          <w:szCs w:val="32"/>
        </w:rPr>
        <w:t>根据《大兴区饮用水水源地名录》，有52个村级分散式饮用水水源地需要划分保护范围。</w:t>
      </w:r>
      <w:r>
        <w:rPr>
          <w:rFonts w:hint="eastAsia" w:ascii="仿宋_GB2312" w:hAnsi="Times New Roman" w:cs="Times New Roman"/>
          <w:szCs w:val="32"/>
          <w:lang w:val="zh-CN"/>
        </w:rPr>
        <w:t>52个村级</w:t>
      </w:r>
      <w:r>
        <w:rPr>
          <w:rFonts w:hint="eastAsia" w:ascii="仿宋_GB2312"/>
          <w:kern w:val="0"/>
          <w:szCs w:val="32"/>
        </w:rPr>
        <w:t>分散式</w:t>
      </w:r>
      <w:r>
        <w:rPr>
          <w:rFonts w:hint="eastAsia" w:ascii="仿宋_GB2312" w:hAnsi="Times New Roman" w:cs="Times New Roman"/>
          <w:szCs w:val="32"/>
          <w:lang w:val="zh-CN"/>
        </w:rPr>
        <w:t>饮用水水源地分布在8个镇，其中安定镇9个，黄村镇1个，礼贤镇3个，庞各庄镇17个，青云店镇1个，魏善庄镇8个，西红门镇1个，榆垡镇12个。52个水源地全部为地下水型水源地，共有54眼水源井，井深3</w:t>
      </w:r>
      <w:r>
        <w:rPr>
          <w:rFonts w:hint="eastAsia" w:ascii="仿宋_GB2312" w:hAnsi="Times New Roman" w:cs="Times New Roman"/>
          <w:szCs w:val="32"/>
        </w:rPr>
        <w:t>5-300m，其中2个水源地为潜水型，50个为承压水型。</w:t>
      </w:r>
    </w:p>
    <w:p>
      <w:pPr>
        <w:numPr>
          <w:ilvl w:val="0"/>
          <w:numId w:val="2"/>
        </w:numPr>
        <w:snapToGrid w:val="0"/>
        <w:outlineLvl w:val="0"/>
        <w:rPr>
          <w:rFonts w:hint="eastAsia" w:ascii="黑体" w:hAnsi="黑体" w:eastAsia="黑体" w:cs="黑体"/>
        </w:rPr>
      </w:pPr>
      <w:bookmarkStart w:id="9" w:name="_GoBack"/>
      <w:bookmarkEnd w:id="9"/>
      <w:r>
        <w:rPr>
          <w:rFonts w:hint="eastAsia" w:ascii="黑体" w:hAnsi="黑体" w:eastAsia="黑体" w:cs="黑体"/>
        </w:rPr>
        <w:t>依据的法规及文件</w:t>
      </w:r>
    </w:p>
    <w:p>
      <w:pPr>
        <w:pStyle w:val="6"/>
        <w:ind w:firstLine="640"/>
        <w:rPr>
          <w:rFonts w:ascii="仿宋_GB2312" w:hAnsi="Times New Roman" w:cs="Times New Roman"/>
          <w:szCs w:val="32"/>
        </w:rPr>
      </w:pPr>
      <w:r>
        <w:rPr>
          <w:rFonts w:ascii="仿宋_GB2312" w:hAnsi="Times New Roman" w:cs="Times New Roman"/>
          <w:szCs w:val="32"/>
        </w:rPr>
        <w:t>（一）</w:t>
      </w:r>
      <w:r>
        <w:rPr>
          <w:rFonts w:hint="eastAsia" w:ascii="仿宋_GB2312" w:hAnsi="Times New Roman" w:cs="Times New Roman"/>
          <w:szCs w:val="32"/>
        </w:rPr>
        <w:t>《关于进一步规范本市饮用水水源保护管理工作的通知》（京环办〔2024〕74号）要求：</w:t>
      </w:r>
    </w:p>
    <w:p>
      <w:pPr>
        <w:pStyle w:val="6"/>
        <w:ind w:firstLine="640"/>
        <w:rPr>
          <w:rFonts w:ascii="仿宋_GB2312" w:hAnsi="Times New Roman" w:cs="Times New Roman"/>
          <w:szCs w:val="32"/>
        </w:rPr>
      </w:pPr>
      <w:r>
        <w:rPr>
          <w:rFonts w:hint="eastAsia" w:ascii="仿宋_GB2312" w:hAnsi="Times New Roman" w:cs="Times New Roman"/>
          <w:szCs w:val="32"/>
        </w:rPr>
        <w:t>各区生态环境、水务部门参照《饮用水水源保护区划分技术规范》（HJ338-2018）、《关于推进乡镇及以下集中式饮用水水源地生态环境保护工作的指导意见》（环水体函〔2019〕92号）以及《分散式饮用水水源地环境保护指南（试行）》（环办〔2010〕132号）等文件要求，共同对名录内水源地开展保护区或保护范围的划定。2024年底前完成区级、乡镇级水源地保护区划定，2025年底前完成名录内所有集中式水源地保护区和分散式水源地保护范围划定。</w:t>
      </w:r>
    </w:p>
    <w:p>
      <w:pPr>
        <w:rPr>
          <w:rFonts w:hint="eastAsia" w:hAnsi="Times New Roman" w:cs="Times New Roman"/>
        </w:rPr>
      </w:pPr>
      <w:r>
        <w:rPr>
          <w:rFonts w:hint="eastAsia" w:hAnsi="Times New Roman" w:cs="Times New Roman"/>
        </w:rPr>
        <w:t>（二）《关于进一步加强分散式饮用水水源地环境保护工作的通知》（环办〔2010〕132号）要求：</w:t>
      </w:r>
    </w:p>
    <w:p>
      <w:pPr>
        <w:rPr>
          <w:rFonts w:hAnsi="Times New Roman" w:cs="Times New Roman"/>
        </w:rPr>
      </w:pPr>
      <w:r>
        <w:rPr>
          <w:rFonts w:hint="eastAsia" w:hAnsi="Times New Roman" w:cs="Times New Roman"/>
        </w:rPr>
        <w:t>结合分散式饮用水水源地基础环境状况，科学确定水源保护范围。</w:t>
      </w:r>
    </w:p>
    <w:p>
      <w:pPr>
        <w:rPr>
          <w:rFonts w:hint="eastAsia" w:hAnsi="Times New Roman" w:cs="Times New Roman"/>
        </w:rPr>
      </w:pPr>
      <w:r>
        <w:rPr>
          <w:rFonts w:hint="eastAsia" w:hAnsi="Times New Roman" w:cs="Times New Roman"/>
        </w:rPr>
        <w:t>（三）《关于加强农村饮用水水源保护工作的指导意见》（环办〔2015〕53号）要求：</w:t>
      </w:r>
    </w:p>
    <w:p>
      <w:pPr>
        <w:rPr>
          <w:rFonts w:hint="eastAsia" w:hAnsi="Times New Roman" w:cs="Times New Roman"/>
        </w:rPr>
      </w:pPr>
      <w:r>
        <w:rPr>
          <w:rFonts w:hint="eastAsia" w:hAnsi="Times New Roman" w:cs="Times New Roman"/>
        </w:rPr>
        <w:t>对供水人口小于一千人的饮用水水源，参照《分散式饮用水水源地环境保护指南（试行）》，划定保护范围。</w:t>
      </w:r>
    </w:p>
    <w:p>
      <w:pPr>
        <w:numPr>
          <w:ilvl w:val="0"/>
          <w:numId w:val="2"/>
        </w:numPr>
        <w:snapToGrid w:val="0"/>
        <w:outlineLvl w:val="0"/>
        <w:rPr>
          <w:rFonts w:hint="eastAsia" w:ascii="黑体" w:hAnsi="黑体" w:eastAsia="黑体" w:cs="黑体"/>
          <w:color w:val="000000"/>
          <w:kern w:val="0"/>
        </w:rPr>
      </w:pPr>
      <w:r>
        <w:rPr>
          <w:rFonts w:hint="eastAsia" w:ascii="黑体" w:hAnsi="黑体" w:eastAsia="黑体" w:cs="黑体"/>
          <w:color w:val="000000"/>
          <w:kern w:val="0"/>
        </w:rPr>
        <w:t>饮用水水源保护范围划分方法</w:t>
      </w:r>
    </w:p>
    <w:p>
      <w:pPr>
        <w:rPr>
          <w:rFonts w:hint="eastAsia" w:hAnsi="Times New Roman" w:cs="Times New Roman"/>
        </w:rPr>
      </w:pPr>
      <w:bookmarkStart w:id="0" w:name="_Hlk204789950"/>
      <w:r>
        <w:rPr>
          <w:rFonts w:hint="eastAsia" w:hAnsi="Times New Roman" w:cs="Times New Roman"/>
        </w:rPr>
        <w:t>分散式饮用水水源保护范围的划分按照《关于加强农村饮用水水源保护工作的指导意见》（环办〔2015〕53号）</w:t>
      </w:r>
      <w:bookmarkEnd w:id="0"/>
      <w:r>
        <w:rPr>
          <w:rFonts w:hint="eastAsia" w:hAnsi="Times New Roman" w:cs="Times New Roman"/>
        </w:rPr>
        <w:t>的规定</w:t>
      </w:r>
      <w:bookmarkStart w:id="1" w:name="_Hlk204789967"/>
      <w:r>
        <w:rPr>
          <w:rFonts w:hint="eastAsia" w:hAnsi="Times New Roman" w:cs="Times New Roman"/>
        </w:rPr>
        <w:t>，对供水人口小于一千人的饮用水水源，参照《分散式饮用水水源地环境保护指南（试行）》，划定保护范围。</w:t>
      </w:r>
      <w:bookmarkEnd w:id="1"/>
    </w:p>
    <w:p>
      <w:pPr>
        <w:rPr>
          <w:rFonts w:hint="eastAsia" w:hAnsi="Times New Roman" w:cs="Times New Roman"/>
        </w:rPr>
      </w:pPr>
      <w:r>
        <w:rPr>
          <w:rFonts w:hAnsi="Times New Roman" w:cs="Times New Roman"/>
        </w:rPr>
        <w:t>《</w:t>
      </w:r>
      <w:r>
        <w:rPr>
          <w:rFonts w:hint="eastAsia" w:hAnsi="Times New Roman" w:cs="Times New Roman"/>
        </w:rPr>
        <w:t>分散式饮用水水源地保护指南</w:t>
      </w:r>
      <w:r>
        <w:rPr>
          <w:rFonts w:hAnsi="Times New Roman" w:cs="Times New Roman"/>
        </w:rPr>
        <w:t>（</w:t>
      </w:r>
      <w:r>
        <w:rPr>
          <w:rFonts w:hint="eastAsia" w:hAnsi="Times New Roman" w:cs="Times New Roman"/>
        </w:rPr>
        <w:t>试行</w:t>
      </w:r>
      <w:r>
        <w:rPr>
          <w:rFonts w:hAnsi="Times New Roman" w:cs="Times New Roman"/>
        </w:rPr>
        <w:t>）》</w:t>
      </w:r>
      <w:r>
        <w:rPr>
          <w:rFonts w:hint="eastAsia" w:hAnsi="Times New Roman" w:cs="Times New Roman"/>
        </w:rPr>
        <w:t>（2010）中明确，地下水水源保护范围为取水口周边30-50米范围。</w:t>
      </w:r>
    </w:p>
    <w:p>
      <w:pPr>
        <w:snapToGrid w:val="0"/>
        <w:outlineLvl w:val="0"/>
        <w:rPr>
          <w:rFonts w:hint="eastAsia" w:ascii="黑体" w:hAnsi="黑体" w:eastAsia="黑体" w:cs="黑体"/>
          <w:color w:val="000000"/>
          <w:kern w:val="0"/>
        </w:rPr>
      </w:pPr>
      <w:r>
        <w:rPr>
          <w:rFonts w:hint="eastAsia" w:ascii="黑体" w:hAnsi="黑体" w:eastAsia="黑体" w:cs="黑体"/>
          <w:color w:val="000000"/>
          <w:kern w:val="0"/>
        </w:rPr>
        <w:t>四、饮用水水源保护范围划分方案</w:t>
      </w:r>
    </w:p>
    <w:p>
      <w:pPr>
        <w:rPr>
          <w:rFonts w:hint="eastAsia"/>
          <w:lang w:val="en"/>
        </w:rPr>
      </w:pPr>
      <w:r>
        <w:rPr>
          <w:rFonts w:hint="eastAsia"/>
        </w:rPr>
        <w:t>结合村级分散式水源地实际情况和管理现状，参照</w:t>
      </w:r>
      <w:r>
        <w:t>《</w:t>
      </w:r>
      <w:r>
        <w:rPr>
          <w:rFonts w:hint="eastAsia"/>
        </w:rPr>
        <w:t>分散式饮用水水源地保护指南</w:t>
      </w:r>
      <w:r>
        <w:t>（</w:t>
      </w:r>
      <w:r>
        <w:rPr>
          <w:rFonts w:hint="eastAsia"/>
        </w:rPr>
        <w:t>试行</w:t>
      </w:r>
      <w:r>
        <w:t>）》</w:t>
      </w:r>
      <w:r>
        <w:rPr>
          <w:rFonts w:hint="eastAsia"/>
        </w:rPr>
        <w:t>，确定52个村级分散式水源保护范围为以水源井为核心的30米范围，见表1，保护范围分布见图1。</w:t>
      </w:r>
    </w:p>
    <w:p>
      <w:pPr>
        <w:pStyle w:val="2"/>
        <w:ind w:firstLine="0" w:firstLineChars="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表1  大兴区村级分散式饮用水水源保护范围汇总表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408"/>
        <w:gridCol w:w="240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序号</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水源地名称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位置</w:t>
            </w:r>
          </w:p>
        </w:tc>
        <w:tc>
          <w:tcPr>
            <w:tcW w:w="184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杜庄屯村水源地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安定镇杜庄屯村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徐柏村水源地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安定镇徐柏村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马各庄村水源地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安定镇马各庄村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佟营村水源地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安定镇佟营村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东芦各庄村水源地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安定镇东芦各庄村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洪士庄村水源地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安定镇洪士庄村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后辛房村水源地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安定镇后辛房村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8</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周园子村水源地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安定镇周园子村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9</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皋营村水源地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安定镇皋营村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10</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高家堡村水源地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黄村镇高家堡村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苑南村水源地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礼贤镇</w:t>
            </w:r>
            <w:r>
              <w:rPr>
                <w:rFonts w:hint="eastAsia" w:hAnsi="宋体" w:cs="宋体"/>
                <w:color w:val="000000"/>
                <w:kern w:val="0"/>
                <w:sz w:val="21"/>
                <w:szCs w:val="21"/>
              </w:rPr>
              <w:t>苑南村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12</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董各庄村水源地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礼贤镇</w:t>
            </w:r>
            <w:r>
              <w:rPr>
                <w:rFonts w:hint="eastAsia" w:hAnsi="宋体" w:cs="宋体"/>
                <w:color w:val="000000"/>
                <w:kern w:val="0"/>
                <w:sz w:val="21"/>
                <w:szCs w:val="21"/>
              </w:rPr>
              <w:t>董各庄村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13</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赵家园村水源地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礼贤镇</w:t>
            </w:r>
            <w:r>
              <w:rPr>
                <w:rFonts w:hint="eastAsia" w:hAnsi="宋体" w:cs="宋体"/>
                <w:color w:val="000000"/>
                <w:kern w:val="0"/>
                <w:sz w:val="21"/>
                <w:szCs w:val="21"/>
              </w:rPr>
              <w:t>赵家园村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14</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前曹村水源地</w:t>
            </w:r>
          </w:p>
        </w:tc>
        <w:tc>
          <w:tcPr>
            <w:tcW w:w="132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庞各庄镇前曹村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15</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加录垡村水源地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庞各庄镇加录垡村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16</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四各庄村水源地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庞各庄镇四各庄村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17</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北曹村水源地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庞各庄镇北曹村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18</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保安庄村水源地</w:t>
            </w:r>
          </w:p>
        </w:tc>
        <w:tc>
          <w:tcPr>
            <w:tcW w:w="1329" w:type="pct"/>
            <w:noWrap/>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庞各庄镇保安庄村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19</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北章客村水源地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庞各庄镇北章客村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20</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留民庄村水源地</w:t>
            </w:r>
          </w:p>
        </w:tc>
        <w:tc>
          <w:tcPr>
            <w:tcW w:w="1329" w:type="pct"/>
            <w:shd w:val="clear" w:color="000000" w:fill="FFFFFF"/>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庞各庄镇留民庄村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东高村水源地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庞各庄镇东高村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22</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南李渠村水源地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庞各庄镇南李渠村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23</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东南次村水源地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庞各庄镇东南次村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24</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西义堂村水源地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庞各庄镇西义堂村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25</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宋各庄村水源地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庞各庄镇宋各庄村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26</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西中堡村水源地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庞各庄镇西中堡村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27</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韩家铺村水源地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庞各庄镇韩家铺村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28</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田家窑村水源地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庞各庄镇田家窑村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29</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李家窑村水源地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庞各庄镇李家窑村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30</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梁家务村水源地</w:t>
            </w:r>
          </w:p>
        </w:tc>
        <w:tc>
          <w:tcPr>
            <w:tcW w:w="1329" w:type="pct"/>
            <w:noWrap/>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庞各庄镇梁家务村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西杭子村水源地</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青云店镇西杭子村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32</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伊庄村水源地</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魏善庄镇伊庄村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33</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南田各庄村水源地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魏善庄镇南田各庄村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34</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羊坊村水源地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魏善庄镇羊坊村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35</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赵庄子村水源地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魏善庄镇赵庄子村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36</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后苑上村水源地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魏善庄镇后苑上村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37</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河北辛庄村水源地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魏善庄镇河北辛庄村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38</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韩村水源地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魏善庄镇韩村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39</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三顺庄村水源地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魏善庄镇三顺庄村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40</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星光社区水源地</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西红门镇星光社区</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辛安庄村水源地</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榆垡镇辛安庄村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42</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张家务村水源地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榆垡镇张家务村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43</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东胡林村水源地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榆垡镇东胡林村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44</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西麻各庄村水源地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榆垡镇西麻各庄村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45</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新桥村水源地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榆垡镇新桥村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46</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西张华村水源地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榆垡镇西张华村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47</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孙各庄村水源地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榆垡镇孙各庄村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48</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十里铺村水源地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榆垡镇十里铺村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49</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东瓮各庄村水源地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榆垡镇东瓮各庄村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50</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马家屯村水源地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榆垡镇马家屯村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51</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ascii="微软雅黑" w:hAnsi="微软雅黑" w:eastAsia="微软雅黑" w:cs="微软雅黑"/>
                <w:kern w:val="0"/>
                <w:sz w:val="21"/>
                <w:szCs w:val="21"/>
              </w:rPr>
              <w:t>訚</w:t>
            </w:r>
            <w:r>
              <w:rPr>
                <w:rFonts w:hint="eastAsia"/>
                <w:kern w:val="0"/>
                <w:sz w:val="21"/>
                <w:szCs w:val="21"/>
              </w:rPr>
              <w:t>家铺村水源地</w:t>
            </w:r>
          </w:p>
        </w:tc>
        <w:tc>
          <w:tcPr>
            <w:tcW w:w="1329"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w:t>
            </w:r>
            <w:r>
              <w:rPr>
                <w:rFonts w:hint="eastAsia" w:ascii="微软雅黑" w:hAnsi="微软雅黑" w:eastAsia="微软雅黑" w:cs="微软雅黑"/>
                <w:kern w:val="0"/>
                <w:sz w:val="21"/>
                <w:szCs w:val="21"/>
              </w:rPr>
              <w:t>訚</w:t>
            </w:r>
            <w:r>
              <w:rPr>
                <w:rFonts w:hint="eastAsia"/>
                <w:kern w:val="0"/>
                <w:sz w:val="21"/>
                <w:szCs w:val="21"/>
              </w:rPr>
              <w:t>家铺村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5"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52</w:t>
            </w:r>
          </w:p>
        </w:tc>
        <w:tc>
          <w:tcPr>
            <w:tcW w:w="1329" w:type="pct"/>
            <w:vAlign w:val="center"/>
          </w:tcPr>
          <w:p>
            <w:pPr>
              <w:widowControl/>
              <w:spacing w:line="240" w:lineRule="auto"/>
              <w:ind w:firstLine="0" w:firstLineChars="0"/>
              <w:jc w:val="center"/>
              <w:rPr>
                <w:rFonts w:hint="eastAsia" w:hAnsi="宋体" w:cs="宋体"/>
                <w:kern w:val="0"/>
                <w:sz w:val="21"/>
                <w:szCs w:val="21"/>
              </w:rPr>
            </w:pPr>
            <w:bookmarkStart w:id="2" w:name="OLE_LINK41"/>
            <w:r>
              <w:rPr>
                <w:rFonts w:hint="eastAsia" w:hAnsi="宋体" w:cs="宋体"/>
                <w:kern w:val="0"/>
                <w:sz w:val="21"/>
                <w:szCs w:val="21"/>
              </w:rPr>
              <w:t>王家屯村</w:t>
            </w:r>
            <w:bookmarkEnd w:id="2"/>
            <w:r>
              <w:rPr>
                <w:rFonts w:hint="eastAsia" w:hAnsi="宋体" w:cs="宋体"/>
                <w:kern w:val="0"/>
                <w:sz w:val="21"/>
                <w:szCs w:val="21"/>
              </w:rPr>
              <w:t>水源地</w:t>
            </w:r>
          </w:p>
        </w:tc>
        <w:tc>
          <w:tcPr>
            <w:tcW w:w="1329"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榆垡镇王家屯村</w:t>
            </w:r>
          </w:p>
        </w:tc>
        <w:tc>
          <w:tcPr>
            <w:tcW w:w="1847"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r>
    </w:tbl>
    <w:p>
      <w:pPr>
        <w:adjustRightInd w:val="0"/>
        <w:snapToGrid w:val="0"/>
        <w:rPr>
          <w:rFonts w:hint="eastAsia"/>
        </w:rPr>
      </w:pPr>
    </w:p>
    <w:p>
      <w:pPr>
        <w:widowControl/>
        <w:spacing w:line="240" w:lineRule="auto"/>
        <w:ind w:firstLine="0" w:firstLineChars="0"/>
        <w:jc w:val="center"/>
        <w:rPr>
          <w:rFonts w:hint="eastAsia"/>
        </w:rPr>
      </w:pPr>
      <w:r>
        <w:drawing>
          <wp:inline distT="0" distB="0" distL="0" distR="0">
            <wp:extent cx="5615940" cy="5615940"/>
            <wp:effectExtent l="0" t="0" r="3810" b="3810"/>
            <wp:docPr id="2432151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1519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5940" cy="5615940"/>
                    </a:xfrm>
                    <a:prstGeom prst="rect">
                      <a:avLst/>
                    </a:prstGeom>
                    <a:noFill/>
                    <a:ln>
                      <a:noFill/>
                    </a:ln>
                  </pic:spPr>
                </pic:pic>
              </a:graphicData>
            </a:graphic>
          </wp:inline>
        </w:drawing>
      </w:r>
    </w:p>
    <w:p>
      <w:pPr>
        <w:snapToGrid w:val="0"/>
        <w:spacing w:line="240" w:lineRule="auto"/>
        <w:ind w:firstLine="0" w:firstLineChars="0"/>
        <w:jc w:val="center"/>
        <w:outlineLvl w:val="0"/>
        <w:rPr>
          <w:rFonts w:hint="eastAsia"/>
        </w:rPr>
      </w:pPr>
      <w:r>
        <w:rPr>
          <w:rFonts w:hint="eastAsia"/>
        </w:rPr>
        <w:t>图1  大兴区</w:t>
      </w:r>
      <w:r>
        <w:rPr>
          <w:rFonts w:hint="eastAsia"/>
          <w:kern w:val="0"/>
        </w:rPr>
        <w:t>村级分散式</w:t>
      </w:r>
      <w:r>
        <w:rPr>
          <w:rFonts w:hint="eastAsia"/>
        </w:rPr>
        <w:t>饮用水水源保护范围示意图</w:t>
      </w:r>
    </w:p>
    <w:p>
      <w:pPr>
        <w:snapToGrid w:val="0"/>
        <w:outlineLvl w:val="0"/>
        <w:rPr>
          <w:rFonts w:hint="eastAsia" w:ascii="黑体" w:hAnsi="黑体" w:eastAsia="黑体" w:cs="黑体"/>
          <w:color w:val="000000"/>
          <w:kern w:val="0"/>
        </w:rPr>
      </w:pPr>
      <w:r>
        <w:rPr>
          <w:rFonts w:hint="eastAsia" w:ascii="黑体" w:hAnsi="黑体" w:eastAsia="黑体" w:cs="黑体"/>
          <w:color w:val="000000"/>
          <w:kern w:val="0"/>
        </w:rPr>
        <w:t>五、下一步工作计划</w:t>
      </w:r>
    </w:p>
    <w:p>
      <w:pPr>
        <w:rPr>
          <w:rFonts w:hint="eastAsia" w:ascii="宋体" w:hAnsi="宋体" w:eastAsia="宋体" w:cs="宋体"/>
          <w:color w:val="000000"/>
          <w:szCs w:val="28"/>
        </w:rPr>
      </w:pPr>
      <w:bookmarkStart w:id="3" w:name="_Toc54090878"/>
      <w:bookmarkStart w:id="4" w:name="_Toc48802705"/>
      <w:bookmarkStart w:id="5" w:name="_Toc48793309"/>
      <w:bookmarkStart w:id="6" w:name="_Toc51221027"/>
      <w:bookmarkStart w:id="7" w:name="_Toc55553612"/>
      <w:bookmarkStart w:id="8" w:name="_Toc181383154"/>
      <w:r>
        <w:rPr>
          <w:rFonts w:hint="eastAsia"/>
        </w:rPr>
        <w:t>完成相关手续后，由大兴区政府对保护范围划分方案进行批复。</w:t>
      </w:r>
      <w:bookmarkEnd w:id="3"/>
      <w:bookmarkEnd w:id="4"/>
      <w:bookmarkEnd w:id="5"/>
      <w:bookmarkEnd w:id="6"/>
      <w:bookmarkEnd w:id="7"/>
      <w:bookmarkEnd w:id="8"/>
      <w:r>
        <w:rPr>
          <w:rFonts w:hint="eastAsia"/>
        </w:rPr>
        <w:t>各相关部门和属地政府加强村级分散式饮用水水源地水质监测等工作，加强保护范围内环境监管，保障水源地水质安全。</w:t>
      </w:r>
    </w:p>
    <w:p>
      <w:pPr>
        <w:rPr>
          <w:rFonts w:hint="eastAsia"/>
        </w:rPr>
      </w:pPr>
    </w:p>
    <w:sectPr>
      <w:pgSz w:w="11906" w:h="16838"/>
      <w:pgMar w:top="2098" w:right="1474" w:bottom="198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B23D4"/>
    <w:multiLevelType w:val="multilevel"/>
    <w:tmpl w:val="413B23D4"/>
    <w:lvl w:ilvl="0" w:tentative="0">
      <w:start w:val="1"/>
      <w:numFmt w:val="decimal"/>
      <w:lvlText w:val="%1."/>
      <w:lvlJc w:val="left"/>
      <w:pPr>
        <w:ind w:left="425" w:hanging="425"/>
      </w:pPr>
    </w:lvl>
    <w:lvl w:ilvl="1" w:tentative="0">
      <w:start w:val="1"/>
      <w:numFmt w:val="decimal"/>
      <w:pStyle w:val="12"/>
      <w:lvlText w:val="%1.%2."/>
      <w:lvlJc w:val="left"/>
      <w:pPr>
        <w:ind w:left="567" w:hanging="567"/>
      </w:pPr>
    </w:lvl>
    <w:lvl w:ilvl="2" w:tentative="0">
      <w:start w:val="1"/>
      <w:numFmt w:val="decimal"/>
      <w:pStyle w:val="13"/>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76ECD400"/>
    <w:multiLevelType w:val="singleLevel"/>
    <w:tmpl w:val="76ECD40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4ODg4N2M2MzZjNGUxYTFlNmUzYzk2M2VhNjkyY2QifQ=="/>
  </w:docVars>
  <w:rsids>
    <w:rsidRoot w:val="0E6B67DA"/>
    <w:rsid w:val="00002D67"/>
    <w:rsid w:val="0004264D"/>
    <w:rsid w:val="00052894"/>
    <w:rsid w:val="00095C28"/>
    <w:rsid w:val="00287B87"/>
    <w:rsid w:val="003219ED"/>
    <w:rsid w:val="00363242"/>
    <w:rsid w:val="00415250"/>
    <w:rsid w:val="00473556"/>
    <w:rsid w:val="00483236"/>
    <w:rsid w:val="0050077E"/>
    <w:rsid w:val="005A29A2"/>
    <w:rsid w:val="005F1051"/>
    <w:rsid w:val="00666175"/>
    <w:rsid w:val="00705BC8"/>
    <w:rsid w:val="00712279"/>
    <w:rsid w:val="00725700"/>
    <w:rsid w:val="00793428"/>
    <w:rsid w:val="007B4B90"/>
    <w:rsid w:val="007E5611"/>
    <w:rsid w:val="00813BB1"/>
    <w:rsid w:val="008B6426"/>
    <w:rsid w:val="0092055F"/>
    <w:rsid w:val="009278BB"/>
    <w:rsid w:val="009C5A08"/>
    <w:rsid w:val="00AB001F"/>
    <w:rsid w:val="00B06219"/>
    <w:rsid w:val="00C05350"/>
    <w:rsid w:val="00C926D0"/>
    <w:rsid w:val="00D45BC8"/>
    <w:rsid w:val="00DB5226"/>
    <w:rsid w:val="00E97870"/>
    <w:rsid w:val="00F14908"/>
    <w:rsid w:val="00F27B6E"/>
    <w:rsid w:val="08630AB1"/>
    <w:rsid w:val="0E6B67DA"/>
    <w:rsid w:val="256D2A31"/>
    <w:rsid w:val="46B1432D"/>
    <w:rsid w:val="48CF5E05"/>
    <w:rsid w:val="4A2B5103"/>
    <w:rsid w:val="57FD2FF7"/>
    <w:rsid w:val="614416A2"/>
    <w:rsid w:val="6A6F05A9"/>
    <w:rsid w:val="711F5789"/>
    <w:rsid w:val="727A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pPr>
      <w:jc w:val="center"/>
    </w:pPr>
    <w:rPr>
      <w:rFonts w:eastAsia="黑体" w:asciiTheme="majorHAnsi" w:hAnsiTheme="majorHAnsi" w:cstheme="majorBidi"/>
      <w:b/>
      <w:sz w:val="24"/>
      <w:szCs w:val="20"/>
    </w:rPr>
  </w:style>
  <w:style w:type="paragraph" w:styleId="3">
    <w:name w:val="endnote text"/>
    <w:basedOn w:val="1"/>
    <w:link w:val="16"/>
    <w:autoRedefine/>
    <w:unhideWhenUsed/>
    <w:qFormat/>
    <w:uiPriority w:val="99"/>
    <w:pPr>
      <w:snapToGrid w:val="0"/>
      <w:spacing w:line="240" w:lineRule="auto"/>
      <w:ind w:firstLine="0" w:firstLineChars="0"/>
      <w:jc w:val="left"/>
    </w:pPr>
    <w:rPr>
      <w:rFonts w:asciiTheme="minorHAnsi" w:hAnsiTheme="minorHAnsi" w:eastAsiaTheme="minorEastAsia" w:cstheme="minorBidi"/>
      <w:sz w:val="21"/>
      <w:szCs w:val="21"/>
    </w:rPr>
  </w:style>
  <w:style w:type="paragraph" w:customStyle="1" w:styleId="6">
    <w:name w:val="列表段落1"/>
    <w:basedOn w:val="1"/>
    <w:autoRedefine/>
    <w:qFormat/>
    <w:uiPriority w:val="34"/>
    <w:pPr>
      <w:ind w:firstLine="420"/>
    </w:pPr>
    <w:rPr>
      <w:rFonts w:ascii="Calibri" w:hAnsi="Calibri"/>
      <w:szCs w:val="22"/>
    </w:rPr>
  </w:style>
  <w:style w:type="paragraph" w:customStyle="1" w:styleId="7">
    <w:name w:val="正文文本2"/>
    <w:basedOn w:val="1"/>
    <w:link w:val="9"/>
    <w:autoRedefine/>
    <w:qFormat/>
    <w:uiPriority w:val="0"/>
    <w:pPr>
      <w:shd w:val="clear" w:color="auto" w:fill="FFFFFF"/>
      <w:spacing w:before="120" w:after="240" w:line="0" w:lineRule="atLeast"/>
      <w:jc w:val="left"/>
    </w:pPr>
    <w:rPr>
      <w:rFonts w:ascii="MingLiU" w:hAnsi="MingLiU" w:eastAsia="MingLiU" w:cs="MingLiU"/>
      <w:snapToGrid w:val="0"/>
      <w:spacing w:val="20"/>
      <w:kern w:val="0"/>
      <w:sz w:val="28"/>
      <w:szCs w:val="28"/>
    </w:rPr>
  </w:style>
  <w:style w:type="character" w:customStyle="1" w:styleId="8">
    <w:name w:val="正文文本1"/>
    <w:basedOn w:val="9"/>
    <w:autoRedefine/>
    <w:qFormat/>
    <w:uiPriority w:val="0"/>
    <w:rPr>
      <w:rFonts w:ascii="MingLiU" w:hAnsi="MingLiU" w:eastAsia="MingLiU" w:cs="MingLiU"/>
      <w:snapToGrid w:val="0"/>
      <w:color w:val="000000"/>
      <w:spacing w:val="20"/>
      <w:w w:val="100"/>
      <w:kern w:val="0"/>
      <w:position w:val="0"/>
      <w:sz w:val="28"/>
      <w:szCs w:val="28"/>
      <w:shd w:val="clear" w:color="auto" w:fill="FFFFFF"/>
      <w:lang w:val="zh-TW"/>
    </w:rPr>
  </w:style>
  <w:style w:type="character" w:customStyle="1" w:styleId="9">
    <w:name w:val="Body text_"/>
    <w:basedOn w:val="5"/>
    <w:link w:val="7"/>
    <w:autoRedefine/>
    <w:qFormat/>
    <w:uiPriority w:val="0"/>
    <w:rPr>
      <w:rFonts w:ascii="MingLiU" w:hAnsi="MingLiU" w:eastAsia="MingLiU" w:cs="MingLiU"/>
      <w:snapToGrid w:val="0"/>
      <w:spacing w:val="20"/>
      <w:kern w:val="0"/>
      <w:sz w:val="28"/>
      <w:szCs w:val="28"/>
    </w:rPr>
  </w:style>
  <w:style w:type="character" w:customStyle="1" w:styleId="10">
    <w:name w:val="Body text + Spacing 3 pt"/>
    <w:basedOn w:val="9"/>
    <w:autoRedefine/>
    <w:qFormat/>
    <w:uiPriority w:val="0"/>
    <w:rPr>
      <w:rFonts w:ascii="MingLiU" w:hAnsi="MingLiU" w:eastAsia="MingLiU" w:cs="MingLiU"/>
      <w:snapToGrid w:val="0"/>
      <w:color w:val="000000"/>
      <w:spacing w:val="60"/>
      <w:w w:val="100"/>
      <w:kern w:val="0"/>
      <w:position w:val="0"/>
      <w:sz w:val="28"/>
      <w:szCs w:val="28"/>
      <w:shd w:val="clear" w:color="auto" w:fill="FFFFFF"/>
      <w:lang w:val="zh-TW"/>
    </w:rPr>
  </w:style>
  <w:style w:type="character" w:customStyle="1" w:styleId="11">
    <w:name w:val="Body text + 15 pt"/>
    <w:basedOn w:val="9"/>
    <w:autoRedefine/>
    <w:qFormat/>
    <w:uiPriority w:val="0"/>
    <w:rPr>
      <w:rFonts w:ascii="MingLiU" w:hAnsi="MingLiU" w:eastAsia="MingLiU" w:cs="MingLiU"/>
      <w:snapToGrid w:val="0"/>
      <w:color w:val="000000"/>
      <w:spacing w:val="20"/>
      <w:w w:val="100"/>
      <w:kern w:val="0"/>
      <w:position w:val="0"/>
      <w:sz w:val="30"/>
      <w:szCs w:val="30"/>
      <w:shd w:val="clear" w:color="auto" w:fill="FFFFFF"/>
      <w:lang w:val="zh-TW"/>
    </w:rPr>
  </w:style>
  <w:style w:type="paragraph" w:customStyle="1" w:styleId="12">
    <w:name w:val="1.1.二级标题"/>
    <w:basedOn w:val="6"/>
    <w:qFormat/>
    <w:uiPriority w:val="0"/>
    <w:pPr>
      <w:numPr>
        <w:ilvl w:val="1"/>
        <w:numId w:val="1"/>
      </w:numPr>
      <w:spacing w:before="120" w:after="120"/>
      <w:ind w:firstLine="0" w:firstLineChars="0"/>
      <w:jc w:val="left"/>
      <w:outlineLvl w:val="1"/>
    </w:pPr>
    <w:rPr>
      <w:b/>
      <w:sz w:val="30"/>
    </w:rPr>
  </w:style>
  <w:style w:type="paragraph" w:customStyle="1" w:styleId="13">
    <w:name w:val="1.1.1.三级标题"/>
    <w:basedOn w:val="6"/>
    <w:qFormat/>
    <w:uiPriority w:val="0"/>
    <w:pPr>
      <w:numPr>
        <w:ilvl w:val="2"/>
        <w:numId w:val="1"/>
      </w:numPr>
      <w:spacing w:before="120" w:after="120"/>
      <w:ind w:firstLine="0" w:firstLineChars="0"/>
      <w:jc w:val="left"/>
      <w:outlineLvl w:val="2"/>
    </w:pPr>
    <w:rPr>
      <w:b/>
      <w:sz w:val="28"/>
    </w:rPr>
  </w:style>
  <w:style w:type="paragraph" w:customStyle="1" w:styleId="14">
    <w:name w:val="正文样式"/>
    <w:basedOn w:val="1"/>
    <w:link w:val="15"/>
    <w:autoRedefine/>
    <w:qFormat/>
    <w:uiPriority w:val="0"/>
    <w:pPr>
      <w:spacing w:line="360" w:lineRule="auto"/>
      <w:ind w:firstLine="200"/>
    </w:pPr>
    <w:rPr>
      <w:sz w:val="28"/>
    </w:rPr>
  </w:style>
  <w:style w:type="character" w:customStyle="1" w:styleId="15">
    <w:name w:val="正文样式 Char"/>
    <w:basedOn w:val="5"/>
    <w:link w:val="14"/>
    <w:autoRedefine/>
    <w:qFormat/>
    <w:uiPriority w:val="0"/>
    <w:rPr>
      <w:rFonts w:ascii="仿宋_GB2312" w:hAnsi="仿宋_GB2312" w:eastAsia="仿宋_GB2312" w:cs="仿宋_GB2312"/>
      <w:kern w:val="2"/>
      <w:sz w:val="28"/>
      <w:szCs w:val="32"/>
    </w:rPr>
  </w:style>
  <w:style w:type="character" w:customStyle="1" w:styleId="16">
    <w:name w:val="尾注文本 字符"/>
    <w:basedOn w:val="5"/>
    <w:link w:val="3"/>
    <w:qFormat/>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451</Words>
  <Characters>2577</Characters>
  <Lines>21</Lines>
  <Paragraphs>6</Paragraphs>
  <TotalTime>65</TotalTime>
  <ScaleCrop>false</ScaleCrop>
  <LinksUpToDate>false</LinksUpToDate>
  <CharactersWithSpaces>3022</CharactersWithSpaces>
  <Application>WPS Office_12.8.2.16730_F1E327BC-269C-435d-A152-05C5408002CA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2025-07-30T08:32:00Z</dcterms:created>
  <dc:creator>Annabel</dc:creator>
  <cp:lastModifiedBy>admin</cp:lastModifiedBy>
  <dcterms:modified xsi:type="dcterms:W3CDTF">2025-08-05T02:46:33Z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2052-12.8.2.16730</vt:lpwstr>
  </property>
  <property fmtid="{D5CDD505-2E9C-101B-9397-08002B2CF9AE}" pid="3" name="ICV">
    <vt:lpwstr>1341D077D3B945DE8E57EE30F3A6FE5E_11</vt:lpwstr>
  </property>
</Properties>
</file>