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方正小标宋 GB"/>
          <w:b/>
          <w:bCs/>
          <w:sz w:val="44"/>
          <w:szCs w:val="44"/>
        </w:rPr>
      </w:pPr>
      <w:r>
        <w:rPr>
          <w:rFonts w:hint="eastAsia" w:ascii="黑体" w:hAnsi="宋体" w:eastAsia="黑体" w:cs="黑体"/>
          <w:sz w:val="32"/>
          <w:szCs w:val="32"/>
          <w:lang w:bidi="ar"/>
        </w:rPr>
        <w:t>附件1</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lang w:bidi="ar"/>
        </w:rPr>
      </w:pPr>
      <w:r>
        <w:rPr>
          <w:rFonts w:hint="eastAsia" w:ascii="方正小标宋_GBK" w:hAnsi="方正小标宋_GBK" w:eastAsia="方正小标宋_GBK" w:cs="方正小标宋_GBK"/>
          <w:sz w:val="44"/>
          <w:szCs w:val="44"/>
          <w:lang w:val="en-US" w:eastAsia="zh-CN"/>
        </w:rPr>
        <w:t>《怀柔区数字化转型规划（征求意见稿）》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lang w:bidi="ar"/>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lang w:bidi="ar"/>
        </w:rPr>
      </w:pPr>
      <w:bookmarkStart w:id="67" w:name="_GoBack"/>
      <w:bookmarkEnd w:id="67"/>
      <w:r>
        <w:rPr>
          <w:rFonts w:ascii="Times New Roman" w:hAnsi="Times New Roman" w:eastAsia="仿宋_GB2312"/>
          <w:sz w:val="32"/>
          <w:szCs w:val="32"/>
          <w:lang w:bidi="ar"/>
        </w:rPr>
        <w:t>深入贯彻习近平总书记关于网络强国的重要思想，积极落实国家层面《数字中国建设整体布局规划》《关于加强数字政府建设的指导意见》《“数据要素×”三年行动计划（2024—2026年）》《关于深化智慧城市发展推进城市全域数字化转型的指导意见》</w:t>
      </w:r>
      <w:r>
        <w:rPr>
          <w:rFonts w:hint="eastAsia" w:ascii="Times New Roman" w:hAnsi="Times New Roman" w:eastAsia="仿宋_GB2312"/>
          <w:sz w:val="32"/>
          <w:szCs w:val="32"/>
          <w:lang w:bidi="ar"/>
        </w:rPr>
        <w:t>《政务数据共享条例》</w:t>
      </w:r>
      <w:r>
        <w:rPr>
          <w:rFonts w:ascii="Times New Roman" w:hAnsi="Times New Roman" w:eastAsia="仿宋_GB2312"/>
          <w:sz w:val="32"/>
          <w:szCs w:val="32"/>
          <w:lang w:bidi="ar"/>
        </w:rPr>
        <w:t>等政策</w:t>
      </w:r>
      <w:r>
        <w:rPr>
          <w:rFonts w:hint="eastAsia" w:ascii="Times New Roman" w:hAnsi="Times New Roman" w:eastAsia="仿宋_GB2312"/>
          <w:sz w:val="32"/>
          <w:szCs w:val="32"/>
          <w:lang w:bidi="ar"/>
        </w:rPr>
        <w:t>规范</w:t>
      </w:r>
      <w:r>
        <w:rPr>
          <w:rFonts w:ascii="Times New Roman" w:hAnsi="Times New Roman" w:eastAsia="仿宋_GB2312"/>
          <w:sz w:val="32"/>
          <w:szCs w:val="32"/>
          <w:lang w:bidi="ar"/>
        </w:rPr>
        <w:t>要求，抢抓数字化改革新机遇，构筑面向未来新的战略优势，编制怀柔区数字化转型规划方案。</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ascii="Times New Roman" w:hAnsi="Times New Roman"/>
          <w:b w:val="0"/>
          <w:bCs w:val="0"/>
          <w:sz w:val="32"/>
          <w:szCs w:val="60"/>
        </w:rPr>
      </w:pPr>
      <w:bookmarkStart w:id="0" w:name="_Toc176338527"/>
      <w:bookmarkStart w:id="1" w:name="_Toc17422"/>
      <w:r>
        <w:rPr>
          <w:rFonts w:ascii="Times New Roman" w:hAnsi="Times New Roman"/>
          <w:b w:val="0"/>
          <w:bCs w:val="0"/>
          <w:sz w:val="32"/>
          <w:szCs w:val="60"/>
        </w:rPr>
        <w:t>发展环境和基础</w:t>
      </w:r>
      <w:bookmarkEnd w:id="0"/>
      <w:bookmarkEnd w:id="1"/>
    </w:p>
    <w:p>
      <w:pPr>
        <w:pStyle w:val="3"/>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楷体_GB2312" w:hAnsi="楷体_GB2312" w:eastAsia="楷体_GB2312" w:cs="楷体_GB2312"/>
          <w:b w:val="0"/>
          <w:bCs w:val="0"/>
          <w:sz w:val="32"/>
          <w:szCs w:val="32"/>
        </w:rPr>
      </w:pPr>
      <w:bookmarkStart w:id="2" w:name="_Toc15011"/>
      <w:r>
        <w:rPr>
          <w:rFonts w:hint="eastAsia" w:ascii="楷体_GB2312" w:hAnsi="楷体_GB2312" w:eastAsia="楷体_GB2312" w:cs="楷体_GB2312"/>
          <w:b w:val="0"/>
          <w:bCs w:val="0"/>
          <w:sz w:val="32"/>
          <w:szCs w:val="32"/>
        </w:rPr>
        <w:t>发展政策导向</w:t>
      </w:r>
      <w:bookmarkEnd w:id="2"/>
    </w:p>
    <w:p>
      <w:pPr>
        <w:pStyle w:val="4"/>
        <w:pageBreakBefore w:val="0"/>
        <w:widowControl w:val="0"/>
        <w:numPr>
          <w:ilvl w:val="0"/>
          <w:numId w:val="0"/>
        </w:numPr>
        <w:tabs>
          <w:tab w:val="clear" w:pos="0"/>
          <w:tab w:val="clear" w:pos="2978"/>
        </w:tabs>
        <w:kinsoku/>
        <w:wordWrap/>
        <w:overflowPunct/>
        <w:topLinePunct w:val="0"/>
        <w:autoSpaceDE/>
        <w:autoSpaceDN/>
        <w:bidi w:val="0"/>
        <w:adjustRightInd/>
        <w:snapToGrid/>
        <w:spacing w:before="0" w:beforeLines="0" w:after="0" w:afterLines="0" w:line="560" w:lineRule="exact"/>
        <w:ind w:firstLine="643" w:firstLineChars="200"/>
        <w:textAlignment w:val="auto"/>
        <w:rPr>
          <w:rFonts w:ascii="Times New Roman" w:hAnsi="Times New Roman" w:eastAsia="仿宋_GB2312"/>
          <w:sz w:val="32"/>
          <w:szCs w:val="32"/>
        </w:rPr>
      </w:pPr>
      <w:bookmarkStart w:id="3" w:name="_Toc7997"/>
      <w:r>
        <w:rPr>
          <w:rFonts w:ascii="Times New Roman" w:hAnsi="Times New Roman" w:eastAsia="仿宋_GB2312"/>
          <w:sz w:val="32"/>
          <w:szCs w:val="32"/>
        </w:rPr>
        <w:t>1.国家层面</w:t>
      </w:r>
      <w:bookmarkEnd w:id="3"/>
    </w:p>
    <w:p>
      <w:pPr>
        <w:pStyle w:val="16"/>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ascii="Times New Roman" w:hAnsi="Times New Roman" w:eastAsia="仿宋_GB2312"/>
          <w:color w:val="000000"/>
          <w:kern w:val="2"/>
          <w:sz w:val="32"/>
          <w:szCs w:val="32"/>
        </w:rPr>
      </w:pPr>
      <w:r>
        <w:rPr>
          <w:rFonts w:ascii="Times New Roman" w:hAnsi="Times New Roman" w:eastAsia="仿宋_GB2312"/>
          <w:b/>
          <w:color w:val="000000"/>
          <w:kern w:val="2"/>
          <w:sz w:val="32"/>
          <w:szCs w:val="32"/>
        </w:rPr>
        <w:t>数字化转型进入全方位政策布局和加快发展新阶段</w:t>
      </w:r>
      <w:r>
        <w:rPr>
          <w:rFonts w:ascii="Times New Roman" w:hAnsi="Times New Roman" w:eastAsia="仿宋_GB2312"/>
          <w:color w:val="000000"/>
          <w:kern w:val="2"/>
          <w:sz w:val="32"/>
          <w:szCs w:val="32"/>
        </w:rPr>
        <w:t>，陆续发布《数字中国建设整体布局规划》《关于深化智慧城市发展推进城市全域数字化转型的指导意见》《“数据要素×”三年行动计划》等重点政策。党中央、国务院将智慧城市作为建设网络强国、数字中国和智慧社会的重要抓手，加强战略谋划和前瞻布局。《数字中国建设整体布局规划》强调数字技术与“五位一体”的深度融合，《国务院关于加强数字政府建设的指导意见》提出数字政府的总体发展架构和一体化治理模式（一网统管、一网通办）、“一件事一次办”等业务机制。</w:t>
      </w:r>
    </w:p>
    <w:p>
      <w:pPr>
        <w:pStyle w:val="16"/>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ascii="Times New Roman" w:hAnsi="Times New Roman" w:eastAsia="仿宋_GB2312"/>
          <w:color w:val="000000"/>
          <w:kern w:val="2"/>
          <w:sz w:val="32"/>
          <w:szCs w:val="32"/>
        </w:rPr>
      </w:pPr>
      <w:r>
        <w:rPr>
          <w:rFonts w:hint="eastAsia" w:ascii="Times New Roman" w:hAnsi="Times New Roman" w:eastAsia="仿宋_GB2312"/>
          <w:b/>
          <w:bCs/>
          <w:color w:val="000000"/>
          <w:kern w:val="2"/>
          <w:sz w:val="32"/>
          <w:szCs w:val="32"/>
        </w:rPr>
        <w:t>国家和地方成立统筹的数据管理部门，全面推进各层级的数字化转型工作</w:t>
      </w:r>
      <w:r>
        <w:rPr>
          <w:rFonts w:ascii="Times New Roman" w:hAnsi="Times New Roman" w:eastAsia="仿宋_GB2312"/>
          <w:color w:val="000000"/>
          <w:kern w:val="2"/>
          <w:sz w:val="32"/>
          <w:szCs w:val="32"/>
        </w:rPr>
        <w:t>，2023年10月25日，国家数据局正式揭牌，</w:t>
      </w:r>
      <w:r>
        <w:rPr>
          <w:rFonts w:hint="eastAsia" w:ascii="Times New Roman" w:hAnsi="Times New Roman" w:eastAsia="仿宋_GB2312"/>
          <w:color w:val="000000"/>
          <w:kern w:val="2"/>
          <w:sz w:val="32"/>
          <w:szCs w:val="32"/>
        </w:rPr>
        <w:t>至今</w:t>
      </w:r>
      <w:r>
        <w:rPr>
          <w:rFonts w:ascii="Times New Roman" w:hAnsi="Times New Roman" w:eastAsia="仿宋_GB2312"/>
          <w:color w:val="000000"/>
          <w:kern w:val="2"/>
          <w:sz w:val="32"/>
          <w:szCs w:val="32"/>
        </w:rPr>
        <w:t>20多个省市（包括北京）陆续成立独立的数据资源管理部门</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负责统筹</w:t>
      </w:r>
      <w:r>
        <w:rPr>
          <w:rFonts w:hint="eastAsia" w:ascii="Times New Roman" w:hAnsi="Times New Roman" w:eastAsia="仿宋_GB2312"/>
          <w:color w:val="000000"/>
          <w:kern w:val="2"/>
          <w:sz w:val="32"/>
          <w:szCs w:val="32"/>
        </w:rPr>
        <w:t>各地区的数字化转型工作</w:t>
      </w:r>
      <w:r>
        <w:rPr>
          <w:rFonts w:ascii="Times New Roman" w:hAnsi="Times New Roman" w:eastAsia="仿宋_GB2312"/>
          <w:color w:val="000000"/>
          <w:kern w:val="2"/>
          <w:sz w:val="32"/>
          <w:szCs w:val="32"/>
        </w:rPr>
        <w:t>，推动数据要素的市场化、价值化，成为推动经济社会发展的新动能。</w:t>
      </w:r>
    </w:p>
    <w:p>
      <w:pPr>
        <w:pStyle w:val="4"/>
        <w:pageBreakBefore w:val="0"/>
        <w:widowControl w:val="0"/>
        <w:numPr>
          <w:ilvl w:val="0"/>
          <w:numId w:val="0"/>
        </w:numPr>
        <w:tabs>
          <w:tab w:val="clear" w:pos="0"/>
          <w:tab w:val="clear" w:pos="2978"/>
        </w:tabs>
        <w:kinsoku/>
        <w:wordWrap/>
        <w:overflowPunct/>
        <w:topLinePunct w:val="0"/>
        <w:autoSpaceDE/>
        <w:autoSpaceDN/>
        <w:bidi w:val="0"/>
        <w:adjustRightInd/>
        <w:snapToGrid/>
        <w:spacing w:before="0" w:beforeLines="0" w:after="0" w:afterLines="0" w:line="560" w:lineRule="exact"/>
        <w:ind w:firstLine="643" w:firstLineChars="200"/>
        <w:textAlignment w:val="auto"/>
        <w:rPr>
          <w:rFonts w:ascii="Times New Roman" w:hAnsi="Times New Roman" w:eastAsia="仿宋_GB2312"/>
          <w:sz w:val="32"/>
          <w:szCs w:val="32"/>
        </w:rPr>
      </w:pPr>
      <w:bookmarkStart w:id="4" w:name="_Toc28822"/>
      <w:r>
        <w:rPr>
          <w:rFonts w:ascii="Times New Roman" w:hAnsi="Times New Roman" w:eastAsia="仿宋_GB2312"/>
          <w:sz w:val="32"/>
          <w:szCs w:val="32"/>
        </w:rPr>
        <w:t>2.北京市层面</w:t>
      </w:r>
      <w:bookmarkEnd w:id="4"/>
    </w:p>
    <w:p>
      <w:pPr>
        <w:pStyle w:val="16"/>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北京市积极落实国家政策，颁布数字化转型相关规划政策文件，推动北京市的数字化转型建设。</w:t>
      </w:r>
    </w:p>
    <w:p>
      <w:pPr>
        <w:pStyle w:val="16"/>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ascii="Times New Roman" w:hAnsi="Times New Roman" w:eastAsia="仿宋_GB2312"/>
          <w:color w:val="000000"/>
          <w:kern w:val="2"/>
          <w:sz w:val="32"/>
          <w:szCs w:val="32"/>
        </w:rPr>
      </w:pPr>
      <w:r>
        <w:rPr>
          <w:rFonts w:ascii="Times New Roman" w:hAnsi="Times New Roman" w:eastAsia="仿宋_GB2312"/>
          <w:b/>
          <w:color w:val="000000"/>
          <w:kern w:val="2"/>
          <w:sz w:val="32"/>
          <w:szCs w:val="32"/>
        </w:rPr>
        <w:t>数字化转型的总体布局和要求</w:t>
      </w:r>
      <w:r>
        <w:rPr>
          <w:rFonts w:ascii="Times New Roman" w:hAnsi="Times New Roman" w:eastAsia="仿宋_GB2312"/>
          <w:color w:val="000000"/>
          <w:kern w:val="2"/>
          <w:sz w:val="32"/>
          <w:szCs w:val="32"/>
        </w:rPr>
        <w:t>：聚焦五大领域，即数字政府为核心，带动数字经济、数字社会、数字文化、数字生态的全面发展。核心布局：“三京”“三个一网</w:t>
      </w:r>
      <w:bookmarkStart w:id="5" w:name="OLE_LINK1"/>
      <w:r>
        <w:rPr>
          <w:rFonts w:ascii="Times New Roman" w:hAnsi="Times New Roman" w:eastAsia="仿宋_GB2312"/>
          <w:color w:val="000000"/>
          <w:kern w:val="2"/>
          <w:sz w:val="32"/>
          <w:szCs w:val="32"/>
        </w:rPr>
        <w:t>”</w:t>
      </w:r>
      <w:bookmarkEnd w:id="5"/>
      <w:r>
        <w:rPr>
          <w:rFonts w:ascii="Times New Roman" w:hAnsi="Times New Roman" w:eastAsia="仿宋_GB2312"/>
          <w:color w:val="000000"/>
          <w:kern w:val="2"/>
          <w:sz w:val="32"/>
          <w:szCs w:val="32"/>
        </w:rPr>
        <w:t>和“七通一平”。三个一网为核心应用，指政务服务“一网通办”、城市运行“一网统管”、政府决策支撑的“一网慧治”。“七通一平”构成了数字底座，包括城市码、空间图、基础工具库、算力设施、感知体系、通信网络、政务云以及大数据平台。</w:t>
      </w:r>
    </w:p>
    <w:p>
      <w:pPr>
        <w:pStyle w:val="16"/>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ascii="Times New Roman" w:hAnsi="Times New Roman" w:eastAsia="仿宋_GB2312"/>
          <w:color w:val="000000"/>
          <w:kern w:val="2"/>
          <w:sz w:val="32"/>
          <w:szCs w:val="32"/>
        </w:rPr>
      </w:pPr>
      <w:r>
        <w:rPr>
          <w:rFonts w:ascii="Times New Roman" w:hAnsi="Times New Roman" w:eastAsia="仿宋_GB2312"/>
          <w:b/>
          <w:color w:val="000000"/>
          <w:kern w:val="2"/>
          <w:sz w:val="32"/>
          <w:szCs w:val="32"/>
        </w:rPr>
        <w:t>工作要点：</w:t>
      </w:r>
      <w:r>
        <w:rPr>
          <w:rFonts w:ascii="Times New Roman" w:hAnsi="Times New Roman" w:eastAsia="仿宋_GB2312"/>
          <w:color w:val="000000"/>
          <w:kern w:val="2"/>
          <w:sz w:val="32"/>
          <w:szCs w:val="32"/>
        </w:rPr>
        <w:t>统筹推进政务、经济和社会数字化转型。实施数字政务提质增效行动，更好支撑“高效办成一件事”，落实电子证照扩大应用和互通互认重点任务，加强人工智能、大模型等新技术应用。深化“一网统管”</w:t>
      </w:r>
      <w:r>
        <w:rPr>
          <w:rFonts w:hint="eastAsia" w:ascii="Times New Roman" w:hAnsi="Times New Roman" w:eastAsia="仿宋_GB2312"/>
          <w:color w:val="000000"/>
          <w:kern w:val="2"/>
          <w:sz w:val="32"/>
          <w:szCs w:val="32"/>
          <w:lang w:eastAsia="zh-CN"/>
        </w:rPr>
        <w:t>，</w:t>
      </w:r>
      <w:r>
        <w:rPr>
          <w:rFonts w:ascii="Times New Roman" w:hAnsi="Times New Roman" w:eastAsia="仿宋_GB2312"/>
          <w:color w:val="000000"/>
          <w:kern w:val="2"/>
          <w:sz w:val="32"/>
          <w:szCs w:val="32"/>
        </w:rPr>
        <w:t>强化公共安全、规划建设、城市管理、应急通信、交通管理、市场监管、生态环境等领域数据融通和赋能。加快建设全球数字经济标杆城市，持续开展传统产业数字化转型。</w:t>
      </w:r>
    </w:p>
    <w:p>
      <w:pPr>
        <w:pStyle w:val="16"/>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ascii="Times New Roman" w:hAnsi="Times New Roman" w:eastAsia="仿宋_GB2312"/>
          <w:color w:val="000000"/>
          <w:kern w:val="2"/>
          <w:sz w:val="32"/>
          <w:szCs w:val="32"/>
        </w:rPr>
      </w:pPr>
      <w:r>
        <w:rPr>
          <w:rFonts w:ascii="Times New Roman" w:hAnsi="Times New Roman" w:eastAsia="仿宋_GB2312"/>
          <w:b/>
          <w:color w:val="000000"/>
          <w:kern w:val="2"/>
          <w:sz w:val="32"/>
          <w:szCs w:val="32"/>
        </w:rPr>
        <w:t>数据要素发展规划</w:t>
      </w:r>
      <w:r>
        <w:rPr>
          <w:rFonts w:ascii="Times New Roman" w:hAnsi="Times New Roman" w:eastAsia="仿宋_GB2312"/>
          <w:color w:val="000000"/>
          <w:kern w:val="2"/>
          <w:sz w:val="32"/>
          <w:szCs w:val="32"/>
        </w:rPr>
        <w:t>：国家数据要素市场化配置改革综合试验区建设，编制国家数据要素市场化配置改革综合试验区建设方案，形成“一区三中心”发展格局（数据要素市场化配置改革综合试验区，建设国家数据管理中心、国家数据资源中心和国家数据流通交易中心）。</w:t>
      </w:r>
    </w:p>
    <w:p>
      <w:pPr>
        <w:pStyle w:val="4"/>
        <w:pageBreakBefore w:val="0"/>
        <w:widowControl w:val="0"/>
        <w:numPr>
          <w:ilvl w:val="0"/>
          <w:numId w:val="0"/>
        </w:numPr>
        <w:tabs>
          <w:tab w:val="clear" w:pos="0"/>
          <w:tab w:val="clear" w:pos="2978"/>
        </w:tabs>
        <w:kinsoku/>
        <w:wordWrap/>
        <w:overflowPunct/>
        <w:topLinePunct w:val="0"/>
        <w:autoSpaceDE/>
        <w:autoSpaceDN/>
        <w:bidi w:val="0"/>
        <w:adjustRightInd/>
        <w:snapToGrid/>
        <w:spacing w:before="0" w:beforeLines="0" w:after="0" w:afterLines="0" w:line="560" w:lineRule="exact"/>
        <w:ind w:firstLine="643" w:firstLineChars="200"/>
        <w:textAlignment w:val="auto"/>
        <w:rPr>
          <w:rFonts w:ascii="Times New Roman" w:hAnsi="Times New Roman" w:eastAsia="仿宋_GB2312"/>
          <w:sz w:val="32"/>
          <w:szCs w:val="32"/>
        </w:rPr>
      </w:pPr>
      <w:bookmarkStart w:id="6" w:name="_Toc13957"/>
      <w:r>
        <w:rPr>
          <w:rFonts w:ascii="Times New Roman" w:hAnsi="Times New Roman" w:eastAsia="仿宋_GB2312"/>
          <w:sz w:val="32"/>
          <w:szCs w:val="32"/>
        </w:rPr>
        <w:t>3.怀柔区层面</w:t>
      </w:r>
      <w:bookmarkEnd w:id="6"/>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olor w:val="000000"/>
          <w:sz w:val="32"/>
          <w:szCs w:val="32"/>
        </w:rPr>
      </w:pPr>
      <w:r>
        <w:rPr>
          <w:rFonts w:ascii="Times New Roman" w:hAnsi="Times New Roman" w:eastAsia="仿宋_GB2312"/>
          <w:b/>
          <w:color w:val="000000"/>
          <w:sz w:val="32"/>
          <w:szCs w:val="32"/>
        </w:rPr>
        <w:t>总体发展要求</w:t>
      </w:r>
      <w:r>
        <w:rPr>
          <w:rFonts w:ascii="Times New Roman" w:hAnsi="Times New Roman" w:eastAsia="仿宋_GB2312"/>
          <w:color w:val="000000"/>
          <w:sz w:val="32"/>
          <w:szCs w:val="32"/>
        </w:rPr>
        <w:t>：首都功能重要承载地和生态涵养区的战略定位，“生态涵养、科技创新、会议休闲、影视文化”等四大功能要素的融合发展和“一城两都”建设为重点。重点实现怀柔科学城建设新的突破，国家战略科技力量创新效能不断释放，原创性引领性重大成果加速涌现，科技创新生态更加开放活跃，“科学+城”城市框架基本形成。高质量发展迈出坚实步伐，战略性新兴产业加快培育，加快推动传统产业转型升级，以“两区”建设提升区域发展活力。系统推进城市治理和城乡融合发展，城市精细化治理能力不断提升，全力推动城乡协调融合发展，生态环境质量持续优化，主动融入京津冀协同发展。持续保障和改善民生，公共服务水平稳步提高，社会保障体系不断健全，深入推进文化惠民。</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olor w:val="000000"/>
          <w:sz w:val="32"/>
          <w:szCs w:val="32"/>
        </w:rPr>
      </w:pPr>
      <w:r>
        <w:rPr>
          <w:rFonts w:ascii="Times New Roman" w:hAnsi="Times New Roman" w:eastAsia="仿宋_GB2312"/>
          <w:b/>
          <w:color w:val="000000"/>
          <w:sz w:val="32"/>
          <w:szCs w:val="32"/>
        </w:rPr>
        <w:t>数字化转型布局</w:t>
      </w:r>
      <w:r>
        <w:rPr>
          <w:rFonts w:ascii="Times New Roman" w:hAnsi="Times New Roman" w:eastAsia="仿宋_GB2312"/>
          <w:color w:val="000000"/>
          <w:sz w:val="32"/>
          <w:szCs w:val="32"/>
        </w:rPr>
        <w:t>：2024年怀柔区政务服务和数据管理局成立，负责统筹全区的数据工作，全面推动怀柔区数字化转型。怀柔区积极落实国家和北京市的政策要求，在全域数字化转型层面进行探索。</w:t>
      </w:r>
    </w:p>
    <w:p>
      <w:pPr>
        <w:pStyle w:val="3"/>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sz w:val="32"/>
          <w:szCs w:val="32"/>
        </w:rPr>
      </w:pPr>
      <w:bookmarkStart w:id="7" w:name="_Toc176338529"/>
      <w:bookmarkStart w:id="8" w:name="_Toc20598"/>
      <w:bookmarkStart w:id="9" w:name="_Toc176338528"/>
      <w:r>
        <w:rPr>
          <w:rFonts w:hint="eastAsia" w:ascii="楷体_GB2312" w:hAnsi="楷体_GB2312" w:eastAsia="楷体_GB2312" w:cs="楷体_GB2312"/>
          <w:b w:val="0"/>
          <w:bCs w:val="0"/>
          <w:sz w:val="32"/>
          <w:szCs w:val="32"/>
        </w:rPr>
        <w:t>先进城市对标</w:t>
      </w:r>
      <w:bookmarkEnd w:id="7"/>
      <w:bookmarkEnd w:id="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随着我国数字化建设的持续推进，各地在数字化转型与智慧城市建设实践和探索过程中逐渐形成一些经验和模式，结合自身发展条件相继推出数字化发展战略，逐渐形成具有特色的建设路径，本次规划选取上海、深圳、广州、杭州、南京等5个国内先进城市，围绕顶层设计、业务应用、机制体制、数据要素和特色领域等方面开展数字化城市建设对标。</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顶层规划方面</w:t>
      </w:r>
      <w:r>
        <w:rPr>
          <w:rFonts w:ascii="Times New Roman" w:hAnsi="Times New Roman" w:eastAsia="仿宋_GB2312"/>
          <w:sz w:val="32"/>
          <w:szCs w:val="32"/>
        </w:rPr>
        <w:t>，各地城市在数字化建设实践过程中，紧扣本地战略定位制定区域数字化建设顶层设计框架，以“一张图纸绘到底”方式统筹推进，注重规划建设的集约共享，普遍采用多横多纵架构体系，横向上强调数字基础设施的统筹集约建设，着力推进数据资源“聚通用”，通过打造数据共享、业务支撑等共性能力建设，高效赋能政府、社会、经济等领域智慧化应用，为怀柔区进行数字化转型建设提供良好的借鉴。</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color w:val="000000"/>
          <w:sz w:val="32"/>
          <w:szCs w:val="32"/>
        </w:rPr>
      </w:pPr>
      <w:r>
        <w:rPr>
          <w:rFonts w:ascii="Times New Roman" w:hAnsi="Times New Roman" w:eastAsia="仿宋_GB2312"/>
          <w:b/>
          <w:sz w:val="32"/>
          <w:szCs w:val="32"/>
        </w:rPr>
        <w:t>业务应用方面</w:t>
      </w:r>
      <w:r>
        <w:rPr>
          <w:rFonts w:ascii="Times New Roman" w:hAnsi="Times New Roman" w:eastAsia="仿宋_GB2312"/>
          <w:sz w:val="32"/>
          <w:szCs w:val="32"/>
        </w:rPr>
        <w:t>，</w:t>
      </w:r>
      <w:r>
        <w:rPr>
          <w:rFonts w:ascii="Times New Roman" w:hAnsi="Times New Roman" w:eastAsia="仿宋_GB2312"/>
          <w:color w:val="000000"/>
          <w:sz w:val="32"/>
          <w:szCs w:val="32"/>
        </w:rPr>
        <w:t>重点关注一体化治理服务体系及</w:t>
      </w:r>
      <w:r>
        <w:rPr>
          <w:rFonts w:ascii="Times New Roman" w:hAnsi="Times New Roman" w:eastAsia="仿宋_GB2312"/>
          <w:bCs/>
          <w:color w:val="000000"/>
          <w:sz w:val="32"/>
          <w:szCs w:val="32"/>
        </w:rPr>
        <w:t>重大改革支撑型应用的建设</w:t>
      </w:r>
      <w:r>
        <w:rPr>
          <w:rFonts w:ascii="Times New Roman" w:hAnsi="Times New Roman" w:eastAsia="仿宋_GB2312"/>
          <w:color w:val="000000"/>
          <w:sz w:val="32"/>
          <w:szCs w:val="32"/>
        </w:rPr>
        <w:t>，打通各职能部门的“信息孤岛”和“资源壁垒”，整合各级政府部门的政务服务事项，建设为市民提供全天候、全方位的政务服务应用。</w:t>
      </w:r>
      <w:r>
        <w:rPr>
          <w:rFonts w:ascii="Times New Roman" w:hAnsi="Times New Roman" w:eastAsia="仿宋_GB2312"/>
          <w:bCs/>
          <w:color w:val="000000"/>
          <w:sz w:val="32"/>
          <w:szCs w:val="32"/>
        </w:rPr>
        <w:t>重大改革支撑型应用方面，加强数据的跨行业、跨部门等的流转、分析和应用，建设多跨场景应用平台，引导多跨场景打造。</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数据要素方面，</w:t>
      </w:r>
      <w:r>
        <w:rPr>
          <w:rFonts w:ascii="Times New Roman" w:hAnsi="Times New Roman" w:eastAsia="仿宋_GB2312"/>
          <w:sz w:val="32"/>
          <w:szCs w:val="32"/>
        </w:rPr>
        <w:t>着重加快构建一体化的数据资源管理体系，做好数据资源的归集、治理与共享，持续推进数据资源“一张网”“一张图”“一本账”基础工程建设。大力探索数据要素市场化体系建设，以应用场景为牵引，拓展数据应用空间，探索公共数据与行业数据、社会数据的融合汇聚，推动政府、市场各领域充分挖掘数据要素潜在价值，赋能全区高质量发展。</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机制体制方面</w:t>
      </w:r>
      <w:r>
        <w:rPr>
          <w:rFonts w:ascii="Times New Roman" w:hAnsi="Times New Roman" w:eastAsia="仿宋_GB2312"/>
          <w:sz w:val="32"/>
          <w:szCs w:val="32"/>
        </w:rPr>
        <w:t>，聚焦高位统筹组织体系建设，注重组织推进、资金管理、评价考核等机制建设和创新。建立评价考核体系需要结合项目资金管理、运营管理、各级部门联动评价的成熟经验。</w:t>
      </w:r>
    </w:p>
    <w:bookmarkEnd w:id="9"/>
    <w:p>
      <w:pPr>
        <w:pStyle w:val="3"/>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b w:val="0"/>
          <w:bCs w:val="0"/>
          <w:sz w:val="32"/>
          <w:szCs w:val="32"/>
        </w:rPr>
      </w:pPr>
      <w:bookmarkStart w:id="10" w:name="_Toc12883"/>
      <w:bookmarkStart w:id="11" w:name="_Toc176338536"/>
      <w:r>
        <w:rPr>
          <w:rFonts w:hint="eastAsia" w:ascii="楷体_GB2312" w:hAnsi="楷体_GB2312" w:eastAsia="楷体_GB2312" w:cs="楷体_GB2312"/>
          <w:b w:val="0"/>
          <w:bCs w:val="0"/>
          <w:sz w:val="32"/>
          <w:szCs w:val="32"/>
        </w:rPr>
        <w:t>发展基础和问题</w:t>
      </w:r>
      <w:bookmarkEnd w:id="10"/>
      <w:bookmarkEnd w:id="11"/>
    </w:p>
    <w:p>
      <w:pPr>
        <w:pStyle w:val="4"/>
        <w:pageBreakBefore w:val="0"/>
        <w:widowControl w:val="0"/>
        <w:numPr>
          <w:ilvl w:val="0"/>
          <w:numId w:val="0"/>
        </w:numPr>
        <w:tabs>
          <w:tab w:val="clear" w:pos="0"/>
          <w:tab w:val="clear" w:pos="2978"/>
        </w:tabs>
        <w:kinsoku/>
        <w:wordWrap/>
        <w:overflowPunct/>
        <w:topLinePunct w:val="0"/>
        <w:autoSpaceDE/>
        <w:autoSpaceDN/>
        <w:bidi w:val="0"/>
        <w:adjustRightInd/>
        <w:snapToGrid/>
        <w:spacing w:before="0" w:beforeLines="0" w:after="0" w:afterLines="0" w:line="560" w:lineRule="exact"/>
        <w:ind w:firstLine="643" w:firstLineChars="200"/>
        <w:textAlignment w:val="auto"/>
        <w:rPr>
          <w:rFonts w:ascii="Times New Roman" w:hAnsi="Times New Roman" w:eastAsia="仿宋_GB2312"/>
          <w:sz w:val="32"/>
          <w:szCs w:val="32"/>
        </w:rPr>
      </w:pPr>
      <w:bookmarkStart w:id="12" w:name="_Toc25821"/>
      <w:r>
        <w:rPr>
          <w:rFonts w:ascii="Times New Roman" w:hAnsi="Times New Roman" w:eastAsia="仿宋_GB2312"/>
          <w:sz w:val="32"/>
          <w:szCs w:val="32"/>
        </w:rPr>
        <w:t>1.</w:t>
      </w:r>
      <w:bookmarkStart w:id="13" w:name="_Toc176338537"/>
      <w:r>
        <w:rPr>
          <w:rFonts w:ascii="Times New Roman" w:hAnsi="Times New Roman" w:eastAsia="仿宋_GB2312"/>
          <w:sz w:val="32"/>
          <w:szCs w:val="32"/>
        </w:rPr>
        <w:t>发展基础和现状</w:t>
      </w:r>
      <w:bookmarkEnd w:id="12"/>
      <w:bookmarkEnd w:id="1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在北京市整体部署下，数字化转型相关重点工作布局有效推进，各委办局在用市级垂管系统200多个，区级自建系统80多个，在一网通办（综窗平台）、应急管理（韧性城市运行监测中心）、数字生态（生态</w:t>
      </w:r>
      <w:r>
        <w:rPr>
          <w:rFonts w:hint="eastAsia" w:ascii="Times New Roman" w:hAnsi="Times New Roman" w:eastAsia="仿宋_GB2312"/>
          <w:sz w:val="32"/>
          <w:szCs w:val="32"/>
        </w:rPr>
        <w:t>平台</w:t>
      </w:r>
      <w:r>
        <w:rPr>
          <w:rFonts w:ascii="Times New Roman" w:hAnsi="Times New Roman" w:eastAsia="仿宋_GB2312"/>
          <w:sz w:val="32"/>
          <w:szCs w:val="32"/>
        </w:rPr>
        <w:t>）等领域构建了特色应用，“怀柔韧性城市项目”荣获2023中国国际大数据产业博览会优秀项目奖</w:t>
      </w:r>
      <w:r>
        <w:rPr>
          <w:rFonts w:hint="eastAsia" w:ascii="Times New Roman" w:hAnsi="Times New Roman" w:eastAsia="仿宋_GB2312"/>
          <w:sz w:val="32"/>
          <w:szCs w:val="32"/>
        </w:rPr>
        <w:t>，汤河口镇打造了全国第一个镇乡级全应用场景的生态安全指挥中心</w:t>
      </w:r>
      <w:r>
        <w:rPr>
          <w:rFonts w:ascii="Times New Roman" w:hAnsi="Times New Roman" w:eastAsia="仿宋_GB2312"/>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3" w:firstLineChars="200"/>
        <w:textAlignment w:val="auto"/>
        <w:outlineLvl w:val="9"/>
        <w:rPr>
          <w:rFonts w:ascii="Times New Roman" w:hAnsi="Times New Roman" w:eastAsia="仿宋_GB2312"/>
          <w:b/>
          <w:bCs/>
          <w:sz w:val="32"/>
          <w:szCs w:val="32"/>
        </w:rPr>
      </w:pPr>
      <w:r>
        <w:rPr>
          <w:rFonts w:ascii="Times New Roman" w:hAnsi="Times New Roman" w:eastAsia="仿宋_GB2312"/>
          <w:b/>
          <w:bCs/>
          <w:sz w:val="32"/>
          <w:szCs w:val="32"/>
        </w:rPr>
        <w:t>基础设施</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r>
        <w:rPr>
          <w:rFonts w:ascii="Times New Roman" w:hAnsi="Times New Roman" w:eastAsia="仿宋_GB2312"/>
          <w:b/>
          <w:bCs/>
          <w:sz w:val="32"/>
          <w:szCs w:val="32"/>
        </w:rPr>
        <w:t>在云资源建设方面，基础建设与资源部署日益规范。</w:t>
      </w:r>
      <w:r>
        <w:rPr>
          <w:rFonts w:ascii="Times New Roman" w:hAnsi="Times New Roman" w:eastAsia="仿宋_GB2312"/>
          <w:sz w:val="32"/>
          <w:szCs w:val="32"/>
        </w:rPr>
        <w:t>怀柔区现有自建系统有采用自建机房、租用云资源等方式上云，各相关管理单位对中等规模以上机房的各类</w:t>
      </w:r>
      <w:r>
        <w:rPr>
          <w:rFonts w:ascii="Times New Roman" w:hAnsi="Times New Roman" w:eastAsia="仿宋_GB2312"/>
          <w:bCs/>
          <w:sz w:val="32"/>
          <w:szCs w:val="32"/>
        </w:rPr>
        <w:t>设备都普遍建立较为完备的管理规范。</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r>
        <w:rPr>
          <w:rFonts w:ascii="Times New Roman" w:hAnsi="Times New Roman" w:eastAsia="仿宋_GB2312"/>
          <w:b/>
          <w:bCs/>
          <w:sz w:val="32"/>
          <w:szCs w:val="32"/>
        </w:rPr>
        <w:t>在网络建设方面，基础设施建设持续完善。</w:t>
      </w:r>
      <w:r>
        <w:rPr>
          <w:rFonts w:ascii="Times New Roman" w:hAnsi="Times New Roman" w:eastAsia="仿宋_GB2312"/>
          <w:sz w:val="32"/>
          <w:szCs w:val="32"/>
        </w:rPr>
        <w:t>怀柔</w:t>
      </w:r>
      <w:r>
        <w:rPr>
          <w:rFonts w:ascii="Times New Roman" w:hAnsi="Times New Roman" w:eastAsia="仿宋_GB2312"/>
          <w:bCs/>
          <w:sz w:val="32"/>
          <w:szCs w:val="32"/>
        </w:rPr>
        <w:t>区电子政务外网基本实现横向到边的全覆盖，城域网逐步实现改造升级。</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i/>
          <w:iCs/>
          <w:sz w:val="32"/>
          <w:szCs w:val="32"/>
          <w:highlight w:val="yellow"/>
        </w:rPr>
      </w:pPr>
      <w:r>
        <w:rPr>
          <w:rFonts w:ascii="Times New Roman" w:hAnsi="Times New Roman" w:eastAsia="仿宋_GB2312"/>
          <w:b/>
          <w:bCs/>
          <w:sz w:val="32"/>
          <w:szCs w:val="32"/>
        </w:rPr>
        <w:t>在视频终端建设方面，经过逐步部署已初具规模。</w:t>
      </w:r>
      <w:r>
        <w:rPr>
          <w:rFonts w:ascii="Times New Roman" w:hAnsi="Times New Roman" w:eastAsia="仿宋_GB2312"/>
          <w:bCs/>
          <w:sz w:val="32"/>
          <w:szCs w:val="32"/>
        </w:rPr>
        <w:t>公安、交通、生态环境、水利等领域相关部门皆进行专业感知设施建设和部署，其中视频终端部署较广泛，视频路数业务范围主要集中在天网工程和雪亮工程。</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在数据基础方面，数据存量基础较好。</w:t>
      </w:r>
      <w:r>
        <w:rPr>
          <w:rFonts w:ascii="Times New Roman" w:hAnsi="Times New Roman" w:eastAsia="仿宋_GB2312"/>
          <w:sz w:val="32"/>
          <w:szCs w:val="32"/>
        </w:rPr>
        <w:t>怀柔区内现有82个自建系统，其中已经有69个自建系统有本地数据存储，达到自建系统的84%。怀柔区目前数据基础良好，除了统建、垂管系统，大部分自建系统都有本地数据存储，并进行了相应的数据治理工作。但是尚未构建区级大数据平台及数据资源“一张图”“一本账”基础，区级各系统各自独立，无法实现对数据与各类事项的集中管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3" w:firstLineChars="200"/>
        <w:textAlignment w:val="auto"/>
        <w:outlineLvl w:val="9"/>
        <w:rPr>
          <w:rFonts w:ascii="Times New Roman" w:hAnsi="Times New Roman" w:eastAsia="仿宋_GB2312"/>
          <w:b/>
          <w:bCs/>
          <w:sz w:val="32"/>
          <w:szCs w:val="32"/>
        </w:rPr>
      </w:pPr>
      <w:r>
        <w:rPr>
          <w:rFonts w:ascii="Times New Roman" w:hAnsi="Times New Roman" w:eastAsia="仿宋_GB2312"/>
          <w:b/>
          <w:bCs/>
          <w:sz w:val="32"/>
          <w:szCs w:val="32"/>
        </w:rPr>
        <w:t>数字政府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怀柔区不断推进政务一体化、数字化建设，坚持源头治理，以网格化管理、零差评服务为方向，提升政务服务效率与质量，在社会治理、政务服务等方面取得重大成果和改革发展新成效。</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r>
        <w:rPr>
          <w:rFonts w:ascii="Times New Roman" w:hAnsi="Times New Roman" w:eastAsia="仿宋_GB2312"/>
          <w:b/>
          <w:bCs/>
          <w:sz w:val="32"/>
          <w:szCs w:val="32"/>
        </w:rPr>
        <w:t>在政务运行和公开层面，</w:t>
      </w:r>
      <w:r>
        <w:rPr>
          <w:rFonts w:ascii="Times New Roman" w:hAnsi="Times New Roman" w:eastAsia="仿宋_GB2312"/>
          <w:bCs/>
          <w:sz w:val="32"/>
          <w:szCs w:val="32"/>
        </w:rPr>
        <w:t>全面推进互联网+政务服务，探索政务服务区块链应用，推动事项“移动办理”，推动网办率提升，搭建区级、镇街级、社区村级三级综窗受理平台，个人事项已实现“足不出村”，所有镇街级和社区村级政务服务事项可以全区通办。并且，开设“一窗通办”试点和“一件事”窗口，不断完善电子证照应用服务新模式，为企业与居民提供便捷服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highlight w:val="none"/>
        </w:rPr>
      </w:pPr>
      <w:r>
        <w:rPr>
          <w:rFonts w:ascii="Times New Roman" w:hAnsi="Times New Roman" w:eastAsia="仿宋_GB2312"/>
          <w:bCs/>
          <w:sz w:val="32"/>
          <w:szCs w:val="32"/>
          <w:highlight w:val="none"/>
        </w:rPr>
        <w:t>“一窗通办”试点窗口服务：怀柔区积极落实“前台综合受理，后台分类审批，综合窗口出件”服务模式，自2024年3月开设“一窗通办”试点窗口，真正实现一窗能办所有事。可一窗办理内容包括：市监局、卫健委、园林局、水务局等43家单位的企业变更、食品药品经营许可证、卫生许可证、林木采伐许可证、临时用水指标审批等1900余个事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highlight w:val="none"/>
        </w:rPr>
      </w:pPr>
      <w:r>
        <w:rPr>
          <w:rFonts w:ascii="Times New Roman" w:hAnsi="Times New Roman" w:eastAsia="仿宋_GB2312"/>
          <w:bCs/>
          <w:sz w:val="32"/>
          <w:szCs w:val="32"/>
          <w:highlight w:val="none"/>
        </w:rPr>
        <w:t>“一件事”集成服务：怀柔区推动“高效办成一件事”在各级中心落地，通过组织业务培训和主动服务，共有6</w:t>
      </w:r>
      <w:r>
        <w:rPr>
          <w:rFonts w:hint="eastAsia" w:ascii="Times New Roman" w:hAnsi="Times New Roman" w:eastAsia="仿宋_GB2312"/>
          <w:bCs/>
          <w:sz w:val="32"/>
          <w:szCs w:val="32"/>
          <w:highlight w:val="none"/>
          <w:lang w:val="en-US" w:eastAsia="zh-CN"/>
        </w:rPr>
        <w:t>4</w:t>
      </w:r>
      <w:r>
        <w:rPr>
          <w:rFonts w:ascii="Times New Roman" w:hAnsi="Times New Roman" w:eastAsia="仿宋_GB2312"/>
          <w:bCs/>
          <w:sz w:val="32"/>
          <w:szCs w:val="32"/>
          <w:highlight w:val="none"/>
        </w:rPr>
        <w:t>个“一件事”办事场景在区、镇街两级政务服务中心落地。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同时，完善“好差评”政务服务评价体系，对“好差评”群众参与、差评整改、工作开展等加强督导，正在部署建设“好差评”数据分析系统，实时掌握各项政务服务“好差评”指标情况。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r>
        <w:rPr>
          <w:rFonts w:ascii="Times New Roman" w:hAnsi="Times New Roman" w:eastAsia="仿宋_GB2312"/>
          <w:b/>
          <w:bCs/>
          <w:sz w:val="32"/>
          <w:szCs w:val="32"/>
        </w:rPr>
        <w:t>在社会治理和城市管理层面，</w:t>
      </w:r>
      <w:r>
        <w:rPr>
          <w:rFonts w:ascii="Times New Roman" w:hAnsi="Times New Roman" w:eastAsia="仿宋_GB2312"/>
          <w:bCs/>
          <w:sz w:val="32"/>
          <w:szCs w:val="32"/>
        </w:rPr>
        <w:t>积极推进韧性城市示范区建设，聚焦基础设施工程韧性、城市运行管理韧性、城市应急处置恢复能力、城市社会韧性等方向，统筹开展城市安全隐患治理。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构建韧性城市技术迭代平台和综合运行监测中心，实时对城市运行风险进行识别、管理、监测、预警、处置，实现城市运行全生命周期监测管理。目前一期已完成产业发展、燃气安全、消防、森林防火、污水治理、应急指挥等专项子平台，与气象局、应急局等多个部门实现了初步对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怀柔区领导深入民生问题，十分重视“接诉即办”工作，并取得显著成效，受理大量群众和企业诉求，响应率、解决率、满意率均保持在较高水平。建立了完善的“接诉即办”工作机制，包括首接负责、联动处置、限时办结等制度，确保群众诉求能够得到及时、有效的处理。同时，加强考核激励，对表现突出的单位和个人进行表彰奖励，激发工作积极性和创造力。</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r>
        <w:rPr>
          <w:rFonts w:ascii="Times New Roman" w:hAnsi="Times New Roman" w:eastAsia="仿宋_GB2312"/>
          <w:b/>
          <w:bCs/>
          <w:sz w:val="32"/>
          <w:szCs w:val="32"/>
        </w:rPr>
        <w:t>在经济运行和营商环境层面，</w:t>
      </w:r>
      <w:r>
        <w:rPr>
          <w:rFonts w:ascii="Times New Roman" w:hAnsi="Times New Roman" w:eastAsia="仿宋_GB2312"/>
          <w:sz w:val="32"/>
          <w:szCs w:val="32"/>
        </w:rPr>
        <w:t>怀柔区积极推动经济高质量发展，</w:t>
      </w:r>
      <w:r>
        <w:rPr>
          <w:rFonts w:ascii="Times New Roman" w:hAnsi="Times New Roman" w:eastAsia="仿宋_GB2312"/>
          <w:bCs/>
          <w:sz w:val="32"/>
          <w:szCs w:val="32"/>
        </w:rPr>
        <w:t>印发《2024年怀柔区全面优化营商环境工作要点》，强服务增便利，</w:t>
      </w:r>
      <w:r>
        <w:rPr>
          <w:rFonts w:ascii="Times New Roman" w:hAnsi="Times New Roman" w:eastAsia="仿宋_GB2312"/>
          <w:sz w:val="32"/>
          <w:szCs w:val="32"/>
        </w:rPr>
        <w:t>简化审批流程，提高行政效率，</w:t>
      </w:r>
      <w:r>
        <w:rPr>
          <w:rFonts w:ascii="Times New Roman" w:hAnsi="Times New Roman" w:eastAsia="仿宋_GB2312"/>
          <w:bCs/>
          <w:sz w:val="32"/>
          <w:szCs w:val="32"/>
        </w:rPr>
        <w:t>打造暖心高效的政务服务环境。通过推动“一网通办”政务服务，实现政务数据共享，减少企业办事成本，提高办事效率。2024年，聚焦“一码办事”，组织区、镇两级政务中心窗口工作人员开展专题培训，提高工作人员灵活调取办事人证件信息能力，为企业、群众提供“一码办事”服务，解决办事人“缺证少证”难题。</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3" w:firstLineChars="200"/>
        <w:textAlignment w:val="auto"/>
        <w:outlineLvl w:val="9"/>
        <w:rPr>
          <w:rFonts w:ascii="Times New Roman" w:hAnsi="Times New Roman" w:eastAsia="仿宋_GB2312"/>
          <w:b/>
          <w:bCs/>
          <w:sz w:val="32"/>
          <w:szCs w:val="32"/>
        </w:rPr>
      </w:pPr>
      <w:r>
        <w:rPr>
          <w:rFonts w:ascii="Times New Roman" w:hAnsi="Times New Roman" w:eastAsia="仿宋_GB2312"/>
          <w:b/>
          <w:bCs/>
          <w:sz w:val="32"/>
          <w:szCs w:val="32"/>
        </w:rPr>
        <w:t>数字经济</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r>
        <w:rPr>
          <w:rFonts w:ascii="Times New Roman" w:hAnsi="Times New Roman" w:eastAsia="仿宋_GB2312"/>
          <w:b/>
          <w:sz w:val="32"/>
          <w:szCs w:val="32"/>
        </w:rPr>
        <w:t>怀柔区认真落实北京建设全球数字经济标杆城市的战略部署，聚焦“一城两都”建设，以综合性国家科学中心建设为契机，大力发展数字经济，推动经济高质量发展，探索具有怀柔特色的数字经济发展新路子和新经验</w:t>
      </w:r>
      <w:r>
        <w:rPr>
          <w:rFonts w:ascii="Times New Roman" w:hAnsi="Times New Roman" w:eastAsia="仿宋_GB2312"/>
          <w:bCs/>
          <w:sz w:val="32"/>
          <w:szCs w:val="32"/>
        </w:rPr>
        <w:t>，助力北京数字经济发展。</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r>
        <w:rPr>
          <w:rFonts w:ascii="Times New Roman" w:hAnsi="Times New Roman" w:eastAsia="仿宋_GB2312"/>
          <w:b/>
          <w:bCs/>
          <w:sz w:val="32"/>
          <w:szCs w:val="32"/>
        </w:rPr>
        <w:t>推动怀柔综合性国家科学中心建设，构建“大科学装置+海量科学数据”全新产业生态。</w:t>
      </w:r>
      <w:r>
        <w:rPr>
          <w:rFonts w:ascii="Times New Roman" w:hAnsi="Times New Roman" w:eastAsia="仿宋_GB2312"/>
          <w:bCs/>
          <w:sz w:val="32"/>
          <w:szCs w:val="32"/>
        </w:rPr>
        <w:t>怀柔区作为综合性国家科学中心所在地，正在形成我国基础科学研究的地域性规模效应，围绕物质、空间、生命、地球系统、信息与智能5大科学方向，已布局37个科技设施平台项目，包括6个大装置、17个科教基础设施、14个交叉研究平台，是全国重大科技基础设施密度最强的地区之一。</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r>
        <w:rPr>
          <w:rFonts w:ascii="Times New Roman" w:hAnsi="Times New Roman" w:eastAsia="仿宋_GB2312"/>
          <w:b/>
          <w:bCs/>
          <w:sz w:val="32"/>
          <w:szCs w:val="32"/>
        </w:rPr>
        <w:t>不断完善园区基础设施和公共服务设施建设，聚焦细分产业领域，打造特色园区品牌，增强对产业项目的吸引力，实现产业集聚发展</w:t>
      </w:r>
      <w:r>
        <w:rPr>
          <w:rFonts w:ascii="Times New Roman" w:hAnsi="Times New Roman" w:eastAsia="仿宋_GB2312"/>
          <w:bCs/>
          <w:sz w:val="32"/>
          <w:szCs w:val="32"/>
        </w:rPr>
        <w:t>。</w:t>
      </w:r>
      <w:r>
        <w:rPr>
          <w:rFonts w:ascii="Times New Roman" w:hAnsi="Times New Roman" w:eastAsia="仿宋_GB2312"/>
          <w:b/>
          <w:bCs/>
          <w:sz w:val="32"/>
          <w:szCs w:val="32"/>
        </w:rPr>
        <w:t>一是</w:t>
      </w:r>
      <w:r>
        <w:rPr>
          <w:rFonts w:ascii="Times New Roman" w:hAnsi="Times New Roman" w:eastAsia="仿宋_GB2312"/>
          <w:bCs/>
          <w:sz w:val="32"/>
          <w:szCs w:val="32"/>
        </w:rPr>
        <w:t>擦亮金隅兴发科技园数字经济新名片。园区以科研数据和科技创新为切入点，着力打造“数据要素×”高地，北京雁栖湖应用数学研究院入驻，联合清华大学成立首个技术转移孵化公司清雁科技在怀落地。</w:t>
      </w:r>
      <w:r>
        <w:rPr>
          <w:rFonts w:ascii="Times New Roman" w:hAnsi="Times New Roman" w:eastAsia="仿宋_GB2312"/>
          <w:b/>
          <w:bCs/>
          <w:sz w:val="32"/>
          <w:szCs w:val="32"/>
        </w:rPr>
        <w:t>二是</w:t>
      </w:r>
      <w:r>
        <w:rPr>
          <w:rFonts w:ascii="Times New Roman" w:hAnsi="Times New Roman" w:eastAsia="仿宋_GB2312"/>
          <w:bCs/>
          <w:sz w:val="32"/>
          <w:szCs w:val="32"/>
        </w:rPr>
        <w:t>引入多功能复合的专业孵化器。释放海创、黑马等创新资源量能，以黑马创业辅导加速实验室、科创黑马大赛等多种形态促项目孵化发展。聚焦新能源新材料、生命健康等行业领域，建设有色金属新材料科创园、城市客厅AB地块等园区，形成专业化科技企业孵化器，引入行业专精的市场化孵化机构，聚焦前沿技术创新提供“硬科技”创业项目发现与培育，开展基础技术研发、市场推广等专业化孵化服务。</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3" w:firstLineChars="200"/>
        <w:textAlignment w:val="auto"/>
        <w:outlineLvl w:val="9"/>
        <w:rPr>
          <w:rFonts w:ascii="Times New Roman" w:hAnsi="Times New Roman" w:eastAsia="仿宋_GB2312"/>
          <w:b/>
          <w:bCs/>
          <w:sz w:val="32"/>
          <w:szCs w:val="32"/>
        </w:rPr>
      </w:pPr>
      <w:r>
        <w:rPr>
          <w:rFonts w:ascii="Times New Roman" w:hAnsi="Times New Roman" w:eastAsia="仿宋_GB2312"/>
          <w:b/>
          <w:bCs/>
          <w:sz w:val="32"/>
          <w:szCs w:val="32"/>
        </w:rPr>
        <w:t>数字社会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怀柔区在医疗、教育等方面进行了大量的数字化探索，前期也形成了相应的成果。</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r>
        <w:rPr>
          <w:rFonts w:ascii="Times New Roman" w:hAnsi="Times New Roman" w:eastAsia="仿宋_GB2312"/>
          <w:b/>
          <w:sz w:val="32"/>
          <w:szCs w:val="32"/>
        </w:rPr>
        <w:t>智慧校园建设走在前列。</w:t>
      </w:r>
      <w:r>
        <w:rPr>
          <w:rFonts w:ascii="Times New Roman" w:hAnsi="Times New Roman" w:eastAsia="仿宋_GB2312"/>
          <w:bCs/>
          <w:sz w:val="32"/>
          <w:szCs w:val="32"/>
        </w:rPr>
        <w:t>怀柔区区教委积极探索，以大模型+大数据、智能技术应用为抓手，推动生成式人工智能与教育教学的深度融合，形成文字、音视频等具备怀柔特色的新数据。依托区教育资源公共服务平台、区融合管理平台、教育大数据与考试数据分析平台，探索人工智能赋能教育，推进区教育智慧化发展</w:t>
      </w:r>
      <w:r>
        <w:rPr>
          <w:rFonts w:hint="eastAsia" w:ascii="Times New Roman" w:hAnsi="Times New Roman" w:eastAsia="仿宋_GB2312"/>
          <w:bCs/>
          <w:sz w:val="32"/>
          <w:szCs w:val="32"/>
        </w:rPr>
        <w:t>。</w:t>
      </w:r>
      <w:r>
        <w:rPr>
          <w:rFonts w:ascii="Times New Roman" w:hAnsi="Times New Roman" w:eastAsia="仿宋_GB2312"/>
          <w:bCs/>
          <w:sz w:val="32"/>
          <w:szCs w:val="32"/>
        </w:rPr>
        <w:t>落实“互联网+基础教育”工作，搭建双师课堂、空中课堂，助推区域教育均衡发展</w:t>
      </w:r>
      <w:r>
        <w:rPr>
          <w:rFonts w:hint="eastAsia" w:ascii="Times New Roman" w:hAnsi="Times New Roman" w:eastAsia="仿宋_GB2312"/>
          <w:bCs/>
          <w:sz w:val="32"/>
          <w:szCs w:val="32"/>
        </w:rPr>
        <w:t>。</w:t>
      </w:r>
      <w:r>
        <w:rPr>
          <w:rFonts w:ascii="Times New Roman" w:hAnsi="Times New Roman" w:eastAsia="仿宋_GB2312"/>
          <w:bCs/>
          <w:sz w:val="32"/>
          <w:szCs w:val="32"/>
        </w:rPr>
        <w:t>培养优秀数字化人才队伍，带动区内教师数字化能力稳步提升，同时大力支持各校智慧教育个性化发展，打造了一批优质数字化示范校。</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r>
        <w:rPr>
          <w:rFonts w:ascii="Times New Roman" w:hAnsi="Times New Roman" w:eastAsia="仿宋_GB2312"/>
          <w:b/>
          <w:sz w:val="32"/>
          <w:szCs w:val="32"/>
        </w:rPr>
        <w:t>智慧医疗方面紧跟北京市步伐。</w:t>
      </w:r>
      <w:r>
        <w:rPr>
          <w:rFonts w:ascii="Times New Roman" w:hAnsi="Times New Roman" w:eastAsia="仿宋_GB2312"/>
          <w:bCs/>
          <w:sz w:val="32"/>
          <w:szCs w:val="32"/>
        </w:rPr>
        <w:t>怀柔区卫健委积极落实北京市“三</w:t>
      </w:r>
      <w:r>
        <w:rPr>
          <w:rFonts w:hint="eastAsia" w:ascii="Times New Roman" w:hAnsi="Times New Roman" w:eastAsia="仿宋_GB2312"/>
          <w:bCs/>
          <w:sz w:val="32"/>
          <w:szCs w:val="32"/>
          <w:lang w:val="en-US" w:eastAsia="zh-CN"/>
        </w:rPr>
        <w:t>医</w:t>
      </w:r>
      <w:r>
        <w:rPr>
          <w:rFonts w:ascii="Times New Roman" w:hAnsi="Times New Roman" w:eastAsia="仿宋_GB2312"/>
          <w:bCs/>
          <w:sz w:val="32"/>
          <w:szCs w:val="32"/>
        </w:rPr>
        <w:t>”领域信息化提升行动，推动市级各医院信息全面打通，升级医保支付等信息化服务。积极探索智慧医疗新模式</w:t>
      </w:r>
      <w:r>
        <w:rPr>
          <w:rFonts w:hint="eastAsia" w:ascii="Times New Roman" w:hAnsi="Times New Roman" w:eastAsia="仿宋_GB2312"/>
          <w:bCs/>
          <w:sz w:val="32"/>
          <w:szCs w:val="32"/>
        </w:rPr>
        <w:t>，</w:t>
      </w:r>
      <w:r>
        <w:rPr>
          <w:rFonts w:ascii="Times New Roman" w:hAnsi="Times New Roman" w:eastAsia="仿宋_GB2312"/>
          <w:bCs/>
          <w:sz w:val="32"/>
          <w:szCs w:val="32"/>
        </w:rPr>
        <w:t>雁栖镇智慧医疗健康服务中心通过“互联网+”与现场诊疗相结合的方式，将专家“请进”社区，深度服务怀柔科学城及科研人员，为国际人才社区居民提供更加便捷优质的健康</w:t>
      </w:r>
      <w:r>
        <w:rPr>
          <w:rFonts w:hint="eastAsia" w:ascii="Times New Roman" w:hAnsi="Times New Roman" w:eastAsia="仿宋_GB2312"/>
          <w:bCs/>
          <w:sz w:val="32"/>
          <w:szCs w:val="32"/>
        </w:rPr>
        <w:t>服务</w:t>
      </w:r>
      <w:r>
        <w:rPr>
          <w:rFonts w:ascii="Times New Roman" w:hAnsi="Times New Roman" w:eastAsia="仿宋_GB2312"/>
          <w:bCs/>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3" w:firstLineChars="200"/>
        <w:textAlignment w:val="auto"/>
        <w:outlineLvl w:val="9"/>
        <w:rPr>
          <w:rFonts w:ascii="Times New Roman" w:hAnsi="Times New Roman" w:eastAsia="仿宋_GB2312"/>
          <w:b/>
          <w:bCs/>
          <w:sz w:val="32"/>
          <w:szCs w:val="32"/>
        </w:rPr>
      </w:pPr>
      <w:r>
        <w:rPr>
          <w:rFonts w:ascii="Times New Roman" w:hAnsi="Times New Roman" w:eastAsia="仿宋_GB2312"/>
          <w:b/>
          <w:bCs/>
          <w:sz w:val="32"/>
          <w:szCs w:val="32"/>
        </w:rPr>
        <w:t>数字文化</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r>
        <w:rPr>
          <w:rFonts w:ascii="Times New Roman" w:hAnsi="Times New Roman" w:eastAsia="仿宋_GB2312"/>
          <w:b/>
          <w:sz w:val="32"/>
          <w:szCs w:val="32"/>
        </w:rPr>
        <w:t>公共文化服务持续推进。</w:t>
      </w:r>
      <w:r>
        <w:rPr>
          <w:rFonts w:ascii="Times New Roman" w:hAnsi="Times New Roman" w:eastAsia="仿宋_GB2312"/>
          <w:bCs/>
          <w:sz w:val="32"/>
          <w:szCs w:val="32"/>
        </w:rPr>
        <w:t>怀柔区加快公共文化服务基础设施建设，推进数字图书馆、数字文化馆、数字博物馆三大数字文化工程建设，尤其加强馆藏文物的数字化管理。</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r>
        <w:rPr>
          <w:rFonts w:ascii="Times New Roman" w:hAnsi="Times New Roman" w:eastAsia="仿宋_GB2312"/>
          <w:b/>
          <w:sz w:val="32"/>
          <w:szCs w:val="32"/>
        </w:rPr>
        <w:t>智慧文旅模式不断创新。</w:t>
      </w:r>
      <w:r>
        <w:rPr>
          <w:rFonts w:ascii="Times New Roman" w:hAnsi="Times New Roman" w:eastAsia="仿宋_GB2312"/>
          <w:bCs/>
          <w:sz w:val="32"/>
          <w:szCs w:val="32"/>
        </w:rPr>
        <w:t>怀柔区加强慕田峪、红螺寺、怀北滑雪场、星美影视城等智慧景区建设，提升游客的数字化体验。还开发了“怀柔全域旅游数字地图”微信小程序，集游、吃、住、购、线路等五大元素于一体，实现资源展示、获取及推介等功能。深入推进农文旅产业融合发展，打造集农业观光、农耕体验、休闲度假等功能于一体的全域旅游消费新业态。</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Cs/>
          <w:sz w:val="32"/>
          <w:szCs w:val="32"/>
        </w:rPr>
      </w:pPr>
      <w:r>
        <w:rPr>
          <w:rFonts w:ascii="Times New Roman" w:hAnsi="Times New Roman" w:eastAsia="仿宋_GB2312"/>
          <w:b/>
          <w:sz w:val="32"/>
          <w:szCs w:val="32"/>
        </w:rPr>
        <w:t>影都建设显成效。</w:t>
      </w:r>
      <w:r>
        <w:rPr>
          <w:rFonts w:ascii="Times New Roman" w:hAnsi="Times New Roman" w:eastAsia="仿宋_GB2312"/>
          <w:bCs/>
          <w:sz w:val="32"/>
          <w:szCs w:val="32"/>
        </w:rPr>
        <w:t>成立了怀柔国际影视摄制服务中心政务服务站，提供多项影视相关的事项集成受理，实现影视事项“一窗通办”。怀柔影都在推动影视产业的数字化方面积极探索，运用虚拟数字技术、云计算、大数据、区块链、人工智能、5G协同制作等新技术打造数字化展示和沉浸式体验类新场景，或赋能现有影视拍摄制作技术转型升级。怀柔区还出台了多项支持措施，包括资金支持、人才保障、技术改造资金支持等，以推动影视全产业链企业、直播电子商务产业的发展</w:t>
      </w:r>
      <w:r>
        <w:rPr>
          <w:rFonts w:hint="eastAsia" w:ascii="Times New Roman" w:hAnsi="Times New Roman" w:eastAsia="仿宋_GB2312"/>
          <w:bCs/>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r>
        <w:rPr>
          <w:rFonts w:ascii="Times New Roman" w:hAnsi="Times New Roman" w:eastAsia="仿宋_GB2312"/>
          <w:b/>
          <w:sz w:val="32"/>
          <w:szCs w:val="32"/>
        </w:rPr>
        <w:t>雁栖湖会议中心正逐步进行数字化管理。</w:t>
      </w:r>
      <w:r>
        <w:rPr>
          <w:rFonts w:ascii="Times New Roman" w:hAnsi="Times New Roman" w:eastAsia="仿宋_GB2312"/>
          <w:bCs/>
          <w:sz w:val="32"/>
          <w:szCs w:val="32"/>
        </w:rPr>
        <w:t>怀柔区正在积极推进会议中心的基础设施建设，包括周围轨道交通的数字化完善和对外联系干线公路通道的强化，以更全面地应对大型会议。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3" w:firstLineChars="200"/>
        <w:textAlignment w:val="auto"/>
        <w:outlineLvl w:val="9"/>
        <w:rPr>
          <w:rFonts w:ascii="Times New Roman" w:hAnsi="Times New Roman" w:eastAsia="仿宋_GB2312"/>
          <w:b/>
          <w:bCs/>
          <w:sz w:val="32"/>
          <w:szCs w:val="32"/>
        </w:rPr>
      </w:pPr>
      <w:r>
        <w:rPr>
          <w:rFonts w:ascii="Times New Roman" w:hAnsi="Times New Roman" w:eastAsia="仿宋_GB2312"/>
          <w:b/>
          <w:bCs/>
          <w:sz w:val="32"/>
          <w:szCs w:val="32"/>
        </w:rPr>
        <w:t>数字生态文明</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r>
        <w:rPr>
          <w:rFonts w:hint="eastAsia" w:ascii="Times New Roman" w:hAnsi="Times New Roman" w:eastAsia="仿宋_GB2312"/>
          <w:b/>
          <w:sz w:val="32"/>
          <w:szCs w:val="32"/>
        </w:rPr>
        <w:t>初步形成多层次多领域的</w:t>
      </w:r>
      <w:r>
        <w:rPr>
          <w:rFonts w:ascii="Times New Roman" w:hAnsi="Times New Roman" w:eastAsia="仿宋_GB2312"/>
          <w:b/>
          <w:sz w:val="32"/>
          <w:szCs w:val="32"/>
        </w:rPr>
        <w:t>监管</w:t>
      </w:r>
      <w:r>
        <w:rPr>
          <w:rFonts w:hint="eastAsia" w:ascii="Times New Roman" w:hAnsi="Times New Roman" w:eastAsia="仿宋_GB2312"/>
          <w:b/>
          <w:sz w:val="32"/>
          <w:szCs w:val="32"/>
        </w:rPr>
        <w:t>体系</w:t>
      </w:r>
      <w:r>
        <w:rPr>
          <w:rFonts w:ascii="Times New Roman" w:hAnsi="Times New Roman" w:eastAsia="仿宋_GB2312"/>
          <w:b/>
          <w:sz w:val="32"/>
          <w:szCs w:val="32"/>
        </w:rPr>
        <w:t>。</w:t>
      </w:r>
      <w:r>
        <w:rPr>
          <w:rFonts w:ascii="Times New Roman" w:hAnsi="Times New Roman" w:eastAsia="仿宋_GB2312"/>
          <w:bCs/>
          <w:sz w:val="32"/>
          <w:szCs w:val="32"/>
        </w:rPr>
        <w:t>生态环境局、水务局、规自分局等部门内部拥有怀柔区环境监测综合业务管理平台、怀柔区水环境智慧监管平台、智慧水务、村级供水站远程传输、自备井、防汛抗旱指挥系统、河道流量监测系统、排水污水系统等多个专项系统</w:t>
      </w:r>
      <w:r>
        <w:rPr>
          <w:rFonts w:hint="eastAsia" w:ascii="Times New Roman" w:hAnsi="Times New Roman" w:eastAsia="仿宋_GB2312"/>
          <w:bCs/>
          <w:sz w:val="32"/>
          <w:szCs w:val="32"/>
        </w:rPr>
        <w:t>。强化生态环境的全面监测和管理</w:t>
      </w:r>
      <w:r>
        <w:rPr>
          <w:rFonts w:ascii="Times New Roman" w:hAnsi="Times New Roman" w:eastAsia="仿宋_GB2312"/>
          <w:bCs/>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r>
        <w:rPr>
          <w:rFonts w:hint="eastAsia" w:ascii="Times New Roman" w:hAnsi="Times New Roman" w:eastAsia="仿宋_GB2312"/>
          <w:b/>
          <w:sz w:val="32"/>
          <w:szCs w:val="32"/>
        </w:rPr>
        <w:t>乡镇基层积极探索全方位数字化环境治理应用</w:t>
      </w:r>
      <w:r>
        <w:rPr>
          <w:rFonts w:hint="eastAsia" w:ascii="Times New Roman" w:hAnsi="Times New Roman" w:eastAsia="仿宋_GB2312"/>
          <w:bCs/>
          <w:sz w:val="32"/>
          <w:szCs w:val="32"/>
        </w:rPr>
        <w:t>，例如</w:t>
      </w:r>
      <w:r>
        <w:rPr>
          <w:rFonts w:hint="eastAsia" w:ascii="Times New Roman" w:hAnsi="Times New Roman" w:eastAsia="仿宋_GB2312"/>
          <w:sz w:val="32"/>
          <w:szCs w:val="32"/>
        </w:rPr>
        <w:t>汤河口镇与相关企业深入合作，综合农业、林业、水利等方面的需求，打造了全国第一个镇乡级全应用场景的生态安全指挥中心。</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643" w:firstLineChars="200"/>
        <w:textAlignment w:val="auto"/>
        <w:outlineLvl w:val="9"/>
        <w:rPr>
          <w:rFonts w:ascii="Times New Roman" w:hAnsi="Times New Roman" w:eastAsia="仿宋_GB2312"/>
          <w:b/>
          <w:bCs/>
          <w:sz w:val="32"/>
          <w:szCs w:val="32"/>
        </w:rPr>
      </w:pPr>
      <w:r>
        <w:rPr>
          <w:rFonts w:ascii="Times New Roman" w:hAnsi="Times New Roman" w:eastAsia="仿宋_GB2312"/>
          <w:b/>
          <w:bCs/>
          <w:sz w:val="32"/>
          <w:szCs w:val="32"/>
        </w:rPr>
        <w:t>保障体系</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
          <w:bCs/>
          <w:sz w:val="32"/>
          <w:szCs w:val="32"/>
        </w:rPr>
      </w:pPr>
      <w:r>
        <w:rPr>
          <w:rFonts w:ascii="Times New Roman" w:hAnsi="Times New Roman" w:eastAsia="仿宋_GB2312"/>
          <w:b/>
          <w:bCs/>
          <w:sz w:val="32"/>
          <w:szCs w:val="32"/>
        </w:rPr>
        <w:t>部门整合：</w:t>
      </w:r>
      <w:r>
        <w:rPr>
          <w:rFonts w:ascii="Times New Roman" w:hAnsi="Times New Roman" w:eastAsia="仿宋_GB2312"/>
          <w:bCs/>
          <w:sz w:val="32"/>
          <w:szCs w:val="32"/>
        </w:rPr>
        <w:t>设立</w:t>
      </w:r>
      <w:r>
        <w:fldChar w:fldCharType="begin"/>
      </w:r>
      <w:r>
        <w:instrText xml:space="preserve"> HYPERLINK "https://www.so.com/link?m=bfYRPYutgkIBvWP1MKDYGXCoEwSACek2xofgAiSmhGamEC/U4VhJT0bF5hC11AklcBitovMeY0AJ3B4lDwzdmyVNfPdOr0yI0Xsj1c5px+OV61gnSehhPUWJBfK/TMc1utI/9IuvZ/nPJ/ew4qOXrzNQtk4bD7Heno3FvZ7e2XLqsnBalO1KkPya4SW0MM93I5zD+nG4e3FoWV5+P50SbWvBcxOCItuRneagDtNOPO8pVbBXMGluLe7r6bnewfZKdcjbHwjgTGB8nOK9G/6AZ0Q==" \t "https://www.so.com/_blank" </w:instrText>
      </w:r>
      <w:r>
        <w:fldChar w:fldCharType="separate"/>
      </w:r>
      <w:r>
        <w:rPr>
          <w:rFonts w:ascii="Times New Roman" w:hAnsi="Times New Roman" w:eastAsia="仿宋_GB2312"/>
          <w:bCs/>
          <w:sz w:val="32"/>
          <w:szCs w:val="32"/>
        </w:rPr>
        <w:t>怀柔区政务服务和数据管理局</w:t>
      </w:r>
      <w:r>
        <w:rPr>
          <w:rFonts w:ascii="Times New Roman" w:hAnsi="Times New Roman" w:eastAsia="仿宋_GB2312"/>
          <w:bCs/>
          <w:sz w:val="32"/>
          <w:szCs w:val="32"/>
        </w:rPr>
        <w:fldChar w:fldCharType="end"/>
      </w:r>
      <w:r>
        <w:rPr>
          <w:rFonts w:ascii="Times New Roman" w:hAnsi="Times New Roman" w:eastAsia="仿宋_GB2312"/>
          <w:bCs/>
          <w:sz w:val="32"/>
          <w:szCs w:val="32"/>
        </w:rPr>
        <w:t>，统筹</w:t>
      </w:r>
      <w:r>
        <w:rPr>
          <w:rFonts w:hint="eastAsia" w:ascii="Times New Roman" w:hAnsi="Times New Roman" w:eastAsia="仿宋_GB2312"/>
          <w:bCs/>
          <w:sz w:val="32"/>
          <w:szCs w:val="32"/>
        </w:rPr>
        <w:t>全区的</w:t>
      </w:r>
      <w:r>
        <w:rPr>
          <w:rFonts w:ascii="Times New Roman" w:hAnsi="Times New Roman" w:eastAsia="仿宋_GB2312"/>
          <w:bCs/>
          <w:sz w:val="32"/>
          <w:szCs w:val="32"/>
        </w:rPr>
        <w:t>政务服务管理</w:t>
      </w:r>
      <w:r>
        <w:rPr>
          <w:rFonts w:hint="eastAsia" w:ascii="Times New Roman" w:hAnsi="Times New Roman" w:eastAsia="仿宋_GB2312"/>
          <w:bCs/>
          <w:sz w:val="32"/>
          <w:szCs w:val="32"/>
        </w:rPr>
        <w:t>和数字化转型工作</w:t>
      </w:r>
      <w:r>
        <w:rPr>
          <w:rFonts w:ascii="Times New Roman" w:hAnsi="Times New Roman" w:eastAsia="仿宋_GB2312"/>
          <w:bCs/>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rPr>
      </w:pPr>
      <w:r>
        <w:rPr>
          <w:rFonts w:hint="eastAsia" w:ascii="Times New Roman" w:hAnsi="Times New Roman" w:eastAsia="仿宋_GB2312"/>
          <w:b/>
          <w:sz w:val="32"/>
          <w:szCs w:val="32"/>
        </w:rPr>
        <w:t>机制建设</w:t>
      </w:r>
      <w:r>
        <w:rPr>
          <w:rFonts w:ascii="Times New Roman" w:hAnsi="Times New Roman" w:eastAsia="仿宋_GB2312"/>
          <w:bCs/>
          <w:sz w:val="32"/>
          <w:szCs w:val="32"/>
        </w:rPr>
        <w:t>：</w:t>
      </w:r>
      <w:r>
        <w:rPr>
          <w:rFonts w:hint="eastAsia" w:ascii="Times New Roman" w:hAnsi="Times New Roman" w:eastAsia="仿宋_GB2312"/>
          <w:bCs/>
          <w:sz w:val="32"/>
          <w:szCs w:val="32"/>
        </w:rPr>
        <w:t>加快推进全区统筹的信息化项目布局、信息化项目管理、首席数据官、</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rPr>
        <w:t>一网通办</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rPr>
        <w:t>评价等机制建设</w:t>
      </w:r>
      <w:r>
        <w:rPr>
          <w:rFonts w:ascii="Times New Roman" w:hAnsi="Times New Roman" w:eastAsia="仿宋_GB2312"/>
          <w:bCs/>
          <w:sz w:val="32"/>
          <w:szCs w:val="32"/>
        </w:rPr>
        <w:t>。</w:t>
      </w:r>
    </w:p>
    <w:p>
      <w:pPr>
        <w:pStyle w:val="4"/>
        <w:pageBreakBefore w:val="0"/>
        <w:widowControl w:val="0"/>
        <w:numPr>
          <w:ilvl w:val="0"/>
          <w:numId w:val="0"/>
        </w:numPr>
        <w:tabs>
          <w:tab w:val="clear" w:pos="0"/>
          <w:tab w:val="clear" w:pos="2978"/>
        </w:tabs>
        <w:kinsoku/>
        <w:wordWrap/>
        <w:overflowPunct/>
        <w:topLinePunct w:val="0"/>
        <w:autoSpaceDE/>
        <w:autoSpaceDN/>
        <w:bidi w:val="0"/>
        <w:adjustRightInd/>
        <w:snapToGrid/>
        <w:spacing w:before="0" w:beforeLines="0" w:after="0" w:afterLines="0" w:line="560" w:lineRule="exact"/>
        <w:ind w:firstLine="643" w:firstLineChars="200"/>
        <w:textAlignment w:val="auto"/>
        <w:rPr>
          <w:rFonts w:ascii="Times New Roman" w:hAnsi="Times New Roman" w:eastAsia="仿宋_GB2312"/>
          <w:sz w:val="32"/>
          <w:szCs w:val="32"/>
        </w:rPr>
      </w:pPr>
      <w:bookmarkStart w:id="14" w:name="_Toc20302"/>
      <w:r>
        <w:rPr>
          <w:rFonts w:ascii="Times New Roman" w:hAnsi="Times New Roman" w:eastAsia="仿宋_GB2312"/>
          <w:sz w:val="32"/>
          <w:szCs w:val="32"/>
        </w:rPr>
        <w:t>2.主要问题和挑战</w:t>
      </w:r>
      <w:bookmarkEnd w:id="14"/>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3" w:firstLineChars="200"/>
        <w:textAlignment w:val="auto"/>
        <w:outlineLvl w:val="9"/>
        <w:rPr>
          <w:rFonts w:ascii="Times New Roman" w:hAnsi="Times New Roman" w:eastAsia="仿宋_GB2312"/>
          <w:b/>
          <w:bCs/>
          <w:sz w:val="32"/>
          <w:szCs w:val="32"/>
        </w:rPr>
      </w:pPr>
      <w:r>
        <w:rPr>
          <w:rFonts w:ascii="Times New Roman" w:hAnsi="Times New Roman" w:eastAsia="仿宋_GB2312"/>
          <w:b/>
          <w:bCs/>
          <w:sz w:val="32"/>
          <w:szCs w:val="32"/>
        </w:rPr>
        <w:t>基础设施保障能力有待提升</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云建设方面，</w:t>
      </w:r>
      <w:r>
        <w:rPr>
          <w:rFonts w:ascii="Times New Roman" w:hAnsi="Times New Roman" w:eastAsia="仿宋_GB2312"/>
          <w:sz w:val="32"/>
          <w:szCs w:val="32"/>
        </w:rPr>
        <w:t>目前怀柔区并未建设统一的政务云，各单位等的资源管理主要通过自建机房存储、购买的第三方云服务等方式管理，相互独立，无法统一维护和管理，形成信息孤岛。</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sz w:val="32"/>
          <w:szCs w:val="32"/>
        </w:rPr>
        <w:t>电子政务</w:t>
      </w:r>
      <w:r>
        <w:rPr>
          <w:rFonts w:ascii="Times New Roman" w:hAnsi="Times New Roman" w:eastAsia="仿宋_GB2312"/>
          <w:b/>
          <w:sz w:val="32"/>
          <w:szCs w:val="32"/>
        </w:rPr>
        <w:t>网络建设方面，</w:t>
      </w:r>
      <w:r>
        <w:rPr>
          <w:rFonts w:hint="eastAsia" w:ascii="Times New Roman" w:hAnsi="Times New Roman" w:eastAsia="仿宋_GB2312"/>
          <w:bCs/>
          <w:sz w:val="32"/>
          <w:szCs w:val="32"/>
        </w:rPr>
        <w:t>IPv6支持度参差不齐，现网运行的网络设备和安全设备还有部分不支持新一代的IPv6协议和技术，成为推进IPv6规模部署和应用的最大障碍。国外设备的安全问题，可能存在后门或安全漏洞，使用它们会面临信息泄露和网络攻击的风险</w:t>
      </w:r>
      <w:r>
        <w:rPr>
          <w:rFonts w:ascii="Times New Roman" w:hAnsi="Times New Roman" w:eastAsia="仿宋_GB2312"/>
          <w:sz w:val="32"/>
          <w:szCs w:val="32"/>
        </w:rPr>
        <w:t>。</w:t>
      </w:r>
      <w:r>
        <w:rPr>
          <w:rFonts w:hint="eastAsia" w:ascii="Times New Roman" w:hAnsi="Times New Roman" w:eastAsia="仿宋_GB2312"/>
          <w:sz w:val="32"/>
          <w:szCs w:val="32"/>
        </w:rPr>
        <w:t>部分网络设备的老化问题，</w:t>
      </w:r>
      <w:r>
        <w:rPr>
          <w:rFonts w:ascii="仿宋_GB2312" w:hAnsi="Tahoma" w:eastAsia="仿宋_GB2312" w:cs="Tahoma"/>
          <w:color w:val="000000"/>
          <w:kern w:val="0"/>
          <w:sz w:val="32"/>
          <w:szCs w:val="32"/>
        </w:rPr>
        <w:t>面对高负载易出现性能瓶颈，导致网络缓慢、延迟，降低用户体验</w:t>
      </w:r>
      <w:r>
        <w:rPr>
          <w:rFonts w:hint="eastAsia" w:ascii="仿宋_GB2312" w:hAnsi="Tahoma" w:eastAsia="仿宋_GB2312" w:cs="Tahoma"/>
          <w:color w:val="000000"/>
          <w:kern w:val="0"/>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sz w:val="32"/>
          <w:szCs w:val="32"/>
        </w:rPr>
        <w:t>感知资源</w:t>
      </w:r>
      <w:r>
        <w:rPr>
          <w:rFonts w:ascii="Times New Roman" w:hAnsi="Times New Roman" w:eastAsia="仿宋_GB2312"/>
          <w:b/>
          <w:sz w:val="32"/>
          <w:szCs w:val="32"/>
        </w:rPr>
        <w:t>方面，</w:t>
      </w:r>
      <w:r>
        <w:rPr>
          <w:rFonts w:hint="eastAsia" w:ascii="Times New Roman" w:hAnsi="Times New Roman" w:eastAsia="仿宋_GB2312"/>
          <w:bCs/>
          <w:sz w:val="32"/>
          <w:szCs w:val="32"/>
        </w:rPr>
        <w:t>缺乏全区层面的统筹规划、建设和应用机制，</w:t>
      </w:r>
      <w:r>
        <w:rPr>
          <w:rFonts w:ascii="Times New Roman" w:hAnsi="Times New Roman" w:eastAsia="仿宋_GB2312"/>
          <w:sz w:val="32"/>
          <w:szCs w:val="32"/>
        </w:rPr>
        <w:t>物联感知建设内容待丰富，对交通、环境、地下管网等物联感知资源覆盖不足，</w:t>
      </w:r>
      <w:r>
        <w:rPr>
          <w:rFonts w:hint="eastAsia" w:ascii="Times New Roman" w:hAnsi="Times New Roman" w:eastAsia="仿宋_GB2312"/>
          <w:sz w:val="32"/>
          <w:szCs w:val="32"/>
        </w:rPr>
        <w:t>智能化的</w:t>
      </w:r>
      <w:r>
        <w:rPr>
          <w:rFonts w:ascii="Times New Roman" w:hAnsi="Times New Roman" w:eastAsia="仿宋_GB2312"/>
          <w:sz w:val="32"/>
          <w:szCs w:val="32"/>
        </w:rPr>
        <w:t>感知能力待加强。</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3" w:firstLineChars="200"/>
        <w:textAlignment w:val="auto"/>
        <w:outlineLvl w:val="9"/>
        <w:rPr>
          <w:rFonts w:ascii="Times New Roman" w:hAnsi="Times New Roman" w:eastAsia="仿宋_GB2312"/>
          <w:b/>
          <w:bCs/>
          <w:sz w:val="32"/>
          <w:szCs w:val="32"/>
        </w:rPr>
      </w:pPr>
      <w:r>
        <w:rPr>
          <w:rFonts w:ascii="Times New Roman" w:hAnsi="Times New Roman" w:eastAsia="仿宋_GB2312"/>
          <w:b/>
          <w:bCs/>
          <w:sz w:val="32"/>
          <w:szCs w:val="32"/>
        </w:rPr>
        <w:t>数据中枢支撑能力有待加强</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数据汇聚治理能力不强，数据归集存在壁垒</w:t>
      </w:r>
      <w:r>
        <w:rPr>
          <w:rFonts w:ascii="Times New Roman" w:hAnsi="Times New Roman" w:eastAsia="仿宋_GB2312"/>
          <w:sz w:val="32"/>
          <w:szCs w:val="32"/>
        </w:rPr>
        <w:t>。怀柔区部门现有系统大多按业务条线进行建设，较少考虑跨业务的数据互通，各部门、各平台间数据库的管理和运行标准不统一，部分数据关键信息缺失。</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数据资源目录收集不全</w:t>
      </w:r>
      <w:r>
        <w:rPr>
          <w:rFonts w:hint="eastAsia" w:ascii="Times New Roman" w:hAnsi="Times New Roman" w:eastAsia="仿宋_GB2312"/>
          <w:b/>
          <w:sz w:val="32"/>
          <w:szCs w:val="32"/>
        </w:rPr>
        <w:t>，</w:t>
      </w:r>
      <w:r>
        <w:rPr>
          <w:rFonts w:ascii="Times New Roman" w:hAnsi="Times New Roman" w:eastAsia="仿宋_GB2312"/>
          <w:sz w:val="32"/>
          <w:szCs w:val="32"/>
        </w:rPr>
        <w:t>未建设数据资源目录管理系统，无法实现对全区的元数据管理。</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数据挖掘深度不够，</w:t>
      </w:r>
      <w:r>
        <w:rPr>
          <w:rFonts w:ascii="Times New Roman" w:hAnsi="Times New Roman" w:eastAsia="仿宋_GB2312"/>
          <w:sz w:val="32"/>
          <w:szCs w:val="32"/>
        </w:rPr>
        <w:t>目前怀柔区利用已开放共享的数据进行处理分析后可实现基本的查询、展示功能，如12345政务热线系统归集到的工单处理数据可实现驾驶舱看板展现功能，但对全区数据资源的分析挖掘还不够深入，未能面向业务需求专项赋能一网通办、一网统管、安全生产、产业发展等领域。</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数据主体较为单一，</w:t>
      </w:r>
      <w:r>
        <w:rPr>
          <w:rFonts w:ascii="Times New Roman" w:hAnsi="Times New Roman" w:eastAsia="仿宋_GB2312"/>
          <w:sz w:val="32"/>
          <w:szCs w:val="32"/>
        </w:rPr>
        <w:t>目前怀柔区的数据资源主要是以政务数据为主的公共数据，许多社会组织、企业、数据生产商掌握的高价值数据资源并未有效的开放共享，导致怀柔区范围内数据协同共治的内驱力不足。</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基础共性支撑能力不够</w:t>
      </w:r>
      <w:r>
        <w:rPr>
          <w:rFonts w:ascii="Times New Roman" w:hAnsi="Times New Roman" w:eastAsia="仿宋_GB2312"/>
          <w:sz w:val="32"/>
          <w:szCs w:val="32"/>
        </w:rPr>
        <w:t>。北京市大数据平台已经构建统一用户、统一文档管理等通用模块组件，怀柔区在具体办事时可以调用相关组件，但目前已建的通用共性支撑能力还无法全面满足怀柔区个性化数字化办理业务的需求，各单位部门都存在一些文件手工录入、人工数据分析等极度耗费人力、时间的情况，导致业务办理系统的敏捷响应度低。</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3" w:firstLineChars="200"/>
        <w:textAlignment w:val="auto"/>
        <w:outlineLvl w:val="9"/>
        <w:rPr>
          <w:rFonts w:ascii="Times New Roman" w:hAnsi="Times New Roman" w:eastAsia="仿宋_GB2312"/>
          <w:b/>
          <w:bCs/>
          <w:sz w:val="32"/>
          <w:szCs w:val="32"/>
        </w:rPr>
      </w:pPr>
      <w:r>
        <w:rPr>
          <w:rFonts w:hint="eastAsia" w:ascii="Times New Roman" w:hAnsi="Times New Roman" w:eastAsia="仿宋_GB2312"/>
          <w:b/>
          <w:bCs/>
          <w:sz w:val="32"/>
          <w:szCs w:val="32"/>
        </w:rPr>
        <w:t>各领域的数字化应用效能有待提升，区特色应用较为缺乏</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color w:val="000000"/>
          <w:sz w:val="32"/>
          <w:szCs w:val="32"/>
        </w:rPr>
        <w:t>政务服务数字化水平</w:t>
      </w:r>
      <w:r>
        <w:rPr>
          <w:rFonts w:hint="eastAsia" w:ascii="Times New Roman" w:hAnsi="Times New Roman" w:eastAsia="仿宋_GB2312"/>
          <w:b/>
          <w:color w:val="000000"/>
          <w:sz w:val="32"/>
          <w:szCs w:val="32"/>
        </w:rPr>
        <w:t>有待提升</w:t>
      </w:r>
      <w:r>
        <w:rPr>
          <w:rFonts w:ascii="Times New Roman" w:hAnsi="Times New Roman" w:eastAsia="仿宋_GB2312"/>
          <w:b/>
          <w:color w:val="000000"/>
          <w:sz w:val="32"/>
          <w:szCs w:val="32"/>
        </w:rPr>
        <w:t>。</w:t>
      </w:r>
      <w:r>
        <w:rPr>
          <w:rFonts w:hint="eastAsia" w:ascii="Times New Roman" w:hAnsi="Times New Roman" w:eastAsia="仿宋_GB2312"/>
          <w:bCs/>
          <w:color w:val="000000"/>
          <w:sz w:val="32"/>
          <w:szCs w:val="32"/>
        </w:rPr>
        <w:t>已</w:t>
      </w:r>
      <w:r>
        <w:rPr>
          <w:rFonts w:ascii="Times New Roman" w:hAnsi="Times New Roman" w:eastAsia="仿宋_GB2312"/>
          <w:sz w:val="32"/>
          <w:szCs w:val="32"/>
        </w:rPr>
        <w:t>建三级综窗受理平台，在实际操作中</w:t>
      </w:r>
      <w:r>
        <w:rPr>
          <w:rFonts w:hint="eastAsia" w:ascii="Times New Roman" w:hAnsi="Times New Roman" w:eastAsia="仿宋_GB2312"/>
          <w:sz w:val="32"/>
          <w:szCs w:val="32"/>
        </w:rPr>
        <w:t>存在</w:t>
      </w:r>
      <w:r>
        <w:rPr>
          <w:rFonts w:ascii="Times New Roman" w:hAnsi="Times New Roman" w:eastAsia="仿宋_GB2312"/>
          <w:sz w:val="32"/>
          <w:szCs w:val="32"/>
        </w:rPr>
        <w:t>不同部门之间的信息系统壁垒，导致数据共享不够顺畅，影响政务服务事项的在线办理效率和准确性，综窗初核后仍需将纸质材料送至各部门进行人工核验，未能充分发挥数字化优势。</w:t>
      </w:r>
      <w:r>
        <w:rPr>
          <w:rFonts w:ascii="Times New Roman" w:hAnsi="Times New Roman" w:eastAsia="仿宋_GB2312"/>
          <w:bCs/>
          <w:sz w:val="32"/>
          <w:szCs w:val="32"/>
        </w:rPr>
        <w:t>服务事项监管不充分</w:t>
      </w:r>
      <w:r>
        <w:rPr>
          <w:rFonts w:hint="eastAsia" w:ascii="Times New Roman" w:hAnsi="Times New Roman" w:eastAsia="仿宋_GB2312"/>
          <w:bCs/>
          <w:sz w:val="32"/>
          <w:szCs w:val="32"/>
        </w:rPr>
        <w:t>，</w:t>
      </w:r>
      <w:r>
        <w:rPr>
          <w:rFonts w:ascii="Times New Roman" w:hAnsi="Times New Roman" w:eastAsia="仿宋_GB2312"/>
          <w:sz w:val="32"/>
          <w:szCs w:val="32"/>
        </w:rPr>
        <w:t>综窗系统对于事项的记录停留在分发之前，全流程溯源机制尚不完善，服务事项在办理过程中缺乏完整的记录和跟踪。</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olor w:val="000000"/>
          <w:sz w:val="32"/>
          <w:szCs w:val="32"/>
        </w:rPr>
      </w:pPr>
      <w:r>
        <w:rPr>
          <w:rFonts w:ascii="Times New Roman" w:hAnsi="Times New Roman" w:eastAsia="仿宋_GB2312"/>
          <w:b/>
          <w:color w:val="000000"/>
          <w:sz w:val="32"/>
          <w:szCs w:val="32"/>
        </w:rPr>
        <w:t>协同办公体系待统一</w:t>
      </w:r>
      <w:r>
        <w:rPr>
          <w:rFonts w:hint="eastAsia" w:ascii="Times New Roman" w:hAnsi="Times New Roman" w:eastAsia="仿宋_GB2312"/>
          <w:b/>
          <w:color w:val="000000"/>
          <w:sz w:val="32"/>
          <w:szCs w:val="32"/>
        </w:rPr>
        <w:t>，</w:t>
      </w:r>
      <w:r>
        <w:rPr>
          <w:rFonts w:ascii="Times New Roman" w:hAnsi="Times New Roman" w:eastAsia="仿宋_GB2312"/>
          <w:color w:val="000000"/>
          <w:sz w:val="32"/>
          <w:szCs w:val="32"/>
        </w:rPr>
        <w:t>目前怀柔区跨部门业务协同不够充分高效，存在信息重复填报、多次填报的问题，未能完全有效实现相关业务应用互联互通，尚未形成一体化协同办公体系。</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lang w:bidi="zh-CN"/>
        </w:rPr>
      </w:pPr>
      <w:r>
        <w:rPr>
          <w:rFonts w:hint="eastAsia" w:ascii="Times New Roman" w:hAnsi="Times New Roman" w:eastAsia="仿宋_GB2312"/>
          <w:b/>
          <w:sz w:val="32"/>
          <w:szCs w:val="32"/>
        </w:rPr>
        <w:t>怀柔特色的</w:t>
      </w:r>
      <w:r>
        <w:rPr>
          <w:rFonts w:ascii="Times New Roman" w:hAnsi="Times New Roman" w:eastAsia="仿宋_GB2312"/>
          <w:b/>
          <w:sz w:val="32"/>
          <w:szCs w:val="32"/>
        </w:rPr>
        <w:t>数字经济</w:t>
      </w:r>
      <w:r>
        <w:rPr>
          <w:rFonts w:hint="eastAsia" w:ascii="Times New Roman" w:hAnsi="Times New Roman" w:eastAsia="仿宋_GB2312"/>
          <w:b/>
          <w:sz w:val="32"/>
          <w:szCs w:val="32"/>
        </w:rPr>
        <w:t>发展格局有待完善，整体发展支撑环境有待于提升。</w:t>
      </w:r>
      <w:r>
        <w:rPr>
          <w:rFonts w:hint="eastAsia" w:ascii="Times New Roman" w:hAnsi="Times New Roman" w:eastAsia="仿宋_GB2312"/>
          <w:bCs/>
          <w:sz w:val="32"/>
          <w:szCs w:val="32"/>
        </w:rPr>
        <w:t>怀柔地区的数字经济规模和GDP占比，在北京市的总体排位还比较低，需要进一步做大做强传感器和仪器仪表、影视文化等优势特色产业，同时需要依托怀柔在影视、会展、生态等领域的基础，积极培育相关的数据要素价值化新业态。在发展环境方面，大数据平台、算力资源、企业服务平台、产业园区等层面的支撑有待进一步完善</w:t>
      </w:r>
      <w:r>
        <w:rPr>
          <w:rFonts w:ascii="Times New Roman" w:hAnsi="Times New Roman" w:eastAsia="仿宋_GB2312"/>
          <w:sz w:val="32"/>
          <w:szCs w:val="32"/>
          <w:lang w:bidi="zh-CN"/>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sz w:val="32"/>
          <w:szCs w:val="32"/>
        </w:rPr>
        <w:t>普惠智能的</w:t>
      </w:r>
      <w:r>
        <w:rPr>
          <w:rFonts w:ascii="Times New Roman" w:hAnsi="Times New Roman" w:eastAsia="仿宋_GB2312"/>
          <w:b/>
          <w:sz w:val="32"/>
          <w:szCs w:val="32"/>
        </w:rPr>
        <w:t>数字</w:t>
      </w:r>
      <w:r>
        <w:rPr>
          <w:rFonts w:hint="eastAsia" w:ascii="Times New Roman" w:hAnsi="Times New Roman" w:eastAsia="仿宋_GB2312"/>
          <w:b/>
          <w:sz w:val="32"/>
          <w:szCs w:val="32"/>
        </w:rPr>
        <w:t>化</w:t>
      </w:r>
      <w:r>
        <w:rPr>
          <w:rFonts w:ascii="Times New Roman" w:hAnsi="Times New Roman" w:eastAsia="仿宋_GB2312"/>
          <w:b/>
          <w:sz w:val="32"/>
          <w:szCs w:val="32"/>
        </w:rPr>
        <w:t>生活服务</w:t>
      </w:r>
      <w:r>
        <w:rPr>
          <w:rFonts w:hint="eastAsia" w:ascii="Times New Roman" w:hAnsi="Times New Roman" w:eastAsia="仿宋_GB2312"/>
          <w:b/>
          <w:sz w:val="32"/>
          <w:szCs w:val="32"/>
        </w:rPr>
        <w:t>体系有待于完善。</w:t>
      </w:r>
      <w:r>
        <w:rPr>
          <w:rFonts w:hint="eastAsia" w:ascii="Times New Roman" w:hAnsi="Times New Roman" w:eastAsia="仿宋_GB2312"/>
          <w:bCs/>
          <w:sz w:val="32"/>
          <w:szCs w:val="32"/>
        </w:rPr>
        <w:t>在</w:t>
      </w:r>
      <w:r>
        <w:rPr>
          <w:rFonts w:ascii="Times New Roman" w:hAnsi="Times New Roman" w:eastAsia="仿宋_GB2312"/>
          <w:bCs/>
          <w:sz w:val="32"/>
          <w:szCs w:val="32"/>
        </w:rPr>
        <w:t>智慧医疗方面，</w:t>
      </w:r>
      <w:r>
        <w:rPr>
          <w:rFonts w:hint="eastAsia" w:ascii="Times New Roman" w:hAnsi="Times New Roman" w:eastAsia="仿宋_GB2312"/>
          <w:bCs/>
          <w:sz w:val="32"/>
          <w:szCs w:val="32"/>
        </w:rPr>
        <w:t>需要通过数字化管理有效应对</w:t>
      </w:r>
      <w:r>
        <w:rPr>
          <w:rFonts w:ascii="Times New Roman" w:hAnsi="Times New Roman" w:eastAsia="仿宋_GB2312"/>
          <w:sz w:val="32"/>
          <w:szCs w:val="32"/>
        </w:rPr>
        <w:t>医疗资源分布不均、优质医疗资源短缺</w:t>
      </w:r>
      <w:r>
        <w:rPr>
          <w:rFonts w:hint="eastAsia" w:ascii="Times New Roman" w:hAnsi="Times New Roman" w:eastAsia="仿宋_GB2312"/>
          <w:sz w:val="32"/>
          <w:szCs w:val="32"/>
        </w:rPr>
        <w:t>等</w:t>
      </w:r>
      <w:r>
        <w:rPr>
          <w:rFonts w:ascii="Times New Roman" w:hAnsi="Times New Roman" w:eastAsia="仿宋_GB2312"/>
          <w:sz w:val="32"/>
          <w:szCs w:val="32"/>
        </w:rPr>
        <w:t>问题，医疗监管</w:t>
      </w:r>
      <w:r>
        <w:rPr>
          <w:rFonts w:hint="eastAsia" w:ascii="Times New Roman" w:hAnsi="Times New Roman" w:eastAsia="仿宋_GB2312"/>
          <w:sz w:val="32"/>
          <w:szCs w:val="32"/>
        </w:rPr>
        <w:t>也</w:t>
      </w:r>
      <w:r>
        <w:rPr>
          <w:rFonts w:ascii="Times New Roman" w:hAnsi="Times New Roman" w:eastAsia="仿宋_GB2312"/>
          <w:sz w:val="32"/>
          <w:szCs w:val="32"/>
        </w:rPr>
        <w:t>缺乏</w:t>
      </w:r>
      <w:r>
        <w:rPr>
          <w:rFonts w:hint="eastAsia" w:ascii="Times New Roman" w:hAnsi="Times New Roman" w:eastAsia="仿宋_GB2312"/>
          <w:sz w:val="32"/>
          <w:szCs w:val="32"/>
        </w:rPr>
        <w:t>全面高效的</w:t>
      </w:r>
      <w:r>
        <w:rPr>
          <w:rFonts w:ascii="Times New Roman" w:hAnsi="Times New Roman" w:eastAsia="仿宋_GB2312"/>
          <w:sz w:val="32"/>
          <w:szCs w:val="32"/>
        </w:rPr>
        <w:t>数据抓手，医疗数据不能实现互联互通。</w:t>
      </w:r>
      <w:r>
        <w:rPr>
          <w:rFonts w:ascii="Times New Roman" w:hAnsi="Times New Roman" w:eastAsia="仿宋_GB2312"/>
          <w:bCs/>
          <w:sz w:val="32"/>
          <w:szCs w:val="32"/>
        </w:rPr>
        <w:t>智慧教育方面，经</w:t>
      </w:r>
      <w:r>
        <w:rPr>
          <w:rFonts w:ascii="Times New Roman" w:hAnsi="Times New Roman" w:eastAsia="仿宋_GB2312"/>
          <w:sz w:val="32"/>
          <w:szCs w:val="32"/>
        </w:rPr>
        <w:t>过近几年的教育信息化建设，使用不同技术方案和架构模式构建，搭建了一系列不同功能的智慧教育平台，缺乏统筹考虑建设，导致了各平台数据不互通、用户体系难以互认以及数据孤岛</w:t>
      </w:r>
      <w:r>
        <w:rPr>
          <w:rFonts w:hint="eastAsia" w:ascii="Times New Roman" w:hAnsi="Times New Roman" w:eastAsia="仿宋_GB2312"/>
          <w:sz w:val="32"/>
          <w:szCs w:val="32"/>
        </w:rPr>
        <w:t>问题</w:t>
      </w:r>
      <w:r>
        <w:rPr>
          <w:rFonts w:ascii="Times New Roman" w:hAnsi="Times New Roman" w:eastAsia="仿宋_GB2312"/>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数字文化本土特色</w:t>
      </w:r>
      <w:r>
        <w:rPr>
          <w:rFonts w:hint="eastAsia" w:ascii="Times New Roman" w:hAnsi="Times New Roman" w:eastAsia="仿宋_GB2312"/>
          <w:b/>
          <w:sz w:val="32"/>
          <w:szCs w:val="32"/>
        </w:rPr>
        <w:t>建设</w:t>
      </w:r>
      <w:r>
        <w:rPr>
          <w:rFonts w:ascii="Times New Roman" w:hAnsi="Times New Roman" w:eastAsia="仿宋_GB2312"/>
          <w:b/>
          <w:sz w:val="32"/>
          <w:szCs w:val="32"/>
        </w:rPr>
        <w:t>有待提升</w:t>
      </w:r>
      <w:r>
        <w:rPr>
          <w:rFonts w:hint="eastAsia" w:ascii="Times New Roman" w:hAnsi="Times New Roman" w:eastAsia="仿宋_GB2312"/>
          <w:b/>
          <w:sz w:val="32"/>
          <w:szCs w:val="32"/>
        </w:rPr>
        <w:t>。</w:t>
      </w:r>
      <w:r>
        <w:rPr>
          <w:rFonts w:ascii="Times New Roman" w:hAnsi="Times New Roman" w:eastAsia="仿宋_GB2312"/>
          <w:bCs/>
          <w:sz w:val="32"/>
          <w:szCs w:val="32"/>
        </w:rPr>
        <w:t>公共文化服务资源不足</w:t>
      </w:r>
      <w:r>
        <w:rPr>
          <w:rFonts w:hint="eastAsia" w:ascii="Times New Roman" w:hAnsi="Times New Roman" w:eastAsia="仿宋_GB2312"/>
          <w:bCs/>
          <w:sz w:val="32"/>
          <w:szCs w:val="32"/>
        </w:rPr>
        <w:t>，</w:t>
      </w:r>
      <w:r>
        <w:rPr>
          <w:rFonts w:ascii="Times New Roman" w:hAnsi="Times New Roman" w:eastAsia="仿宋_GB2312"/>
          <w:bCs/>
          <w:sz w:val="32"/>
          <w:szCs w:val="32"/>
        </w:rPr>
        <w:t>图书馆、文化馆、博物馆地方特</w:t>
      </w:r>
      <w:r>
        <w:rPr>
          <w:rFonts w:ascii="Times New Roman" w:hAnsi="Times New Roman" w:eastAsia="仿宋_GB2312"/>
          <w:sz w:val="32"/>
          <w:szCs w:val="32"/>
        </w:rPr>
        <w:t>色数字资源</w:t>
      </w:r>
      <w:r>
        <w:rPr>
          <w:rFonts w:hint="eastAsia" w:ascii="Times New Roman" w:hAnsi="Times New Roman" w:eastAsia="仿宋_GB2312"/>
          <w:sz w:val="32"/>
          <w:szCs w:val="32"/>
        </w:rPr>
        <w:t>还比较</w:t>
      </w:r>
      <w:r>
        <w:rPr>
          <w:rFonts w:ascii="Times New Roman" w:hAnsi="Times New Roman" w:eastAsia="仿宋_GB2312"/>
          <w:sz w:val="32"/>
          <w:szCs w:val="32"/>
        </w:rPr>
        <w:t>单薄，</w:t>
      </w:r>
      <w:r>
        <w:rPr>
          <w:rFonts w:hint="eastAsia" w:ascii="Times New Roman" w:hAnsi="Times New Roman" w:eastAsia="仿宋_GB2312"/>
          <w:sz w:val="32"/>
          <w:szCs w:val="32"/>
        </w:rPr>
        <w:t>需要通过数字化技术加大</w:t>
      </w:r>
      <w:r>
        <w:rPr>
          <w:rFonts w:ascii="Times New Roman" w:hAnsi="Times New Roman" w:eastAsia="仿宋_GB2312"/>
          <w:sz w:val="32"/>
          <w:szCs w:val="32"/>
        </w:rPr>
        <w:t>公共文化资源</w:t>
      </w:r>
      <w:r>
        <w:rPr>
          <w:rFonts w:hint="eastAsia" w:ascii="Times New Roman" w:hAnsi="Times New Roman" w:eastAsia="仿宋_GB2312"/>
          <w:sz w:val="32"/>
          <w:szCs w:val="32"/>
        </w:rPr>
        <w:t>的</w:t>
      </w:r>
      <w:r>
        <w:rPr>
          <w:rFonts w:ascii="Times New Roman" w:hAnsi="Times New Roman" w:eastAsia="仿宋_GB2312"/>
          <w:sz w:val="32"/>
          <w:szCs w:val="32"/>
        </w:rPr>
        <w:t>整合力度。</w:t>
      </w:r>
      <w:r>
        <w:rPr>
          <w:rFonts w:hint="eastAsia" w:ascii="Times New Roman" w:hAnsi="Times New Roman" w:eastAsia="仿宋_GB2312"/>
          <w:sz w:val="32"/>
          <w:szCs w:val="32"/>
        </w:rPr>
        <w:t>文化</w:t>
      </w:r>
      <w:r>
        <w:rPr>
          <w:rFonts w:ascii="Times New Roman" w:hAnsi="Times New Roman" w:eastAsia="仿宋_GB2312"/>
          <w:sz w:val="32"/>
          <w:szCs w:val="32"/>
        </w:rPr>
        <w:t>、影视与旅游产业</w:t>
      </w:r>
      <w:r>
        <w:rPr>
          <w:rFonts w:hint="eastAsia" w:ascii="Times New Roman" w:hAnsi="Times New Roman" w:eastAsia="仿宋_GB2312"/>
          <w:sz w:val="32"/>
          <w:szCs w:val="32"/>
        </w:rPr>
        <w:t>的</w:t>
      </w:r>
      <w:r>
        <w:rPr>
          <w:rFonts w:ascii="Times New Roman" w:hAnsi="Times New Roman" w:eastAsia="仿宋_GB2312"/>
          <w:sz w:val="32"/>
          <w:szCs w:val="32"/>
        </w:rPr>
        <w:t>融合程度较低，</w:t>
      </w:r>
      <w:r>
        <w:rPr>
          <w:rFonts w:hint="eastAsia" w:ascii="Times New Roman" w:hAnsi="Times New Roman" w:eastAsia="仿宋_GB2312"/>
          <w:sz w:val="32"/>
          <w:szCs w:val="32"/>
        </w:rPr>
        <w:t>需要进一步加强数字化在这个领域的价值</w:t>
      </w:r>
      <w:r>
        <w:rPr>
          <w:rFonts w:ascii="Times New Roman" w:hAnsi="Times New Roman" w:eastAsia="仿宋_GB2312"/>
          <w:sz w:val="32"/>
          <w:szCs w:val="32"/>
        </w:rPr>
        <w:t>。</w:t>
      </w:r>
      <w:r>
        <w:rPr>
          <w:rFonts w:ascii="Times New Roman" w:hAnsi="Times New Roman" w:eastAsia="仿宋_GB2312"/>
          <w:b/>
          <w:sz w:val="32"/>
          <w:szCs w:val="32"/>
        </w:rPr>
        <w:t>影都</w:t>
      </w:r>
      <w:r>
        <w:rPr>
          <w:rFonts w:hint="eastAsia" w:ascii="Times New Roman" w:hAnsi="Times New Roman" w:eastAsia="仿宋_GB2312"/>
          <w:b/>
          <w:sz w:val="32"/>
          <w:szCs w:val="32"/>
        </w:rPr>
        <w:t>在结合数字技术的</w:t>
      </w:r>
      <w:r>
        <w:rPr>
          <w:rFonts w:ascii="Times New Roman" w:hAnsi="Times New Roman" w:eastAsia="仿宋_GB2312"/>
          <w:b/>
          <w:sz w:val="32"/>
          <w:szCs w:val="32"/>
        </w:rPr>
        <w:t>创新</w:t>
      </w:r>
      <w:r>
        <w:rPr>
          <w:rFonts w:hint="eastAsia" w:ascii="Times New Roman" w:hAnsi="Times New Roman" w:eastAsia="仿宋_GB2312"/>
          <w:b/>
          <w:sz w:val="32"/>
          <w:szCs w:val="32"/>
        </w:rPr>
        <w:t>方面</w:t>
      </w:r>
      <w:r>
        <w:rPr>
          <w:rFonts w:ascii="Times New Roman" w:hAnsi="Times New Roman" w:eastAsia="仿宋_GB2312"/>
          <w:b/>
          <w:sz w:val="32"/>
          <w:szCs w:val="32"/>
        </w:rPr>
        <w:t>有待加强</w:t>
      </w:r>
      <w:r>
        <w:rPr>
          <w:rFonts w:ascii="Times New Roman" w:hAnsi="Times New Roman" w:eastAsia="仿宋_GB2312"/>
          <w:sz w:val="32"/>
          <w:szCs w:val="32"/>
        </w:rPr>
        <w:t>，缺乏自主创新能力和核心专利</w:t>
      </w:r>
      <w:r>
        <w:rPr>
          <w:rFonts w:hint="eastAsia" w:ascii="Times New Roman" w:hAnsi="Times New Roman" w:eastAsia="仿宋_GB2312"/>
          <w:sz w:val="32"/>
          <w:szCs w:val="32"/>
        </w:rPr>
        <w:t>，</w:t>
      </w:r>
      <w:r>
        <w:rPr>
          <w:rFonts w:ascii="Times New Roman" w:hAnsi="Times New Roman" w:eastAsia="仿宋_GB2312"/>
          <w:sz w:val="32"/>
          <w:szCs w:val="32"/>
        </w:rPr>
        <w:t>多数影视企业在虚拟数字化内容开发上还没有形成自己的优势和特色，</w:t>
      </w:r>
      <w:r>
        <w:rPr>
          <w:rFonts w:hint="eastAsia" w:ascii="Times New Roman" w:hAnsi="Times New Roman" w:eastAsia="仿宋_GB2312"/>
          <w:sz w:val="32"/>
          <w:szCs w:val="32"/>
        </w:rPr>
        <w:t>主要</w:t>
      </w:r>
      <w:r>
        <w:rPr>
          <w:rFonts w:ascii="Times New Roman" w:hAnsi="Times New Roman" w:eastAsia="仿宋_GB2312"/>
          <w:sz w:val="32"/>
          <w:szCs w:val="32"/>
        </w:rPr>
        <w:t>是简单地将传统影视内容进行数字化转换或增加一些虚拟元素，缺乏原创力和吸引力。</w:t>
      </w:r>
      <w:r>
        <w:rPr>
          <w:rFonts w:ascii="Times New Roman" w:hAnsi="Times New Roman" w:eastAsia="仿宋_GB2312"/>
          <w:b/>
          <w:sz w:val="32"/>
          <w:szCs w:val="32"/>
        </w:rPr>
        <w:t>雁栖湖会议中心缺乏数字化管理</w:t>
      </w:r>
      <w:r>
        <w:rPr>
          <w:rFonts w:hint="eastAsia" w:ascii="Times New Roman" w:hAnsi="Times New Roman" w:eastAsia="仿宋_GB2312"/>
          <w:bCs/>
          <w:sz w:val="32"/>
          <w:szCs w:val="32"/>
        </w:rPr>
        <w:t>，</w:t>
      </w:r>
      <w:r>
        <w:rPr>
          <w:rFonts w:ascii="Times New Roman" w:hAnsi="Times New Roman" w:eastAsia="仿宋_GB2312"/>
          <w:sz w:val="32"/>
          <w:szCs w:val="32"/>
        </w:rPr>
        <w:t>雁栖湖管委会虽然需要管辖21平方公里内的基础设施、绿化、服务保障等，但目前管委会对于人流、车流等缺乏准确数据统计，交通运行数据智能凭借经验推测，大多业务统计、业务流转效率较低</w:t>
      </w:r>
      <w:r>
        <w:rPr>
          <w:rFonts w:hint="eastAsia" w:ascii="Times New Roman" w:hAnsi="Times New Roman" w:eastAsia="仿宋_GB2312"/>
          <w:sz w:val="32"/>
          <w:szCs w:val="32"/>
        </w:rPr>
        <w:t>，</w:t>
      </w:r>
      <w:r>
        <w:rPr>
          <w:rFonts w:ascii="Times New Roman" w:hAnsi="Times New Roman" w:eastAsia="仿宋_GB2312"/>
          <w:sz w:val="32"/>
          <w:szCs w:val="32"/>
        </w:rPr>
        <w:t>在会展场景建设方面，还需要进一步探索线上办会办展模式，提高数字化会展的便捷性和效率。</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数字生态</w:t>
      </w:r>
      <w:r>
        <w:rPr>
          <w:rFonts w:hint="eastAsia" w:ascii="Times New Roman" w:hAnsi="Times New Roman" w:eastAsia="仿宋_GB2312"/>
          <w:b/>
          <w:sz w:val="32"/>
          <w:szCs w:val="32"/>
        </w:rPr>
        <w:t>的合力</w:t>
      </w:r>
      <w:r>
        <w:rPr>
          <w:rFonts w:ascii="Times New Roman" w:hAnsi="Times New Roman" w:eastAsia="仿宋_GB2312"/>
          <w:b/>
          <w:sz w:val="32"/>
          <w:szCs w:val="32"/>
        </w:rPr>
        <w:t>共治</w:t>
      </w:r>
      <w:r>
        <w:rPr>
          <w:rFonts w:hint="eastAsia" w:ascii="Times New Roman" w:hAnsi="Times New Roman" w:eastAsia="仿宋_GB2312"/>
          <w:b/>
          <w:sz w:val="32"/>
          <w:szCs w:val="32"/>
        </w:rPr>
        <w:t>格局尚未形成。</w:t>
      </w:r>
      <w:r>
        <w:rPr>
          <w:rFonts w:ascii="Times New Roman" w:hAnsi="Times New Roman" w:eastAsia="仿宋_GB2312"/>
          <w:sz w:val="32"/>
          <w:szCs w:val="32"/>
        </w:rPr>
        <w:t>生态环境、园林、气象、农业农村、住建等多个部门</w:t>
      </w:r>
      <w:r>
        <w:rPr>
          <w:rFonts w:hint="eastAsia" w:ascii="Times New Roman" w:hAnsi="Times New Roman" w:eastAsia="仿宋_GB2312"/>
          <w:sz w:val="32"/>
          <w:szCs w:val="32"/>
        </w:rPr>
        <w:t>，以及部分乡镇，</w:t>
      </w:r>
      <w:r>
        <w:rPr>
          <w:rFonts w:ascii="Times New Roman" w:hAnsi="Times New Roman" w:eastAsia="仿宋_GB2312"/>
          <w:sz w:val="32"/>
          <w:szCs w:val="32"/>
        </w:rPr>
        <w:t>虽然都参与了生态建设系统或平台的构建，但彼此之间的信息共享机制不健全，导致数据流通不畅，使得各部门在生态建设上各自为政，难以形成合力。</w:t>
      </w:r>
      <w:r>
        <w:rPr>
          <w:rFonts w:ascii="Times New Roman" w:hAnsi="Times New Roman" w:eastAsia="仿宋_GB2312"/>
          <w:bCs/>
          <w:sz w:val="32"/>
          <w:szCs w:val="32"/>
        </w:rPr>
        <w:t>终端设备重复</w:t>
      </w:r>
      <w:r>
        <w:rPr>
          <w:rFonts w:hint="eastAsia" w:ascii="Times New Roman" w:hAnsi="Times New Roman" w:eastAsia="仿宋_GB2312"/>
          <w:bCs/>
          <w:sz w:val="32"/>
          <w:szCs w:val="32"/>
        </w:rPr>
        <w:t>建设情况较多，</w:t>
      </w:r>
      <w:r>
        <w:rPr>
          <w:rFonts w:ascii="Times New Roman" w:hAnsi="Times New Roman" w:eastAsia="仿宋_GB2312"/>
          <w:sz w:val="32"/>
          <w:szCs w:val="32"/>
        </w:rPr>
        <w:t>因缺乏互联互通，各部门在生态建设过程中会出现</w:t>
      </w:r>
      <w:r>
        <w:rPr>
          <w:rFonts w:ascii="Times New Roman" w:hAnsi="Times New Roman" w:eastAsia="仿宋_GB2312"/>
          <w:bCs/>
          <w:sz w:val="32"/>
          <w:szCs w:val="32"/>
        </w:rPr>
        <w:t>重复铺设相似终端设备</w:t>
      </w:r>
      <w:r>
        <w:rPr>
          <w:rFonts w:ascii="Times New Roman" w:hAnsi="Times New Roman" w:eastAsia="仿宋_GB2312"/>
          <w:sz w:val="32"/>
          <w:szCs w:val="32"/>
        </w:rPr>
        <w:t>的情况，如监测设备、数据采集设备等，直接造成资源浪费。</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3" w:firstLineChars="200"/>
        <w:textAlignment w:val="auto"/>
        <w:outlineLvl w:val="9"/>
        <w:rPr>
          <w:rFonts w:ascii="Times New Roman" w:hAnsi="Times New Roman" w:eastAsia="仿宋_GB2312"/>
          <w:b/>
          <w:bCs/>
          <w:sz w:val="32"/>
          <w:szCs w:val="32"/>
        </w:rPr>
      </w:pPr>
      <w:r>
        <w:rPr>
          <w:rFonts w:hint="eastAsia" w:ascii="Times New Roman" w:hAnsi="Times New Roman" w:eastAsia="仿宋_GB2312"/>
          <w:b/>
          <w:bCs/>
          <w:sz w:val="32"/>
          <w:szCs w:val="32"/>
        </w:rPr>
        <w:t>管理和安全</w:t>
      </w:r>
      <w:r>
        <w:rPr>
          <w:rFonts w:ascii="Times New Roman" w:hAnsi="Times New Roman" w:eastAsia="仿宋_GB2312"/>
          <w:b/>
          <w:bCs/>
          <w:sz w:val="32"/>
          <w:szCs w:val="32"/>
        </w:rPr>
        <w:t>保障体系有待完善</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sz w:val="32"/>
          <w:szCs w:val="32"/>
        </w:rPr>
        <w:t>管理</w:t>
      </w:r>
      <w:r>
        <w:rPr>
          <w:rFonts w:ascii="Times New Roman" w:hAnsi="Times New Roman" w:eastAsia="仿宋_GB2312"/>
          <w:b/>
          <w:sz w:val="32"/>
          <w:szCs w:val="32"/>
        </w:rPr>
        <w:t>机制</w:t>
      </w:r>
      <w:r>
        <w:rPr>
          <w:rFonts w:hint="eastAsia" w:ascii="Times New Roman" w:hAnsi="Times New Roman" w:eastAsia="仿宋_GB2312"/>
          <w:b/>
          <w:sz w:val="32"/>
          <w:szCs w:val="32"/>
        </w:rPr>
        <w:t>和资源保障机制有待于完善</w:t>
      </w:r>
      <w:r>
        <w:rPr>
          <w:rFonts w:ascii="Times New Roman" w:hAnsi="Times New Roman" w:eastAsia="仿宋_GB2312"/>
          <w:b/>
          <w:sz w:val="32"/>
          <w:szCs w:val="32"/>
        </w:rPr>
        <w:t>。</w:t>
      </w:r>
      <w:r>
        <w:rPr>
          <w:rFonts w:hint="eastAsia" w:ascii="Times New Roman" w:hAnsi="Times New Roman" w:eastAsia="仿宋_GB2312"/>
          <w:bCs/>
          <w:sz w:val="32"/>
          <w:szCs w:val="32"/>
        </w:rPr>
        <w:t>需要进一步完善全区一体化的数字化转型统筹协调机制，重点解决跨部门、跨行业、跨领域的数字业务协同、需求统筹、信息共享及沟通协调等问题，指导督促各地各部门落实各项建设工作任务。需要进一步细化全区各部门各层级的信息化项目立项、建设、评价等统筹管理机制，需要从全生命周期管理角度加快建设信息化项目管理系统，为高效能的项目管理提供支撑。需要完善数字化领域的财政资金统筹管理机制，丰富多部门、多主题的建设资金供给，同时通过多元化投资运营模式的创新，开拓资金来源。需要进一步提升数字化人才保障力度</w:t>
      </w:r>
      <w:r>
        <w:rPr>
          <w:rFonts w:ascii="Times New Roman" w:hAnsi="Times New Roman" w:eastAsia="仿宋_GB2312"/>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安全保障体系还有待于进一步完善</w:t>
      </w:r>
      <w:r>
        <w:rPr>
          <w:rFonts w:hint="eastAsia" w:ascii="Times New Roman" w:hAnsi="Times New Roman" w:eastAsia="仿宋_GB2312"/>
          <w:sz w:val="32"/>
          <w:szCs w:val="32"/>
        </w:rPr>
        <w:t>。针对网络安全、数据安全、信创安全等重点，需要从全区一体化的管理体系、风险应对机制、技术支撑手段等层面，进行全方位的完善和提升。</w:t>
      </w:r>
    </w:p>
    <w:p>
      <w:pPr>
        <w:pStyle w:val="3"/>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b w:val="0"/>
          <w:bCs w:val="0"/>
          <w:sz w:val="32"/>
          <w:szCs w:val="32"/>
        </w:rPr>
      </w:pPr>
      <w:bookmarkStart w:id="15" w:name="_Toc10875"/>
      <w:r>
        <w:rPr>
          <w:rFonts w:hint="eastAsia" w:ascii="楷体_GB2312" w:hAnsi="楷体_GB2312" w:eastAsia="楷体_GB2312" w:cs="楷体_GB2312"/>
          <w:b w:val="0"/>
          <w:bCs w:val="0"/>
          <w:sz w:val="32"/>
          <w:szCs w:val="32"/>
        </w:rPr>
        <w:t>整体规划布局和重点建设内容</w:t>
      </w:r>
      <w:bookmarkEnd w:id="15"/>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综合各层面发展政策导向分析、先进城市对比分析、怀柔自身发展基础和问题分析等，本次规划的整体规划布局如下图所示：</w:t>
      </w:r>
    </w:p>
    <w:p>
      <w:pPr>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drawing>
          <wp:inline distT="0" distB="0" distL="0" distR="0">
            <wp:extent cx="5273675" cy="1438275"/>
            <wp:effectExtent l="0" t="0" r="0" b="0"/>
            <wp:docPr id="1" name="图片 16" descr="1747203089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17472030897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3675" cy="1438275"/>
                    </a:xfrm>
                    <a:prstGeom prst="rect">
                      <a:avLst/>
                    </a:prstGeom>
                    <a:noFill/>
                    <a:ln>
                      <a:noFill/>
                    </a:ln>
                  </pic:spPr>
                </pic:pic>
              </a:graphicData>
            </a:graphic>
          </wp:inline>
        </w:drawing>
      </w:r>
    </w:p>
    <w:p>
      <w:pPr>
        <w:pStyle w:val="3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8"/>
          <w:szCs w:val="28"/>
        </w:rPr>
      </w:pPr>
      <w:r>
        <w:rPr>
          <w:rFonts w:hint="eastAsia" w:ascii="Times New Roman" w:hAnsi="Times New Roman" w:eastAsia="仿宋_GB2312"/>
          <w:sz w:val="28"/>
          <w:szCs w:val="28"/>
        </w:rPr>
        <w:t>整体规划布局示意图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color w:val="000000"/>
          <w:sz w:val="32"/>
          <w:szCs w:val="32"/>
        </w:rPr>
      </w:pPr>
      <w:r>
        <w:rPr>
          <w:rFonts w:ascii="Times New Roman" w:hAnsi="Times New Roman" w:eastAsia="仿宋_GB2312"/>
          <w:bCs/>
          <w:color w:val="000000"/>
          <w:sz w:val="32"/>
          <w:szCs w:val="32"/>
        </w:rPr>
        <w:t>整体规划布局</w:t>
      </w:r>
      <w:r>
        <w:rPr>
          <w:rFonts w:hint="eastAsia" w:ascii="Times New Roman" w:hAnsi="Times New Roman" w:eastAsia="仿宋_GB2312"/>
          <w:bCs/>
          <w:color w:val="000000"/>
          <w:sz w:val="32"/>
          <w:szCs w:val="32"/>
        </w:rPr>
        <w:t>采用</w:t>
      </w:r>
      <w:r>
        <w:rPr>
          <w:rFonts w:ascii="Times New Roman" w:hAnsi="Times New Roman" w:eastAsia="仿宋_GB2312"/>
          <w:bCs/>
          <w:color w:val="000000"/>
          <w:sz w:val="32"/>
          <w:szCs w:val="32"/>
        </w:rPr>
        <w:t>“553”规划体系</w:t>
      </w:r>
      <w:r>
        <w:rPr>
          <w:rFonts w:hint="eastAsia" w:ascii="Times New Roman" w:hAnsi="Times New Roman" w:eastAsia="仿宋_GB2312"/>
          <w:bCs/>
          <w:color w:val="000000"/>
          <w:sz w:val="32"/>
          <w:szCs w:val="32"/>
        </w:rPr>
        <w:t>，即：</w:t>
      </w:r>
      <w:r>
        <w:rPr>
          <w:rFonts w:ascii="Times New Roman" w:hAnsi="Times New Roman" w:eastAsia="仿宋_GB2312"/>
          <w:bCs/>
          <w:color w:val="000000"/>
          <w:sz w:val="32"/>
          <w:szCs w:val="32"/>
        </w:rPr>
        <w:t>覆盖5大领域，聚焦5个“一”重点，做好3大保障</w:t>
      </w:r>
      <w:r>
        <w:rPr>
          <w:rFonts w:hint="eastAsia" w:ascii="Times New Roman" w:hAnsi="Times New Roman" w:eastAsia="仿宋_GB2312"/>
          <w:bCs/>
          <w:color w:val="000000"/>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Cs/>
          <w:color w:val="000000"/>
          <w:sz w:val="32"/>
          <w:szCs w:val="32"/>
        </w:rPr>
      </w:pPr>
      <w:r>
        <w:rPr>
          <w:rFonts w:hint="eastAsia" w:ascii="Times New Roman" w:hAnsi="Times New Roman" w:eastAsia="仿宋_GB2312"/>
          <w:b/>
          <w:color w:val="000000"/>
          <w:sz w:val="32"/>
          <w:szCs w:val="32"/>
        </w:rPr>
        <w:t>5大领域：</w:t>
      </w:r>
      <w:r>
        <w:rPr>
          <w:rFonts w:ascii="Times New Roman" w:hAnsi="Times New Roman" w:eastAsia="仿宋_GB2312"/>
          <w:bCs/>
          <w:color w:val="000000"/>
          <w:sz w:val="32"/>
          <w:szCs w:val="32"/>
        </w:rPr>
        <w:t>推进数字技术</w:t>
      </w:r>
      <w:r>
        <w:rPr>
          <w:rFonts w:hint="eastAsia" w:ascii="Times New Roman" w:hAnsi="Times New Roman" w:eastAsia="仿宋_GB2312"/>
          <w:bCs/>
          <w:color w:val="000000"/>
          <w:sz w:val="32"/>
          <w:szCs w:val="32"/>
        </w:rPr>
        <w:t>与怀柔地区</w:t>
      </w:r>
      <w:r>
        <w:rPr>
          <w:rFonts w:ascii="Times New Roman" w:hAnsi="Times New Roman" w:eastAsia="仿宋_GB2312"/>
          <w:bCs/>
          <w:color w:val="000000"/>
          <w:sz w:val="32"/>
          <w:szCs w:val="32"/>
        </w:rPr>
        <w:t>经济、政治、文化、社会、生态文明建设</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五位一体</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深度融合</w:t>
      </w:r>
      <w:r>
        <w:rPr>
          <w:rFonts w:hint="eastAsia" w:ascii="Times New Roman" w:hAnsi="Times New Roman" w:eastAsia="仿宋_GB2312"/>
          <w:bCs/>
          <w:color w:val="000000"/>
          <w:sz w:val="32"/>
          <w:szCs w:val="32"/>
        </w:rPr>
        <w:t>，通过提升数字政府效能，更好激发数字经济的发展活力，引领和推动数字社会、数字文化、数字生态文明的发展。</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Cs/>
          <w:color w:val="000000"/>
          <w:sz w:val="32"/>
          <w:szCs w:val="32"/>
        </w:rPr>
      </w:pPr>
      <w:r>
        <w:rPr>
          <w:rFonts w:ascii="Times New Roman" w:hAnsi="Times New Roman" w:eastAsia="仿宋_GB2312"/>
          <w:b/>
          <w:color w:val="000000"/>
          <w:sz w:val="32"/>
          <w:szCs w:val="32"/>
        </w:rPr>
        <w:t>5个“一”重点</w:t>
      </w:r>
      <w:r>
        <w:rPr>
          <w:rFonts w:hint="eastAsia" w:ascii="Times New Roman" w:hAnsi="Times New Roman" w:eastAsia="仿宋_GB2312"/>
          <w:bCs/>
          <w:color w:val="000000"/>
          <w:sz w:val="32"/>
          <w:szCs w:val="32"/>
        </w:rPr>
        <w:t>：综合考虑国家和北京市的总体部署要求，结合怀柔地区现实情况，重点做好政府决策一网慧治、政务服务一网通办、城市运行一网统管、特色应用一体展现和数据资源一体赋能。</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color w:val="000000"/>
          <w:sz w:val="32"/>
          <w:szCs w:val="32"/>
        </w:rPr>
      </w:pPr>
      <w:r>
        <w:rPr>
          <w:rFonts w:ascii="Times New Roman" w:hAnsi="Times New Roman" w:eastAsia="仿宋_GB2312"/>
          <w:b/>
          <w:color w:val="000000"/>
          <w:sz w:val="32"/>
          <w:szCs w:val="32"/>
        </w:rPr>
        <w:t>3大保障</w:t>
      </w:r>
      <w:r>
        <w:rPr>
          <w:rFonts w:hint="eastAsia" w:ascii="Times New Roman" w:hAnsi="Times New Roman" w:eastAsia="仿宋_GB2312"/>
          <w:bCs/>
          <w:color w:val="000000"/>
          <w:sz w:val="32"/>
          <w:szCs w:val="32"/>
        </w:rPr>
        <w:t>：包括基础设施、管理保障、安全保障等。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在重点建设内容层面，包括两个推进工程：</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color w:val="000000"/>
          <w:sz w:val="32"/>
          <w:szCs w:val="32"/>
        </w:rPr>
      </w:pPr>
      <w:r>
        <w:rPr>
          <w:rFonts w:ascii="Times New Roman" w:hAnsi="Times New Roman" w:eastAsia="仿宋_GB2312"/>
          <w:b/>
          <w:color w:val="000000"/>
          <w:sz w:val="32"/>
          <w:szCs w:val="32"/>
        </w:rPr>
        <w:t>数字底座夯实工程</w:t>
      </w:r>
      <w:r>
        <w:rPr>
          <w:rFonts w:ascii="Times New Roman" w:hAnsi="Times New Roman" w:eastAsia="仿宋_GB2312"/>
          <w:bCs/>
          <w:color w:val="000000"/>
          <w:sz w:val="32"/>
          <w:szCs w:val="32"/>
        </w:rPr>
        <w:t>：政务云、政务外网、大数据平台、可信数据空间等</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color w:val="000000"/>
          <w:sz w:val="32"/>
          <w:szCs w:val="32"/>
        </w:rPr>
      </w:pPr>
      <w:r>
        <w:rPr>
          <w:rFonts w:ascii="Times New Roman" w:hAnsi="Times New Roman" w:eastAsia="仿宋_GB2312"/>
          <w:b/>
          <w:color w:val="000000"/>
          <w:sz w:val="32"/>
          <w:szCs w:val="32"/>
        </w:rPr>
        <w:t>4+4+N数字化应用推进工程</w:t>
      </w:r>
      <w:r>
        <w:rPr>
          <w:rFonts w:hint="eastAsia" w:ascii="Times New Roman" w:hAnsi="Times New Roman" w:eastAsia="仿宋_GB2312"/>
          <w:b/>
          <w:color w:val="000000"/>
          <w:sz w:val="32"/>
          <w:szCs w:val="32"/>
        </w:rPr>
        <w:t>：</w:t>
      </w:r>
      <w:r>
        <w:rPr>
          <w:rFonts w:ascii="Times New Roman" w:hAnsi="Times New Roman" w:eastAsia="仿宋_GB2312"/>
          <w:bCs/>
          <w:color w:val="000000"/>
          <w:sz w:val="32"/>
          <w:szCs w:val="32"/>
        </w:rPr>
        <w:t>4</w:t>
      </w:r>
      <w:r>
        <w:rPr>
          <w:rFonts w:hint="eastAsia" w:ascii="Times New Roman" w:hAnsi="Times New Roman" w:eastAsia="仿宋_GB2312"/>
          <w:bCs/>
          <w:color w:val="000000"/>
          <w:sz w:val="32"/>
          <w:szCs w:val="32"/>
        </w:rPr>
        <w:t>个一体化应用，包括政府决策一网慧治、政务服务一网通办、城市运行一网统管、政府运行一网协同</w:t>
      </w:r>
      <w:r>
        <w:rPr>
          <w:rFonts w:ascii="Times New Roman" w:hAnsi="Times New Roman" w:eastAsia="仿宋_GB2312"/>
          <w:bCs/>
          <w:color w:val="000000"/>
          <w:sz w:val="32"/>
          <w:szCs w:val="32"/>
        </w:rPr>
        <w:t>；4</w:t>
      </w:r>
      <w:r>
        <w:rPr>
          <w:rFonts w:hint="eastAsia" w:ascii="Times New Roman" w:hAnsi="Times New Roman" w:eastAsia="仿宋_GB2312"/>
          <w:bCs/>
          <w:color w:val="000000"/>
          <w:sz w:val="32"/>
          <w:szCs w:val="32"/>
        </w:rPr>
        <w:t>个怀柔特色应用，包括</w:t>
      </w:r>
      <w:r>
        <w:rPr>
          <w:rFonts w:ascii="Times New Roman" w:hAnsi="Times New Roman" w:eastAsia="仿宋_GB2312"/>
          <w:bCs/>
          <w:color w:val="000000"/>
          <w:sz w:val="32"/>
          <w:szCs w:val="32"/>
        </w:rPr>
        <w:t>科创、影视、会议、生态等</w:t>
      </w:r>
      <w:r>
        <w:rPr>
          <w:rFonts w:hint="eastAsia" w:ascii="Times New Roman" w:hAnsi="Times New Roman" w:eastAsia="仿宋_GB2312"/>
          <w:bCs/>
          <w:color w:val="000000"/>
          <w:sz w:val="32"/>
          <w:szCs w:val="32"/>
        </w:rPr>
        <w:t>领域的</w:t>
      </w:r>
      <w:r>
        <w:rPr>
          <w:rFonts w:ascii="Times New Roman" w:hAnsi="Times New Roman" w:eastAsia="仿宋_GB2312"/>
          <w:bCs/>
          <w:color w:val="000000"/>
          <w:sz w:val="32"/>
          <w:szCs w:val="32"/>
        </w:rPr>
        <w:t>特色集成应用；N</w:t>
      </w:r>
      <w:r>
        <w:rPr>
          <w:rFonts w:hint="eastAsia" w:ascii="Times New Roman" w:hAnsi="Times New Roman" w:eastAsia="仿宋_GB2312"/>
          <w:bCs/>
          <w:color w:val="000000"/>
          <w:sz w:val="32"/>
          <w:szCs w:val="32"/>
        </w:rPr>
        <w:t>个</w:t>
      </w:r>
      <w:r>
        <w:rPr>
          <w:rFonts w:ascii="Times New Roman" w:hAnsi="Times New Roman" w:eastAsia="仿宋_GB2312"/>
          <w:bCs/>
          <w:color w:val="000000"/>
          <w:sz w:val="32"/>
          <w:szCs w:val="32"/>
        </w:rPr>
        <w:t>部门</w:t>
      </w:r>
      <w:r>
        <w:rPr>
          <w:rFonts w:hint="eastAsia" w:ascii="Times New Roman" w:hAnsi="Times New Roman" w:eastAsia="仿宋_GB2312"/>
          <w:bCs/>
          <w:color w:val="000000"/>
          <w:sz w:val="32"/>
          <w:szCs w:val="32"/>
        </w:rPr>
        <w:t>级</w:t>
      </w:r>
      <w:r>
        <w:rPr>
          <w:rFonts w:ascii="Times New Roman" w:hAnsi="Times New Roman" w:eastAsia="仿宋_GB2312"/>
          <w:bCs/>
          <w:color w:val="000000"/>
          <w:sz w:val="32"/>
          <w:szCs w:val="32"/>
        </w:rPr>
        <w:t>应用</w:t>
      </w:r>
      <w:r>
        <w:rPr>
          <w:rFonts w:hint="eastAsia" w:ascii="Times New Roman" w:hAnsi="Times New Roman" w:eastAsia="仿宋_GB2312"/>
          <w:bCs/>
          <w:color w:val="000000"/>
          <w:sz w:val="32"/>
          <w:szCs w:val="32"/>
        </w:rPr>
        <w:t>，涉及政务运行、经济治理、社会管理等各个领域。</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ascii="Times New Roman" w:hAnsi="Times New Roman"/>
          <w:b w:val="0"/>
          <w:bCs w:val="0"/>
          <w:sz w:val="32"/>
          <w:szCs w:val="60"/>
        </w:rPr>
      </w:pPr>
      <w:bookmarkStart w:id="16" w:name="_Toc10089"/>
      <w:r>
        <w:rPr>
          <w:rFonts w:ascii="Times New Roman" w:hAnsi="Times New Roman"/>
          <w:b w:val="0"/>
          <w:bCs w:val="0"/>
          <w:sz w:val="32"/>
          <w:szCs w:val="60"/>
        </w:rPr>
        <w:t>总体</w:t>
      </w:r>
      <w:r>
        <w:rPr>
          <w:rFonts w:hint="eastAsia" w:ascii="Times New Roman" w:hAnsi="Times New Roman"/>
          <w:b w:val="0"/>
          <w:bCs w:val="0"/>
          <w:sz w:val="32"/>
          <w:szCs w:val="60"/>
        </w:rPr>
        <w:t>规划</w:t>
      </w:r>
      <w:bookmarkEnd w:id="16"/>
    </w:p>
    <w:p>
      <w:pPr>
        <w:pStyle w:val="3"/>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b w:val="0"/>
          <w:bCs w:val="0"/>
          <w:sz w:val="32"/>
          <w:szCs w:val="32"/>
        </w:rPr>
      </w:pPr>
      <w:bookmarkStart w:id="17" w:name="_Toc11123"/>
      <w:r>
        <w:rPr>
          <w:rFonts w:hint="eastAsia" w:ascii="楷体_GB2312" w:hAnsi="楷体_GB2312" w:eastAsia="楷体_GB2312" w:cs="楷体_GB2312"/>
          <w:b w:val="0"/>
          <w:bCs w:val="0"/>
          <w:sz w:val="32"/>
          <w:szCs w:val="32"/>
        </w:rPr>
        <w:t>指导思想</w:t>
      </w:r>
      <w:bookmarkEnd w:id="1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lang w:bidi="ar"/>
        </w:rPr>
      </w:pPr>
      <w:r>
        <w:rPr>
          <w:rFonts w:hint="eastAsia" w:ascii="Times New Roman" w:hAnsi="Times New Roman" w:eastAsia="仿宋_GB2312"/>
          <w:sz w:val="32"/>
          <w:szCs w:val="32"/>
          <w:lang w:bidi="ar"/>
        </w:rPr>
        <w:t>以习近平新时代中国特色社会主义思想为引领，全面落实党的二十届三中全会精神，落实怀柔作为首都功能重要承载地和生态涵养区的战略定位，全力支撑“生态涵养、科技创新、会议休闲、影视文化”等四大功能要素的融合发展和“一城两都”建设，充分发挥数据的基础资源作用和创新引擎作用，全面提升政府决策科学化水平和管理服务效率，以政府领域的数字化改革为引擎，撬动经济、社会、文化、生态文明领域的数字化改革，高效服务高质量发展、高效能治理和高品质生活，为推进中国式现代化怀柔新实践提供强大支撑</w:t>
      </w:r>
      <w:r>
        <w:rPr>
          <w:rFonts w:ascii="Times New Roman" w:hAnsi="Times New Roman" w:eastAsia="仿宋_GB2312"/>
          <w:sz w:val="32"/>
          <w:szCs w:val="32"/>
          <w:lang w:bidi="ar"/>
        </w:rPr>
        <w:t>。</w:t>
      </w:r>
    </w:p>
    <w:p>
      <w:pPr>
        <w:pStyle w:val="3"/>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b w:val="0"/>
          <w:bCs w:val="0"/>
          <w:sz w:val="32"/>
          <w:szCs w:val="32"/>
        </w:rPr>
      </w:pPr>
      <w:bookmarkStart w:id="18" w:name="_Toc31814"/>
      <w:r>
        <w:rPr>
          <w:rFonts w:hint="eastAsia" w:ascii="楷体_GB2312" w:hAnsi="楷体_GB2312" w:eastAsia="楷体_GB2312" w:cs="楷体_GB2312"/>
          <w:b w:val="0"/>
          <w:bCs w:val="0"/>
          <w:sz w:val="32"/>
          <w:szCs w:val="32"/>
        </w:rPr>
        <w:t>基本原则</w:t>
      </w:r>
      <w:bookmarkEnd w:id="1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总体坚持四个基本原则：</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lang w:bidi="ar"/>
        </w:rPr>
      </w:pPr>
      <w:r>
        <w:rPr>
          <w:rFonts w:ascii="Times New Roman" w:hAnsi="Times New Roman" w:eastAsia="仿宋_GB2312"/>
          <w:b/>
          <w:bCs/>
          <w:sz w:val="32"/>
          <w:szCs w:val="32"/>
          <w:lang w:bidi="ar"/>
        </w:rPr>
        <w:t>坚持改革创新</w:t>
      </w:r>
      <w:r>
        <w:rPr>
          <w:rFonts w:hint="eastAsia" w:ascii="Times New Roman" w:hAnsi="Times New Roman" w:eastAsia="仿宋_GB2312"/>
          <w:b/>
          <w:bCs/>
          <w:sz w:val="32"/>
          <w:szCs w:val="32"/>
          <w:lang w:bidi="ar"/>
        </w:rPr>
        <w:t>。</w:t>
      </w:r>
      <w:r>
        <w:rPr>
          <w:rFonts w:hint="eastAsia" w:ascii="Times New Roman" w:hAnsi="Times New Roman" w:eastAsia="仿宋_GB2312"/>
          <w:sz w:val="32"/>
          <w:szCs w:val="32"/>
          <w:lang w:bidi="ar"/>
        </w:rPr>
        <w:t>强化改革创新思维，注重顶层规划和实际建设运营探索有机结合、技术创新和制度创新双轮驱动，以全域数字化转型促进怀柔地区的政府治理和服务、产业发展、社会生活、文旅建设等各方面改革和创新发展。</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坚持整体协同。</w:t>
      </w:r>
      <w:r>
        <w:rPr>
          <w:rFonts w:hint="eastAsia" w:ascii="Times New Roman" w:hAnsi="Times New Roman" w:eastAsia="仿宋_GB2312"/>
          <w:sz w:val="32"/>
          <w:szCs w:val="32"/>
          <w:lang w:bidi="ar"/>
        </w:rPr>
        <w:t>以一体化治理应用等多跨平台为抓手，统筹推进技术融合、业务融合、数据融合，提升跨层级、跨地域、跨系统、跨部门、跨业务的协同管理和服务水平，促进数字政府建设与数字经济、数字社会、数字文化、数字生态文明的协调发展。</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坚持数据赋能。</w:t>
      </w:r>
      <w:r>
        <w:rPr>
          <w:rFonts w:hint="eastAsia" w:ascii="Times New Roman" w:hAnsi="Times New Roman" w:eastAsia="仿宋_GB2312"/>
          <w:sz w:val="32"/>
          <w:szCs w:val="32"/>
          <w:lang w:bidi="ar"/>
        </w:rPr>
        <w:t>建立健全数据治理制度和标准体系，加强数据多元汇聚融合、共享开放和开发利用，促进数据依法有序流动，充分发挥数据的基础资源作用和创新引擎作用。</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坚持安全可控。</w:t>
      </w:r>
      <w:r>
        <w:rPr>
          <w:rFonts w:hint="eastAsia" w:ascii="Times New Roman" w:hAnsi="Times New Roman" w:eastAsia="仿宋_GB2312"/>
          <w:sz w:val="32"/>
          <w:szCs w:val="32"/>
          <w:lang w:bidi="ar"/>
        </w:rPr>
        <w:t>坚持创新发展和依法管理相统一、安全可控和开放创新并重，严格落实网络安全各项法律法规制度。</w:t>
      </w:r>
    </w:p>
    <w:p>
      <w:pPr>
        <w:pStyle w:val="3"/>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b w:val="0"/>
          <w:bCs w:val="0"/>
          <w:sz w:val="32"/>
          <w:szCs w:val="32"/>
        </w:rPr>
      </w:pPr>
      <w:bookmarkStart w:id="19" w:name="_Toc19110"/>
      <w:r>
        <w:rPr>
          <w:rFonts w:hint="eastAsia" w:ascii="楷体_GB2312" w:hAnsi="楷体_GB2312" w:eastAsia="楷体_GB2312" w:cs="楷体_GB2312"/>
          <w:b w:val="0"/>
          <w:bCs w:val="0"/>
          <w:sz w:val="32"/>
          <w:szCs w:val="32"/>
        </w:rPr>
        <w:t>发展愿景与目标</w:t>
      </w:r>
      <w:bookmarkEnd w:id="1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lang w:bidi="ar"/>
        </w:rPr>
      </w:pPr>
      <w:r>
        <w:rPr>
          <w:rFonts w:ascii="Times New Roman" w:hAnsi="Times New Roman" w:eastAsia="仿宋_GB2312"/>
          <w:sz w:val="32"/>
          <w:szCs w:val="32"/>
          <w:lang w:bidi="ar"/>
        </w:rPr>
        <w:t>落实怀柔作为首都功能重要承载地和生态涵养区的战略定位，全力支撑“生态涵养、科技创新、会议休闲、影视文化”等四大功能要素的融合发展和“一城两都”建设，以数字政府为引领，带动数字经济、数字社会、数字文化、数字生态的全面发展，加快建设“数智怀柔”，构筑“3个打造”发展愿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
          <w:bCs/>
          <w:sz w:val="32"/>
          <w:szCs w:val="32"/>
          <w:lang w:bidi="ar"/>
        </w:rPr>
      </w:pPr>
      <w:r>
        <w:rPr>
          <w:rFonts w:ascii="Times New Roman" w:hAnsi="Times New Roman" w:eastAsia="仿宋_GB2312"/>
          <w:sz w:val="32"/>
          <w:szCs w:val="32"/>
          <w:lang w:bidi="ar"/>
        </w:rPr>
        <w:t>——</w:t>
      </w:r>
      <w:r>
        <w:rPr>
          <w:rFonts w:hint="eastAsia" w:ascii="Times New Roman" w:hAnsi="Times New Roman" w:eastAsia="仿宋_GB2312"/>
          <w:b/>
          <w:bCs/>
          <w:sz w:val="32"/>
          <w:szCs w:val="32"/>
          <w:lang w:bidi="ar"/>
        </w:rPr>
        <w:t>打造“敏捷智治的数智政府”</w:t>
      </w:r>
      <w:r>
        <w:rPr>
          <w:rFonts w:ascii="Times New Roman" w:hAnsi="Times New Roman" w:eastAsia="仿宋_GB2312"/>
          <w:b/>
          <w:bCs/>
          <w:sz w:val="32"/>
          <w:szCs w:val="32"/>
          <w:lang w:bidi="ar"/>
        </w:rPr>
        <w:t>。</w:t>
      </w:r>
      <w:r>
        <w:rPr>
          <w:rFonts w:hint="eastAsia" w:ascii="Times New Roman" w:hAnsi="Times New Roman" w:eastAsia="仿宋_GB2312"/>
          <w:sz w:val="32"/>
          <w:szCs w:val="32"/>
          <w:lang w:bidi="ar"/>
        </w:rPr>
        <w:t>聚焦政务服务“一网通办”、城市运行“一网统管”、政府运行“一网协同”、政府决策“一网慧治”等一体化应用建设和效能提升，相关发展指标达到国内先进水平，建设国内韧性城市管理的数字化标杆。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bidi="ar"/>
        </w:rPr>
      </w:pPr>
      <w:r>
        <w:rPr>
          <w:rFonts w:ascii="Times New Roman" w:hAnsi="Times New Roman" w:eastAsia="仿宋_GB2312"/>
          <w:sz w:val="32"/>
          <w:szCs w:val="32"/>
          <w:lang w:bidi="ar"/>
        </w:rPr>
        <w:t>——</w:t>
      </w:r>
      <w:r>
        <w:rPr>
          <w:rFonts w:hint="eastAsia" w:ascii="Times New Roman" w:hAnsi="Times New Roman" w:eastAsia="仿宋_GB2312"/>
          <w:b/>
          <w:bCs/>
          <w:sz w:val="32"/>
          <w:szCs w:val="32"/>
          <w:lang w:bidi="ar"/>
        </w:rPr>
        <w:t>打造“区域特色的怀柔数字化品牌”</w:t>
      </w:r>
      <w:r>
        <w:rPr>
          <w:rFonts w:ascii="Times New Roman" w:hAnsi="Times New Roman" w:eastAsia="仿宋_GB2312"/>
          <w:b/>
          <w:bCs/>
          <w:sz w:val="32"/>
          <w:szCs w:val="32"/>
          <w:lang w:bidi="ar"/>
        </w:rPr>
        <w:t>。</w:t>
      </w:r>
      <w:r>
        <w:rPr>
          <w:rFonts w:hint="eastAsia" w:ascii="Times New Roman" w:hAnsi="Times New Roman" w:eastAsia="仿宋_GB2312"/>
          <w:sz w:val="32"/>
          <w:szCs w:val="32"/>
          <w:lang w:bidi="ar"/>
        </w:rPr>
        <w:t>打响“怀柔数字化服务”品牌，支撑一流营商服务环境建设，赋能和推动数字经济高质量发展。打造“怀柔可研数据可信空间”“智慧科学城”“智慧会都”“智慧影都”“智慧生态”等怀柔特色品牌，积极探索相关领域的数据要素市场化应用场景创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lang w:bidi="ar"/>
        </w:rPr>
      </w:pPr>
      <w:r>
        <w:rPr>
          <w:rFonts w:ascii="Times New Roman" w:hAnsi="Times New Roman" w:eastAsia="仿宋_GB2312"/>
          <w:sz w:val="32"/>
          <w:szCs w:val="32"/>
          <w:lang w:bidi="ar"/>
        </w:rPr>
        <w:t>——</w:t>
      </w:r>
      <w:r>
        <w:rPr>
          <w:rFonts w:ascii="Times New Roman" w:hAnsi="Times New Roman" w:eastAsia="仿宋_GB2312"/>
          <w:b/>
          <w:bCs/>
          <w:sz w:val="32"/>
          <w:szCs w:val="32"/>
          <w:lang w:bidi="ar"/>
        </w:rPr>
        <w:t>打造“集约智能的怀柔数字在线”。</w:t>
      </w:r>
      <w:r>
        <w:rPr>
          <w:rFonts w:hint="eastAsia" w:ascii="Times New Roman" w:hAnsi="Times New Roman" w:eastAsia="仿宋_GB2312"/>
          <w:sz w:val="32"/>
          <w:szCs w:val="32"/>
          <w:lang w:bidi="ar"/>
        </w:rPr>
        <w:t>建设一体化、智能化、开放共享、安全有序的大数据平台、可信数据空间、政务云等平台和能力，高质量赋能各领域的数字化转型应用</w:t>
      </w:r>
      <w:r>
        <w:rPr>
          <w:rFonts w:ascii="Times New Roman" w:hAnsi="Times New Roman" w:eastAsia="仿宋_GB2312"/>
          <w:sz w:val="32"/>
          <w:szCs w:val="32"/>
          <w:lang w:bidi="ar"/>
        </w:rPr>
        <w:t>。</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ascii="Times New Roman" w:hAnsi="Times New Roman"/>
          <w:b w:val="0"/>
          <w:bCs w:val="0"/>
          <w:sz w:val="32"/>
          <w:szCs w:val="60"/>
        </w:rPr>
      </w:pPr>
      <w:bookmarkStart w:id="20" w:name="_Toc26150"/>
      <w:r>
        <w:rPr>
          <w:rFonts w:ascii="Times New Roman" w:hAnsi="Times New Roman"/>
          <w:b w:val="0"/>
          <w:bCs w:val="0"/>
          <w:sz w:val="32"/>
          <w:szCs w:val="60"/>
        </w:rPr>
        <w:t>重点任务</w:t>
      </w:r>
      <w:bookmarkEnd w:id="20"/>
    </w:p>
    <w:p>
      <w:pPr>
        <w:pStyle w:val="3"/>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eastAsia" w:ascii="楷体_GB2312" w:hAnsi="楷体_GB2312" w:eastAsia="楷体_GB2312" w:cs="楷体_GB2312"/>
          <w:b w:val="0"/>
          <w:bCs w:val="0"/>
          <w:sz w:val="32"/>
          <w:szCs w:val="32"/>
        </w:rPr>
      </w:pPr>
      <w:bookmarkStart w:id="21" w:name="_Toc8142"/>
      <w:r>
        <w:rPr>
          <w:rFonts w:hint="eastAsia" w:ascii="楷体_GB2312" w:hAnsi="楷体_GB2312" w:eastAsia="楷体_GB2312" w:cs="楷体_GB2312"/>
          <w:b w:val="0"/>
          <w:bCs w:val="0"/>
          <w:sz w:val="32"/>
          <w:szCs w:val="32"/>
        </w:rPr>
        <w:t>建设敏捷智治的数字政府</w:t>
      </w:r>
      <w:bookmarkEnd w:id="2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推动怀柔地区政府治理能力的数智化，重点聚焦优质便捷的政务服务一网通办体系，整体高效的政府运行一网协同体系，全域智慧的城市运行一网统管体系和一屏统揽的政府决策一网慧治体系，推动建设一批务实管用的集成应用项目，全面提升政务服务工作效能。</w:t>
      </w:r>
    </w:p>
    <w:p>
      <w:pPr>
        <w:pStyle w:val="4"/>
        <w:pageBreakBefore w:val="0"/>
        <w:widowControl w:val="0"/>
        <w:numPr>
          <w:ilvl w:val="0"/>
          <w:numId w:val="0"/>
        </w:numPr>
        <w:tabs>
          <w:tab w:val="clear" w:pos="0"/>
          <w:tab w:val="clear" w:pos="2978"/>
        </w:tabs>
        <w:kinsoku/>
        <w:wordWrap/>
        <w:overflowPunct/>
        <w:topLinePunct w:val="0"/>
        <w:autoSpaceDE/>
        <w:autoSpaceDN/>
        <w:bidi w:val="0"/>
        <w:adjustRightInd/>
        <w:snapToGrid/>
        <w:spacing w:before="0" w:beforeLines="0" w:after="0" w:afterLines="0" w:line="560" w:lineRule="exact"/>
        <w:ind w:firstLine="643" w:firstLineChars="200"/>
        <w:textAlignment w:val="auto"/>
        <w:rPr>
          <w:rFonts w:ascii="Times New Roman" w:hAnsi="Times New Roman" w:eastAsia="仿宋_GB2312"/>
          <w:sz w:val="32"/>
          <w:szCs w:val="32"/>
        </w:rPr>
      </w:pPr>
      <w:bookmarkStart w:id="22" w:name="_Toc29287"/>
      <w:r>
        <w:rPr>
          <w:rFonts w:ascii="Times New Roman" w:hAnsi="Times New Roman" w:eastAsia="仿宋_GB2312"/>
          <w:sz w:val="32"/>
          <w:szCs w:val="32"/>
        </w:rPr>
        <w:t>1.</w:t>
      </w:r>
      <w:r>
        <w:rPr>
          <w:rFonts w:hint="eastAsia" w:ascii="Times New Roman" w:hAnsi="Times New Roman" w:eastAsia="仿宋_GB2312"/>
          <w:sz w:val="32"/>
          <w:szCs w:val="32"/>
        </w:rPr>
        <w:t>打响“怀柔数字化服务”品牌</w:t>
      </w:r>
      <w:bookmarkEnd w:id="2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按照打造“怀柔数字化服务”品牌的要求，全面提升政务服务一网通办的效能水平，建设“掌上办事之区”，打造北京市内涉企政务服务高效能典范。</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全面提升智能化服务水平。</w:t>
      </w:r>
      <w:r>
        <w:rPr>
          <w:rFonts w:hint="eastAsia" w:ascii="Times New Roman" w:hAnsi="Times New Roman" w:eastAsia="仿宋_GB2312"/>
          <w:sz w:val="32"/>
          <w:szCs w:val="32"/>
        </w:rPr>
        <w:t>通过智能终端、虚拟人技术等线下终端，以及智能语音导航、智能审批系统等线上服务能力，全面提升公众的智能化服务体验，释放区级政务中心负荷。推动政务服务事项清单化、基本要素标准化，实现同一政务服务事项实施规范的受理条件、办理流程、申请材料、办理结果等要素标准统一，推动同一政务服务事项在全区范围内“无差别受理、同标准办理”。</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重点聚焦涉企服务的提质增效。</w:t>
      </w:r>
      <w:r>
        <w:rPr>
          <w:rFonts w:hint="eastAsia" w:ascii="Times New Roman" w:hAnsi="Times New Roman" w:eastAsia="仿宋_GB2312"/>
          <w:sz w:val="32"/>
          <w:szCs w:val="32"/>
        </w:rPr>
        <w:t>提升区级政务中心在涉企服务层面的资源保障水平，开展全程式帮办、一站式代办等，探索怀柔本地化涉企服务“一件事”和办理专区，拓展“一件事”服务领域，延伸“一件事”服务链条，健全“高效办成一件事”常态化推进机制和特色梳理机制。以服务站、企业联络员等方式，优化科学城、工业园区、重点企业等的就近化、个性化服务水平。</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全面推进“高效办成一件事”改革。</w:t>
      </w:r>
      <w:r>
        <w:rPr>
          <w:rFonts w:hint="eastAsia" w:ascii="Times New Roman" w:hAnsi="Times New Roman" w:eastAsia="仿宋_GB2312"/>
          <w:sz w:val="32"/>
          <w:szCs w:val="32"/>
        </w:rPr>
        <w:t>深化“综窗+”模式，设立“一件事”专区，建立帮办代办主动服务机制，规范“前台综合受理、后台分类审批、综合窗口出件”审批流程，实现“一窗受理、一次跑动、一次办结、一步拿证”，打造各部门齐抓共管、协同推进的工作模式。</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强化服务效能监管。</w:t>
      </w:r>
      <w:r>
        <w:rPr>
          <w:rFonts w:hint="eastAsia" w:ascii="Times New Roman" w:hAnsi="Times New Roman" w:eastAsia="仿宋_GB2312"/>
          <w:sz w:val="32"/>
          <w:szCs w:val="32"/>
        </w:rPr>
        <w:t>建立评价、整改、反馈、监督全流程衔接的政务服务评价机制，优化电子监察和“好差评”体系建设与数据研判，多维度进行绩效统计分析与预警告警，实现评价、反馈、整改、监督闭环管理，建立健全全区“一网通办”运营情况报告机制。</w:t>
      </w:r>
    </w:p>
    <w:tbl>
      <w:tblPr>
        <w:tblStyle w:val="2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lang w:bidi="ar"/>
              </w:rPr>
            </w:pPr>
            <w:r>
              <w:rPr>
                <w:rFonts w:hint="eastAsia" w:ascii="Times New Roman" w:hAnsi="Times New Roman" w:eastAsia="仿宋_GB2312" w:cs="仿宋_GB2312"/>
                <w:b/>
                <w:bCs/>
                <w:sz w:val="28"/>
                <w:szCs w:val="28"/>
                <w:lang w:bidi="ar"/>
              </w:rPr>
              <w:t>专栏一：政务服务重点工程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562" w:firstLineChars="200"/>
              <w:rPr>
                <w:rFonts w:ascii="Times New Roman" w:hAnsi="Times New Roman" w:eastAsia="仿宋_GB2312"/>
                <w:b/>
                <w:bCs/>
                <w:sz w:val="28"/>
                <w:szCs w:val="28"/>
                <w:lang w:bidi="ar"/>
              </w:rPr>
            </w:pPr>
            <w:r>
              <w:rPr>
                <w:rFonts w:hint="eastAsia" w:ascii="Times New Roman" w:hAnsi="Times New Roman" w:eastAsia="仿宋_GB2312"/>
                <w:b/>
                <w:bCs/>
                <w:sz w:val="28"/>
                <w:szCs w:val="28"/>
                <w:lang w:bidi="ar"/>
              </w:rPr>
              <w:t>1</w:t>
            </w:r>
            <w:r>
              <w:rPr>
                <w:rFonts w:ascii="Times New Roman" w:hAnsi="Times New Roman" w:eastAsia="仿宋_GB2312"/>
                <w:b/>
                <w:bCs/>
                <w:sz w:val="28"/>
                <w:szCs w:val="28"/>
                <w:lang w:bidi="ar"/>
              </w:rPr>
              <w:t>.智慧政务服务提升工程</w:t>
            </w:r>
            <w:r>
              <w:rPr>
                <w:rFonts w:hint="eastAsia" w:ascii="Times New Roman" w:hAnsi="Times New Roman" w:eastAsia="仿宋_GB2312" w:cs="仿宋_GB2312"/>
                <w:b/>
                <w:bCs/>
                <w:sz w:val="28"/>
                <w:szCs w:val="28"/>
                <w:lang w:bidi="ar"/>
              </w:rPr>
              <w:t>。</w:t>
            </w:r>
            <w:r>
              <w:rPr>
                <w:rFonts w:hint="eastAsia" w:ascii="Times New Roman" w:hAnsi="Times New Roman" w:eastAsia="仿宋_GB2312" w:cs="仿宋_GB2312"/>
                <w:sz w:val="28"/>
                <w:szCs w:val="28"/>
                <w:lang w:bidi="ar"/>
              </w:rPr>
              <w:t>推动区</w:t>
            </w:r>
            <w:r>
              <w:rPr>
                <w:rFonts w:ascii="Times New Roman" w:hAnsi="Times New Roman" w:eastAsia="仿宋_GB2312"/>
                <w:sz w:val="28"/>
                <w:szCs w:val="28"/>
                <w:lang w:bidi="ar"/>
              </w:rPr>
              <w:t>-</w:t>
            </w:r>
            <w:r>
              <w:rPr>
                <w:rFonts w:hint="eastAsia" w:ascii="Times New Roman" w:hAnsi="Times New Roman" w:eastAsia="仿宋_GB2312" w:cs="仿宋_GB2312"/>
                <w:sz w:val="28"/>
                <w:szCs w:val="28"/>
                <w:lang w:bidi="ar"/>
              </w:rPr>
              <w:t>街道</w:t>
            </w:r>
            <w:r>
              <w:rPr>
                <w:rFonts w:ascii="Times New Roman" w:hAnsi="Times New Roman" w:eastAsia="仿宋_GB2312"/>
                <w:sz w:val="28"/>
                <w:szCs w:val="28"/>
                <w:lang w:bidi="ar"/>
              </w:rPr>
              <w:t>-</w:t>
            </w:r>
            <w:r>
              <w:rPr>
                <w:rFonts w:hint="eastAsia" w:ascii="Times New Roman" w:hAnsi="Times New Roman" w:eastAsia="仿宋_GB2312" w:cs="仿宋_GB2312"/>
                <w:sz w:val="28"/>
                <w:szCs w:val="28"/>
                <w:lang w:bidi="ar"/>
              </w:rPr>
              <w:t>居等多级政务服务大厅</w:t>
            </w:r>
            <w:r>
              <w:rPr>
                <w:rFonts w:ascii="Times New Roman" w:hAnsi="Times New Roman" w:eastAsia="仿宋_GB2312"/>
                <w:sz w:val="28"/>
                <w:szCs w:val="28"/>
                <w:lang w:bidi="ar"/>
              </w:rPr>
              <w:t>/</w:t>
            </w:r>
            <w:r>
              <w:rPr>
                <w:rFonts w:hint="eastAsia" w:ascii="Times New Roman" w:hAnsi="Times New Roman" w:eastAsia="仿宋_GB2312" w:cs="仿宋_GB2312"/>
                <w:sz w:val="28"/>
                <w:szCs w:val="28"/>
                <w:lang w:bidi="ar"/>
              </w:rPr>
              <w:t>便民服务站升级改造，对入口引导区、信息发布区、企业帮办区、指挥中心等信息化设备系统进行升级。针对企业、个人等对象及不同业务事项，协调智能办事终端、虚拟人一体机、智能语音导航系统、触摸引导服务系统、智能审批系统等智能设备，实现政策咨询、电子办事指南、智能叫号、预约服务等功能，提升基层大厅服务精准化、智能化、便捷化水平。（牵头部门：怀柔区政务服务和数据管理局）</w:t>
            </w:r>
          </w:p>
          <w:p>
            <w:pPr>
              <w:spacing w:line="560" w:lineRule="exact"/>
              <w:ind w:firstLine="562" w:firstLineChars="200"/>
              <w:rPr>
                <w:rFonts w:ascii="Times New Roman" w:hAnsi="Times New Roman" w:eastAsia="仿宋_GB2312"/>
                <w:sz w:val="28"/>
                <w:szCs w:val="28"/>
                <w:lang w:bidi="ar"/>
              </w:rPr>
            </w:pPr>
            <w:r>
              <w:rPr>
                <w:rFonts w:ascii="Times New Roman" w:hAnsi="Times New Roman" w:eastAsia="仿宋_GB2312"/>
                <w:b/>
                <w:bCs/>
                <w:sz w:val="28"/>
                <w:szCs w:val="28"/>
                <w:lang w:bidi="ar"/>
              </w:rPr>
              <w:t>2.政务服务质效监测评价系统</w:t>
            </w:r>
            <w:r>
              <w:rPr>
                <w:rFonts w:hint="eastAsia" w:ascii="Times New Roman" w:hAnsi="Times New Roman" w:eastAsia="仿宋_GB2312" w:cs="仿宋_GB2312"/>
                <w:b/>
                <w:bCs/>
                <w:sz w:val="28"/>
                <w:szCs w:val="28"/>
                <w:lang w:bidi="ar"/>
              </w:rPr>
              <w:t>。</w:t>
            </w:r>
            <w:r>
              <w:rPr>
                <w:rFonts w:hint="eastAsia" w:ascii="Times New Roman" w:hAnsi="Times New Roman" w:eastAsia="仿宋_GB2312" w:cs="仿宋_GB2312"/>
                <w:sz w:val="28"/>
                <w:szCs w:val="28"/>
                <w:lang w:bidi="ar"/>
              </w:rPr>
              <w:t>建立全事项、全渠道、全平台、全流程的</w:t>
            </w:r>
            <w:r>
              <w:rPr>
                <w:rFonts w:ascii="Times New Roman" w:hAnsi="Times New Roman" w:eastAsia="仿宋_GB2312"/>
                <w:sz w:val="28"/>
                <w:szCs w:val="28"/>
                <w:lang w:bidi="ar"/>
              </w:rPr>
              <w:t>“</w:t>
            </w:r>
            <w:r>
              <w:rPr>
                <w:rFonts w:hint="eastAsia" w:ascii="Times New Roman" w:hAnsi="Times New Roman" w:eastAsia="仿宋_GB2312" w:cs="仿宋_GB2312"/>
                <w:sz w:val="28"/>
                <w:szCs w:val="28"/>
                <w:lang w:bidi="ar"/>
              </w:rPr>
              <w:t>好差评</w:t>
            </w:r>
            <w:r>
              <w:rPr>
                <w:rFonts w:ascii="Times New Roman" w:hAnsi="Times New Roman" w:eastAsia="仿宋_GB2312"/>
                <w:sz w:val="28"/>
                <w:szCs w:val="28"/>
                <w:lang w:bidi="ar"/>
              </w:rPr>
              <w:t>”</w:t>
            </w:r>
            <w:r>
              <w:rPr>
                <w:rFonts w:hint="eastAsia" w:ascii="Times New Roman" w:hAnsi="Times New Roman" w:eastAsia="仿宋_GB2312" w:cs="仿宋_GB2312"/>
                <w:sz w:val="28"/>
                <w:szCs w:val="28"/>
                <w:lang w:bidi="ar"/>
              </w:rPr>
              <w:t>制度，完善</w:t>
            </w:r>
            <w:r>
              <w:rPr>
                <w:rFonts w:ascii="Times New Roman" w:hAnsi="Times New Roman" w:eastAsia="仿宋_GB2312"/>
                <w:sz w:val="28"/>
                <w:szCs w:val="28"/>
                <w:lang w:bidi="ar"/>
              </w:rPr>
              <w:t>“</w:t>
            </w:r>
            <w:r>
              <w:rPr>
                <w:rFonts w:hint="eastAsia" w:ascii="Times New Roman" w:hAnsi="Times New Roman" w:eastAsia="仿宋_GB2312" w:cs="仿宋_GB2312"/>
                <w:sz w:val="28"/>
                <w:szCs w:val="28"/>
                <w:lang w:bidi="ar"/>
              </w:rPr>
              <w:t>一次一评</w:t>
            </w:r>
            <w:r>
              <w:rPr>
                <w:rFonts w:ascii="Times New Roman" w:hAnsi="Times New Roman" w:eastAsia="仿宋_GB2312"/>
                <w:sz w:val="28"/>
                <w:szCs w:val="28"/>
                <w:lang w:bidi="ar"/>
              </w:rPr>
              <w:t>”“</w:t>
            </w:r>
            <w:r>
              <w:rPr>
                <w:rFonts w:hint="eastAsia" w:ascii="Times New Roman" w:hAnsi="Times New Roman" w:eastAsia="仿宋_GB2312" w:cs="仿宋_GB2312"/>
                <w:sz w:val="28"/>
                <w:szCs w:val="28"/>
                <w:lang w:bidi="ar"/>
              </w:rPr>
              <w:t>一事一评</w:t>
            </w:r>
            <w:r>
              <w:rPr>
                <w:rFonts w:ascii="Times New Roman" w:hAnsi="Times New Roman" w:eastAsia="仿宋_GB2312"/>
                <w:sz w:val="28"/>
                <w:szCs w:val="28"/>
                <w:lang w:bidi="ar"/>
              </w:rPr>
              <w:t>”</w:t>
            </w:r>
            <w:r>
              <w:rPr>
                <w:rFonts w:hint="eastAsia" w:ascii="Times New Roman" w:hAnsi="Times New Roman" w:eastAsia="仿宋_GB2312" w:cs="仿宋_GB2312"/>
                <w:sz w:val="28"/>
                <w:szCs w:val="28"/>
                <w:lang w:bidi="ar"/>
              </w:rPr>
              <w:t>，加强</w:t>
            </w:r>
            <w:r>
              <w:rPr>
                <w:rFonts w:ascii="Times New Roman" w:hAnsi="Times New Roman" w:eastAsia="仿宋_GB2312"/>
                <w:sz w:val="28"/>
                <w:szCs w:val="28"/>
                <w:lang w:bidi="ar"/>
              </w:rPr>
              <w:t>“</w:t>
            </w:r>
            <w:r>
              <w:rPr>
                <w:rFonts w:hint="eastAsia" w:ascii="Times New Roman" w:hAnsi="Times New Roman" w:eastAsia="仿宋_GB2312" w:cs="仿宋_GB2312"/>
                <w:sz w:val="28"/>
                <w:szCs w:val="28"/>
                <w:lang w:bidi="ar"/>
              </w:rPr>
              <w:t>好差评</w:t>
            </w:r>
            <w:r>
              <w:rPr>
                <w:rFonts w:ascii="Times New Roman" w:hAnsi="Times New Roman" w:eastAsia="仿宋_GB2312"/>
                <w:sz w:val="28"/>
                <w:szCs w:val="28"/>
                <w:lang w:bidi="ar"/>
              </w:rPr>
              <w:t>”</w:t>
            </w:r>
            <w:r>
              <w:rPr>
                <w:rFonts w:hint="eastAsia" w:ascii="Times New Roman" w:hAnsi="Times New Roman" w:eastAsia="仿宋_GB2312" w:cs="仿宋_GB2312"/>
                <w:sz w:val="28"/>
                <w:szCs w:val="28"/>
                <w:lang w:bidi="ar"/>
              </w:rPr>
              <w:t>数据分析研判，实现对全区行政审批行为分级实时监督和绩效评估，及时纠错，促进依法行政，实现</w:t>
            </w:r>
            <w:r>
              <w:rPr>
                <w:rFonts w:ascii="Times New Roman" w:hAnsi="Times New Roman" w:eastAsia="仿宋_GB2312"/>
                <w:sz w:val="28"/>
                <w:szCs w:val="28"/>
                <w:lang w:bidi="ar"/>
              </w:rPr>
              <w:t>“</w:t>
            </w:r>
            <w:r>
              <w:rPr>
                <w:rFonts w:hint="eastAsia" w:ascii="Times New Roman" w:hAnsi="Times New Roman" w:eastAsia="仿宋_GB2312" w:cs="仿宋_GB2312"/>
                <w:sz w:val="28"/>
                <w:szCs w:val="28"/>
                <w:lang w:bidi="ar"/>
              </w:rPr>
              <w:t>好差评</w:t>
            </w:r>
            <w:r>
              <w:rPr>
                <w:rFonts w:ascii="Times New Roman" w:hAnsi="Times New Roman" w:eastAsia="仿宋_GB2312"/>
                <w:sz w:val="28"/>
                <w:szCs w:val="28"/>
                <w:lang w:bidi="ar"/>
              </w:rPr>
              <w:t>”</w:t>
            </w:r>
            <w:r>
              <w:rPr>
                <w:rFonts w:hint="eastAsia" w:ascii="Times New Roman" w:hAnsi="Times New Roman" w:eastAsia="仿宋_GB2312" w:cs="仿宋_GB2312"/>
                <w:sz w:val="28"/>
                <w:szCs w:val="28"/>
                <w:lang w:bidi="ar"/>
              </w:rPr>
              <w:t>线上全覆盖、线下全联通、数据全汇集、结果全公开。（责任部门：怀柔区政务服务和数据管理局）</w:t>
            </w:r>
          </w:p>
        </w:tc>
      </w:tr>
    </w:tbl>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rPr>
      </w:pPr>
      <w:bookmarkStart w:id="23" w:name="_Toc32732"/>
      <w:r>
        <w:rPr>
          <w:rFonts w:hint="eastAsia" w:ascii="Times New Roman" w:hAnsi="Times New Roman" w:eastAsia="仿宋_GB2312"/>
          <w:sz w:val="32"/>
          <w:szCs w:val="32"/>
        </w:rPr>
        <w:t>2.全面提升政府运行和决策的一体化智能化水平</w:t>
      </w:r>
      <w:bookmarkEnd w:id="23"/>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加快建设政府决策一网慧治体系。</w:t>
      </w:r>
      <w:r>
        <w:rPr>
          <w:rFonts w:hint="eastAsia" w:ascii="Times New Roman" w:hAnsi="Times New Roman" w:eastAsia="仿宋_GB2312"/>
          <w:sz w:val="32"/>
          <w:szCs w:val="32"/>
        </w:rPr>
        <w:t>依托北京市一网慧治平台和体系，构建怀柔区的分层级分领域的决策驾驶舱平台体系，实现全区层面的集中分析、指挥、调度、决策支撑、综合管理、数字化体验等综合功能。有序推进各级决策驾驶舱建设，在经济运行驾驶舱基础上，拓展政务服务、公共安全、科创、影视、会展、生态等主题，构建大数据平台、相关系统对接、外部数据获取等多元化的数据源体系。有序推动平台功能的扩展，在多元感知和分析能力基础上，拓展综合绩效考核评估等管理功能，以及智能生成报告等深层次决策支撑功能。</w:t>
      </w:r>
    </w:p>
    <w:p>
      <w:pPr>
        <w:spacing w:line="560" w:lineRule="exact"/>
        <w:ind w:firstLine="643" w:firstLineChars="200"/>
        <w:rPr>
          <w:rFonts w:ascii="Times New Roman" w:hAnsi="Times New Roman" w:eastAsia="仿宋_GB2312" w:cs="仿宋_GB2312"/>
          <w:sz w:val="32"/>
          <w:szCs w:val="32"/>
          <w:lang w:bidi="ar"/>
        </w:rPr>
      </w:pPr>
      <w:r>
        <w:rPr>
          <w:rFonts w:hint="eastAsia" w:ascii="Times New Roman" w:hAnsi="Times New Roman" w:eastAsia="仿宋_GB2312"/>
          <w:b/>
          <w:bCs/>
          <w:sz w:val="32"/>
          <w:szCs w:val="32"/>
        </w:rPr>
        <w:t>加快建设政府运行一网协同体系。</w:t>
      </w:r>
      <w:r>
        <w:rPr>
          <w:rFonts w:hint="eastAsia" w:ascii="Times New Roman" w:hAnsi="Times New Roman" w:eastAsia="仿宋_GB2312"/>
          <w:sz w:val="32"/>
          <w:szCs w:val="32"/>
        </w:rPr>
        <w:t>建设怀柔智慧办公平台，推进覆盖区、乡镇、区村三级的高效能政府运行，推进党政内部跨部门事项协同发展，不断提升跨层级、跨部门、跨系统、跨业务协同办公管理和服务水平。</w:t>
      </w:r>
      <w:r>
        <w:rPr>
          <w:rFonts w:hint="eastAsia" w:ascii="Times New Roman" w:hAnsi="Times New Roman" w:eastAsia="仿宋_GB2312" w:cs="仿宋_GB2312"/>
          <w:sz w:val="32"/>
          <w:szCs w:val="32"/>
          <w:lang w:bidi="ar"/>
        </w:rPr>
        <w:t>优化内部办公流程，推动常用办公事项功能线上化，利用在线协作工具和流程自动化等手段，提高工作效率，推动协同办公“掌上办”。</w:t>
      </w:r>
    </w:p>
    <w:tbl>
      <w:tblPr>
        <w:tblStyle w:val="2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lang w:bidi="ar"/>
              </w:rPr>
            </w:pPr>
            <w:r>
              <w:rPr>
                <w:rFonts w:hint="eastAsia" w:ascii="Times New Roman" w:hAnsi="Times New Roman" w:eastAsia="仿宋_GB2312" w:cs="仿宋_GB2312"/>
                <w:b/>
                <w:bCs/>
                <w:sz w:val="28"/>
                <w:szCs w:val="28"/>
                <w:lang w:bidi="ar"/>
              </w:rPr>
              <w:t>专栏二：政府运行和决策重点工程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560" w:firstLineChars="200"/>
              <w:rPr>
                <w:rFonts w:hint="eastAsia" w:ascii="Times New Roman" w:hAnsi="Times New Roman" w:eastAsia="仿宋_GB2312" w:cs="仿宋_GB2312"/>
                <w:sz w:val="28"/>
                <w:szCs w:val="28"/>
                <w:lang w:bidi="ar"/>
              </w:rPr>
            </w:pPr>
            <w:r>
              <w:rPr>
                <w:rFonts w:hint="eastAsia" w:ascii="Times New Roman" w:hAnsi="Times New Roman" w:eastAsia="仿宋_GB2312" w:cs="仿宋_GB2312"/>
                <w:sz w:val="28"/>
                <w:szCs w:val="28"/>
                <w:lang w:bidi="ar"/>
              </w:rPr>
              <w:t>1.</w:t>
            </w:r>
            <w:r>
              <w:rPr>
                <w:rFonts w:hint="eastAsia" w:ascii="Times New Roman" w:hAnsi="Times New Roman" w:eastAsia="仿宋_GB2312" w:cs="仿宋_GB2312"/>
                <w:b/>
                <w:bCs/>
                <w:sz w:val="28"/>
                <w:szCs w:val="28"/>
                <w:lang w:bidi="ar"/>
              </w:rPr>
              <w:t>驾驶舱平台。</w:t>
            </w:r>
            <w:r>
              <w:rPr>
                <w:rFonts w:hint="eastAsia" w:ascii="Times New Roman" w:hAnsi="Times New Roman" w:eastAsia="仿宋_GB2312" w:cs="仿宋_GB2312"/>
                <w:sz w:val="28"/>
                <w:szCs w:val="28"/>
                <w:lang w:bidi="ar"/>
              </w:rPr>
              <w:t>构建经济运行、政务服务、公共安全、科创、影视、会展、生态等主题，构建大数据平台、相关系统对接、外部数据获取等多元化的数据源体系。（责任部门：怀柔区政务服务和数据管理局）</w:t>
            </w:r>
          </w:p>
          <w:p>
            <w:pPr>
              <w:spacing w:line="560" w:lineRule="exact"/>
              <w:ind w:firstLine="560" w:firstLineChars="200"/>
              <w:rPr>
                <w:rFonts w:hint="eastAsia" w:ascii="Times New Roman" w:hAnsi="Times New Roman" w:eastAsia="仿宋_GB2312"/>
                <w:b/>
                <w:bCs/>
                <w:sz w:val="28"/>
                <w:szCs w:val="28"/>
                <w:lang w:bidi="ar"/>
              </w:rPr>
            </w:pPr>
            <w:r>
              <w:rPr>
                <w:rFonts w:hint="eastAsia" w:ascii="Times New Roman" w:hAnsi="Times New Roman" w:eastAsia="仿宋_GB2312"/>
                <w:sz w:val="28"/>
                <w:szCs w:val="28"/>
                <w:lang w:bidi="ar"/>
              </w:rPr>
              <w:t>2</w:t>
            </w:r>
            <w:r>
              <w:rPr>
                <w:rFonts w:ascii="Times New Roman" w:hAnsi="Times New Roman" w:eastAsia="仿宋_GB2312"/>
                <w:sz w:val="28"/>
                <w:szCs w:val="28"/>
                <w:lang w:bidi="ar"/>
              </w:rPr>
              <w:t>.</w:t>
            </w:r>
            <w:r>
              <w:rPr>
                <w:rFonts w:ascii="Times New Roman" w:hAnsi="Times New Roman" w:eastAsia="仿宋_GB2312"/>
                <w:b/>
                <w:bCs/>
                <w:sz w:val="28"/>
                <w:szCs w:val="28"/>
                <w:lang w:bidi="ar"/>
              </w:rPr>
              <w:t>“</w:t>
            </w:r>
            <w:r>
              <w:rPr>
                <w:rFonts w:hint="eastAsia" w:ascii="Times New Roman" w:hAnsi="Times New Roman" w:eastAsia="仿宋_GB2312" w:cs="仿宋_GB2312"/>
                <w:b/>
                <w:bCs/>
                <w:sz w:val="28"/>
                <w:szCs w:val="28"/>
                <w:lang w:bidi="ar"/>
              </w:rPr>
              <w:t>一网慧治</w:t>
            </w:r>
            <w:r>
              <w:rPr>
                <w:rFonts w:ascii="Times New Roman" w:hAnsi="Times New Roman" w:eastAsia="仿宋_GB2312"/>
                <w:b/>
                <w:bCs/>
                <w:sz w:val="28"/>
                <w:szCs w:val="28"/>
                <w:lang w:bidi="ar"/>
              </w:rPr>
              <w:t>”</w:t>
            </w:r>
            <w:r>
              <w:rPr>
                <w:rFonts w:hint="eastAsia" w:ascii="Times New Roman" w:hAnsi="Times New Roman" w:eastAsia="仿宋_GB2312" w:cs="仿宋_GB2312"/>
                <w:b/>
                <w:bCs/>
                <w:sz w:val="28"/>
                <w:szCs w:val="28"/>
                <w:lang w:bidi="ar"/>
              </w:rPr>
              <w:t>运营中心。</w:t>
            </w:r>
            <w:r>
              <w:rPr>
                <w:rFonts w:hint="eastAsia" w:ascii="Times New Roman" w:hAnsi="Times New Roman" w:eastAsia="仿宋_GB2312" w:cs="仿宋_GB2312"/>
                <w:sz w:val="28"/>
                <w:szCs w:val="28"/>
                <w:lang w:bidi="ar"/>
              </w:rPr>
              <w:t>依托相关空间资源，融合分析研判、指挥调度、数字化体验等多种功能。（责任部门：怀柔区政务服务和数据管理局）</w:t>
            </w:r>
          </w:p>
          <w:p>
            <w:pPr>
              <w:spacing w:line="560" w:lineRule="exact"/>
              <w:ind w:firstLine="562" w:firstLineChars="200"/>
              <w:rPr>
                <w:rFonts w:ascii="Times New Roman" w:hAnsi="Times New Roman" w:eastAsia="仿宋_GB2312"/>
                <w:sz w:val="28"/>
                <w:szCs w:val="28"/>
                <w:lang w:bidi="ar"/>
              </w:rPr>
            </w:pPr>
            <w:r>
              <w:rPr>
                <w:rFonts w:hint="eastAsia" w:ascii="Times New Roman" w:hAnsi="Times New Roman" w:eastAsia="仿宋_GB2312"/>
                <w:b/>
                <w:bCs/>
                <w:sz w:val="28"/>
                <w:szCs w:val="28"/>
                <w:lang w:bidi="ar"/>
              </w:rPr>
              <w:t>3</w:t>
            </w:r>
            <w:r>
              <w:rPr>
                <w:rFonts w:ascii="Times New Roman" w:hAnsi="Times New Roman" w:eastAsia="仿宋_GB2312"/>
                <w:b/>
                <w:bCs/>
                <w:sz w:val="28"/>
                <w:szCs w:val="28"/>
                <w:lang w:bidi="ar"/>
              </w:rPr>
              <w:t>.</w:t>
            </w:r>
            <w:r>
              <w:rPr>
                <w:rFonts w:hint="eastAsia" w:ascii="Times New Roman" w:hAnsi="Times New Roman" w:eastAsia="仿宋_GB2312"/>
                <w:b/>
                <w:bCs/>
                <w:sz w:val="28"/>
                <w:szCs w:val="28"/>
                <w:lang w:bidi="ar"/>
              </w:rPr>
              <w:t>智慧办公</w:t>
            </w:r>
            <w:r>
              <w:rPr>
                <w:rFonts w:hint="eastAsia" w:ascii="Times New Roman" w:hAnsi="Times New Roman" w:eastAsia="仿宋_GB2312" w:cs="仿宋_GB2312"/>
                <w:b/>
                <w:bCs/>
                <w:sz w:val="28"/>
                <w:szCs w:val="28"/>
                <w:lang w:bidi="ar"/>
              </w:rPr>
              <w:t>平台。</w:t>
            </w:r>
            <w:r>
              <w:rPr>
                <w:rFonts w:hint="eastAsia" w:ascii="Times New Roman" w:hAnsi="Times New Roman" w:eastAsia="仿宋_GB2312" w:cs="仿宋_GB2312"/>
                <w:sz w:val="28"/>
                <w:szCs w:val="28"/>
                <w:lang w:bidi="ar"/>
              </w:rPr>
              <w:t>构建覆盖区、镇街、村居三级的高效能政府运行体系，推进党政内部跨部门事项协同发展，不断提升跨层级、跨部门、跨系统、跨业务协同办公管理和服务水平，推动“掌上办”，协同办公线上化无纸化建设，实现内部流程全方面优化。（责任部门：怀柔区政务服务和数据管理局）</w:t>
            </w:r>
          </w:p>
        </w:tc>
      </w:tr>
    </w:tbl>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rPr>
      </w:pPr>
      <w:bookmarkStart w:id="24" w:name="_Toc31727"/>
      <w:r>
        <w:rPr>
          <w:rFonts w:hint="eastAsia" w:ascii="Times New Roman" w:hAnsi="Times New Roman" w:eastAsia="仿宋_GB2312"/>
          <w:sz w:val="32"/>
          <w:szCs w:val="32"/>
        </w:rPr>
        <w:t>3.全面提升社会治理与城市管理的智能化水平</w:t>
      </w:r>
      <w:bookmarkEnd w:id="24"/>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完善城市运行一网统管体系。</w:t>
      </w:r>
      <w:r>
        <w:rPr>
          <w:rFonts w:hint="eastAsia" w:ascii="Times New Roman" w:hAnsi="Times New Roman" w:eastAsia="仿宋_GB2312"/>
          <w:sz w:val="32"/>
          <w:szCs w:val="32"/>
        </w:rPr>
        <w:t>在市级“一网统管”平台基础上，整合全区的数字化资源，通过与12345协同、提升感知端能力等，构建被动、主动、智能等多元化的感知能力体系。完善效能评估和优化机制，在汇聚、受理、分拨、处置基础上，完善评估和优化机制。打造城市码标识底座，统一人、组织、物体的基础身份和时空标识，开展城市码编码、发码、用码示范。</w:t>
      </w:r>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提升社会治理和应急响应的数智化水平。</w:t>
      </w:r>
      <w:r>
        <w:rPr>
          <w:rFonts w:hint="eastAsia" w:ascii="Times New Roman" w:hAnsi="Times New Roman" w:eastAsia="仿宋_GB2312"/>
          <w:sz w:val="32"/>
          <w:szCs w:val="32"/>
        </w:rPr>
        <w:t>加强大数据分析、人工智能、物联感知、卫星遥感等新技术和设施在社会治理领域的应用，通过智慧综治、智慧公安、智慧检察、卫星遥感综合监测等平台的建设和完善，强化风险预警研判能力。建立健全重点场所风险监控处置机制，推动乡镇街道、社区、城中村、养老机构等人员密集场所的风险预警能力覆盖，持续完善社会综合治安防控体系，推进平安城市建设。</w:t>
      </w:r>
      <w:r>
        <w:rPr>
          <w:rFonts w:hint="eastAsia" w:eastAsia="仿宋_GB2312"/>
          <w:color w:val="000000"/>
          <w:sz w:val="32"/>
          <w:lang w:bidi="ar"/>
        </w:rPr>
        <w:t>加快推动多级联动应急指挥视频调度系统建设，实现指挥协同“一体化”、应急联动“一键通”，强化应急大数据分析和安全生产监管等场景化应用建设，提升应急辅助决策能力和公众服务能力，实现应急管理“一张图”。</w:t>
      </w:r>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推进城市管理的“数字孪生化”。</w:t>
      </w:r>
      <w:r>
        <w:rPr>
          <w:rFonts w:hint="eastAsia" w:ascii="Times New Roman" w:hAnsi="Times New Roman" w:eastAsia="仿宋_GB2312"/>
          <w:sz w:val="32"/>
          <w:szCs w:val="32"/>
        </w:rPr>
        <w:t>基于“数字孪生”智慧城市发展理念，推进城市管理全过程数据互联共享，加快实现城市规划设计、建设实施、运行管理、监督控制的全生命周期、全要素、全方位智能化管理。</w:t>
      </w:r>
    </w:p>
    <w:tbl>
      <w:tblPr>
        <w:tblStyle w:val="2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lang w:bidi="ar"/>
              </w:rPr>
            </w:pPr>
            <w:r>
              <w:rPr>
                <w:rFonts w:hint="eastAsia" w:ascii="Times New Roman" w:hAnsi="Times New Roman" w:eastAsia="仿宋_GB2312" w:cs="仿宋_GB2312"/>
                <w:b/>
                <w:bCs/>
                <w:sz w:val="28"/>
                <w:szCs w:val="28"/>
                <w:lang w:bidi="ar"/>
              </w:rPr>
              <w:t>专栏三：社会治理和城市管理重点工程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560" w:firstLineChars="200"/>
              <w:rPr>
                <w:rFonts w:hint="eastAsia" w:ascii="Times New Roman" w:hAnsi="Times New Roman" w:eastAsia="仿宋_GB2312" w:cs="仿宋_GB2312"/>
                <w:sz w:val="28"/>
                <w:szCs w:val="28"/>
                <w:lang w:bidi="ar"/>
              </w:rPr>
            </w:pPr>
            <w:r>
              <w:rPr>
                <w:rFonts w:hint="eastAsia" w:ascii="Times New Roman" w:hAnsi="Times New Roman" w:eastAsia="仿宋_GB2312" w:cs="仿宋_GB2312"/>
                <w:sz w:val="28"/>
                <w:szCs w:val="28"/>
                <w:lang w:bidi="ar"/>
              </w:rPr>
              <w:t>1.</w:t>
            </w:r>
            <w:r>
              <w:rPr>
                <w:rFonts w:hint="eastAsia" w:ascii="Times New Roman" w:hAnsi="Times New Roman" w:eastAsia="仿宋_GB2312" w:cs="仿宋_GB2312"/>
                <w:b/>
                <w:bCs/>
                <w:sz w:val="28"/>
                <w:szCs w:val="28"/>
                <w:lang w:bidi="ar"/>
              </w:rPr>
              <w:t>一网统管提升工程。</w:t>
            </w:r>
            <w:r>
              <w:rPr>
                <w:rFonts w:hint="eastAsia" w:ascii="Times New Roman" w:hAnsi="Times New Roman" w:eastAsia="仿宋_GB2312" w:cs="仿宋_GB2312"/>
                <w:sz w:val="28"/>
                <w:szCs w:val="28"/>
                <w:lang w:bidi="ar"/>
              </w:rPr>
              <w:t>完善怀柔区一网统管体系，提升多元化的感知汇聚能力，做好一网统管平台与12345平台的协同，建设智能发现能力。提升统一评价和督导优化能力。依托公共安全、生态等领域的数字化基础，探索把相关事项纳入统管范畴。（责任部门：</w:t>
            </w:r>
            <w:r>
              <w:rPr>
                <w:rFonts w:hint="eastAsia" w:ascii="Times New Roman" w:hAnsi="Times New Roman" w:eastAsia="仿宋_GB2312"/>
                <w:color w:val="000000"/>
                <w:sz w:val="28"/>
                <w:szCs w:val="28"/>
                <w:lang w:bidi="ar"/>
              </w:rPr>
              <w:t>怀柔</w:t>
            </w:r>
            <w:r>
              <w:rPr>
                <w:rFonts w:hint="eastAsia" w:ascii="Times New Roman" w:hAnsi="Times New Roman" w:eastAsia="仿宋_GB2312"/>
                <w:sz w:val="28"/>
                <w:szCs w:val="28"/>
                <w:lang w:bidi="ar"/>
              </w:rPr>
              <w:t>区城市管理指挥中心</w:t>
            </w:r>
            <w:r>
              <w:rPr>
                <w:rFonts w:hint="eastAsia" w:ascii="Times New Roman" w:hAnsi="Times New Roman" w:eastAsia="仿宋_GB2312" w:cs="仿宋_GB2312"/>
                <w:sz w:val="28"/>
                <w:szCs w:val="28"/>
                <w:lang w:bidi="ar"/>
              </w:rPr>
              <w:t>）</w:t>
            </w:r>
          </w:p>
          <w:p>
            <w:pPr>
              <w:spacing w:line="560" w:lineRule="exact"/>
              <w:ind w:firstLine="560" w:firstLineChars="200"/>
              <w:rPr>
                <w:rFonts w:hint="eastAsia" w:ascii="Times New Roman" w:hAnsi="Times New Roman" w:eastAsia="仿宋_GB2312"/>
                <w:b/>
                <w:bCs/>
                <w:sz w:val="28"/>
                <w:szCs w:val="28"/>
                <w:lang w:bidi="ar"/>
              </w:rPr>
            </w:pPr>
            <w:r>
              <w:rPr>
                <w:rFonts w:hint="eastAsia" w:ascii="Times New Roman" w:hAnsi="Times New Roman" w:eastAsia="仿宋_GB2312"/>
                <w:sz w:val="28"/>
                <w:szCs w:val="28"/>
                <w:lang w:bidi="ar"/>
              </w:rPr>
              <w:t>2</w:t>
            </w:r>
            <w:r>
              <w:rPr>
                <w:rFonts w:ascii="Times New Roman" w:hAnsi="Times New Roman" w:eastAsia="仿宋_GB2312"/>
                <w:sz w:val="28"/>
                <w:szCs w:val="28"/>
                <w:lang w:bidi="ar"/>
              </w:rPr>
              <w:t>.</w:t>
            </w:r>
            <w:r>
              <w:rPr>
                <w:rFonts w:ascii="Times New Roman" w:hAnsi="Times New Roman" w:eastAsia="仿宋_GB2312"/>
                <w:b/>
                <w:bCs/>
                <w:sz w:val="28"/>
                <w:szCs w:val="28"/>
                <w:lang w:bidi="ar"/>
              </w:rPr>
              <w:t>怀柔区卫星遥感综合监测服务项目</w:t>
            </w:r>
            <w:r>
              <w:rPr>
                <w:rFonts w:hint="eastAsia" w:ascii="Times New Roman" w:hAnsi="Times New Roman" w:eastAsia="仿宋_GB2312" w:cs="仿宋_GB2312"/>
                <w:b/>
                <w:bCs/>
                <w:sz w:val="28"/>
                <w:szCs w:val="28"/>
                <w:lang w:bidi="ar"/>
              </w:rPr>
              <w:t>。</w:t>
            </w:r>
            <w:r>
              <w:rPr>
                <w:rFonts w:hint="eastAsia" w:ascii="Times New Roman" w:hAnsi="Times New Roman" w:eastAsia="仿宋_GB2312" w:cs="仿宋_GB2312"/>
                <w:sz w:val="28"/>
                <w:szCs w:val="28"/>
                <w:lang w:bidi="ar"/>
              </w:rPr>
              <w:t>依托空间地理信息、计算机、互联网、大数据等先进技术手段，研发建设遥感监测全周期管控系统，形成违法图斑初筛成果，面向领导提供综合展示和统计服务辅助决策分析，为区域治理提供应用支撑，实现“天上看、地上查、网上管”全流程管控体系，实现“以图管地、带图作业”两级联动管理模式。（责任部门：市规划和自然资源委员会怀柔分局）</w:t>
            </w:r>
          </w:p>
          <w:p>
            <w:pPr>
              <w:spacing w:line="560" w:lineRule="exact"/>
              <w:ind w:firstLine="562" w:firstLineChars="200"/>
              <w:rPr>
                <w:rFonts w:hint="eastAsia" w:ascii="Times New Roman" w:hAnsi="Times New Roman" w:eastAsia="仿宋_GB2312" w:cs="仿宋_GB2312"/>
                <w:sz w:val="28"/>
                <w:szCs w:val="28"/>
                <w:lang w:bidi="ar"/>
              </w:rPr>
            </w:pPr>
            <w:r>
              <w:rPr>
                <w:rFonts w:hint="eastAsia" w:ascii="Times New Roman" w:hAnsi="Times New Roman" w:eastAsia="仿宋_GB2312"/>
                <w:b/>
                <w:bCs/>
                <w:sz w:val="28"/>
                <w:szCs w:val="28"/>
                <w:lang w:bidi="ar"/>
              </w:rPr>
              <w:t>3</w:t>
            </w:r>
            <w:r>
              <w:rPr>
                <w:rFonts w:ascii="Times New Roman" w:hAnsi="Times New Roman" w:eastAsia="仿宋_GB2312"/>
                <w:b/>
                <w:bCs/>
                <w:sz w:val="28"/>
                <w:szCs w:val="28"/>
                <w:lang w:bidi="ar"/>
              </w:rPr>
              <w:t>.区应急能力提升项目</w:t>
            </w:r>
            <w:r>
              <w:rPr>
                <w:rFonts w:hint="eastAsia" w:ascii="Times New Roman" w:hAnsi="Times New Roman" w:eastAsia="仿宋_GB2312" w:cs="仿宋_GB2312"/>
                <w:b/>
                <w:bCs/>
                <w:sz w:val="28"/>
                <w:szCs w:val="28"/>
                <w:lang w:bidi="ar"/>
              </w:rPr>
              <w:t>。</w:t>
            </w:r>
            <w:r>
              <w:rPr>
                <w:rFonts w:hint="eastAsia" w:ascii="Times New Roman" w:hAnsi="Times New Roman" w:eastAsia="仿宋_GB2312" w:cs="仿宋_GB2312"/>
                <w:sz w:val="28"/>
                <w:szCs w:val="28"/>
                <w:lang w:bidi="ar"/>
              </w:rPr>
              <w:t>在乡镇街道、社区、城中村、养老机构、妇女儿童活动中心等人员密集场所，安装触控一体机，实现预警信息发布一键式操作，提升预警信息发布能力。（责任部门：怀柔区应急管理局）</w:t>
            </w:r>
          </w:p>
          <w:p>
            <w:pPr>
              <w:spacing w:line="560" w:lineRule="exact"/>
              <w:ind w:firstLine="562" w:firstLineChars="200"/>
              <w:rPr>
                <w:rFonts w:ascii="Times New Roman" w:hAnsi="Times New Roman" w:eastAsia="仿宋_GB2312"/>
                <w:sz w:val="28"/>
                <w:szCs w:val="28"/>
                <w:lang w:bidi="ar"/>
              </w:rPr>
            </w:pPr>
            <w:r>
              <w:rPr>
                <w:rFonts w:ascii="Times New Roman" w:hAnsi="Times New Roman" w:eastAsia="仿宋_GB2312"/>
                <w:b/>
                <w:bCs/>
                <w:sz w:val="28"/>
                <w:szCs w:val="28"/>
                <w:lang w:bidi="ar"/>
              </w:rPr>
              <w:t>3.怀柔区视频效能提升项目。</w:t>
            </w:r>
            <w:r>
              <w:rPr>
                <w:rFonts w:ascii="Times New Roman" w:hAnsi="Times New Roman" w:eastAsia="仿宋_GB2312"/>
                <w:sz w:val="28"/>
                <w:szCs w:val="28"/>
                <w:lang w:bidi="ar"/>
              </w:rPr>
              <w:t>提升怀柔区视频效能，加强交通智能算法与准确分析能力，扩容升级基础支撑能力，提升道路交通管理水平与智能化应用水平。（责任部门：</w:t>
            </w:r>
            <w:r>
              <w:rPr>
                <w:rFonts w:hint="eastAsia" w:ascii="Times New Roman" w:hAnsi="Times New Roman" w:eastAsia="仿宋_GB2312"/>
                <w:sz w:val="28"/>
                <w:szCs w:val="28"/>
                <w:lang w:bidi="ar"/>
              </w:rPr>
              <w:t>市公安局怀柔分</w:t>
            </w:r>
            <w:r>
              <w:rPr>
                <w:rFonts w:ascii="Times New Roman" w:hAnsi="Times New Roman" w:eastAsia="仿宋_GB2312"/>
                <w:sz w:val="28"/>
                <w:szCs w:val="28"/>
                <w:lang w:bidi="ar"/>
              </w:rPr>
              <w:t>局）</w:t>
            </w:r>
          </w:p>
          <w:p>
            <w:pPr>
              <w:spacing w:line="560" w:lineRule="exact"/>
              <w:ind w:firstLine="562" w:firstLineChars="200"/>
            </w:pPr>
            <w:r>
              <w:rPr>
                <w:rFonts w:hint="eastAsia" w:ascii="Times New Roman" w:hAnsi="Times New Roman" w:eastAsia="仿宋_GB2312"/>
                <w:b/>
                <w:bCs/>
                <w:sz w:val="28"/>
                <w:szCs w:val="28"/>
                <w:lang w:bidi="ar"/>
              </w:rPr>
              <w:t>4</w:t>
            </w:r>
            <w:r>
              <w:rPr>
                <w:rFonts w:ascii="Times New Roman" w:hAnsi="Times New Roman" w:eastAsia="仿宋_GB2312"/>
                <w:b/>
                <w:bCs/>
                <w:sz w:val="28"/>
                <w:szCs w:val="28"/>
                <w:lang w:bidi="ar"/>
              </w:rPr>
              <w:t>.怀柔区检察指挥中心数字化办案与治理平台。</w:t>
            </w:r>
            <w:r>
              <w:rPr>
                <w:rFonts w:ascii="Times New Roman" w:hAnsi="Times New Roman" w:eastAsia="仿宋_GB2312"/>
                <w:sz w:val="28"/>
                <w:szCs w:val="28"/>
                <w:lang w:bidi="ar"/>
              </w:rPr>
              <w:t>发挥检察一体化机制效能，进一步把信息技术与检察业务深度融合</w:t>
            </w:r>
            <w:r>
              <w:rPr>
                <w:rFonts w:hint="eastAsia" w:ascii="Times New Roman" w:hAnsi="Times New Roman" w:eastAsia="仿宋_GB2312"/>
                <w:sz w:val="28"/>
                <w:szCs w:val="28"/>
                <w:lang w:eastAsia="zh-CN" w:bidi="ar"/>
              </w:rPr>
              <w:t>，</w:t>
            </w:r>
            <w:r>
              <w:rPr>
                <w:rFonts w:ascii="Times New Roman" w:hAnsi="Times New Roman" w:eastAsia="仿宋_GB2312"/>
                <w:sz w:val="28"/>
                <w:szCs w:val="28"/>
                <w:lang w:bidi="ar"/>
              </w:rPr>
              <w:t>通过整合刑事、民事、行政、公益诉讼四大检察职能，对法律监督模型发现的案件实行统一管理、统筹办理、深挖线索</w:t>
            </w:r>
            <w:r>
              <w:rPr>
                <w:rFonts w:hint="eastAsia" w:ascii="Times New Roman" w:hAnsi="Times New Roman" w:eastAsia="仿宋_GB2312"/>
                <w:sz w:val="28"/>
                <w:szCs w:val="28"/>
                <w:lang w:eastAsia="zh-CN" w:bidi="ar"/>
              </w:rPr>
              <w:t>，</w:t>
            </w:r>
            <w:r>
              <w:rPr>
                <w:rFonts w:ascii="Times New Roman" w:hAnsi="Times New Roman" w:eastAsia="仿宋_GB2312"/>
                <w:sz w:val="28"/>
                <w:szCs w:val="28"/>
                <w:lang w:bidi="ar"/>
              </w:rPr>
              <w:t>推动检察履职更好地由“条线分割”“单兵作战”向“融合履职”“集成作战”转变，同步整合其他执法司法机关数据，可视化展示区域特定领域(如生态环境保护\平安民宿建设等)法治环境，监测分析发展态势和潜在风险，找出制约发展的短板，以直观科学的数据支持实现辅助决策、靶向监督。（责任部门：</w:t>
            </w:r>
            <w:r>
              <w:rPr>
                <w:rFonts w:hint="eastAsia" w:ascii="Times New Roman" w:hAnsi="Times New Roman" w:eastAsia="仿宋_GB2312"/>
                <w:sz w:val="28"/>
                <w:szCs w:val="28"/>
                <w:lang w:bidi="ar"/>
              </w:rPr>
              <w:t>怀柔区人民检察院</w:t>
            </w:r>
            <w:r>
              <w:rPr>
                <w:rFonts w:ascii="Times New Roman" w:hAnsi="Times New Roman" w:eastAsia="仿宋_GB2312"/>
                <w:sz w:val="28"/>
                <w:szCs w:val="28"/>
                <w:lang w:bidi="ar"/>
              </w:rPr>
              <w:t>）</w:t>
            </w:r>
          </w:p>
        </w:tc>
      </w:tr>
    </w:tbl>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rPr>
      </w:pPr>
      <w:bookmarkStart w:id="25" w:name="_Toc15823"/>
      <w:r>
        <w:rPr>
          <w:rFonts w:hint="eastAsia" w:ascii="Times New Roman" w:hAnsi="Times New Roman" w:eastAsia="仿宋_GB2312"/>
          <w:sz w:val="32"/>
          <w:szCs w:val="32"/>
        </w:rPr>
        <w:t>4.全面提升经济治理与市场监管的智能化水平</w:t>
      </w:r>
      <w:bookmarkEnd w:id="25"/>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强化经济监测和决策的数智化支撑。</w:t>
      </w:r>
      <w:r>
        <w:rPr>
          <w:rFonts w:hint="eastAsia" w:ascii="Times New Roman" w:hAnsi="Times New Roman" w:eastAsia="仿宋_GB2312"/>
          <w:sz w:val="32"/>
          <w:szCs w:val="32"/>
        </w:rPr>
        <w:t>提升经济发展态势感知能力，强化覆盖经济运行全周期的统计监测和综合分析能力，完善经济运行风险识别、预警感知、防范化解机制。提升对产业和重点企业的智能化监测分析、异动预警、风险画像等能力。建设辅助经济决策工具，有效预判和处理风险点，提升经济政策仿真推演能力，促进各领域经济政策有效衔接。</w:t>
      </w:r>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强化市场监管的数智化支撑。</w:t>
      </w:r>
      <w:r>
        <w:rPr>
          <w:rFonts w:hint="eastAsia" w:ascii="Times New Roman" w:hAnsi="Times New Roman" w:eastAsia="仿宋_GB2312"/>
          <w:sz w:val="32"/>
          <w:szCs w:val="32"/>
        </w:rPr>
        <w:t>加快建设贯通事前事中事后、覆盖全链条全领域，形成准入、监管、执法、服务四位一体的智慧监管体系。推动大数据、人工智能、区块链等技术应用与市场监管业务深度融合，在食品安全、特种设备监管等更多领域探索深度应用。</w:t>
      </w:r>
    </w:p>
    <w:tbl>
      <w:tblPr>
        <w:tblStyle w:val="2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lang w:bidi="ar"/>
              </w:rPr>
            </w:pPr>
            <w:r>
              <w:rPr>
                <w:rFonts w:hint="eastAsia" w:ascii="Times New Roman" w:hAnsi="Times New Roman" w:eastAsia="仿宋_GB2312" w:cs="仿宋_GB2312"/>
                <w:b/>
                <w:bCs/>
                <w:sz w:val="28"/>
                <w:szCs w:val="28"/>
                <w:lang w:bidi="ar"/>
              </w:rPr>
              <w:t>专栏四：经济治理和市场监管重点工程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560" w:firstLineChars="200"/>
              <w:rPr>
                <w:rFonts w:hint="eastAsia" w:ascii="Times New Roman" w:hAnsi="Times New Roman" w:eastAsia="仿宋_GB2312" w:cs="仿宋_GB2312"/>
                <w:sz w:val="28"/>
                <w:szCs w:val="28"/>
                <w:lang w:bidi="ar"/>
              </w:rPr>
            </w:pPr>
            <w:r>
              <w:rPr>
                <w:rFonts w:hint="eastAsia" w:ascii="Times New Roman" w:hAnsi="Times New Roman" w:eastAsia="仿宋_GB2312" w:cs="仿宋_GB2312"/>
                <w:sz w:val="28"/>
                <w:szCs w:val="28"/>
                <w:lang w:bidi="ar"/>
              </w:rPr>
              <w:t>1.</w:t>
            </w:r>
            <w:r>
              <w:rPr>
                <w:rFonts w:hint="eastAsia" w:ascii="Times New Roman" w:hAnsi="Times New Roman" w:eastAsia="仿宋_GB2312" w:cs="仿宋_GB2312"/>
                <w:b/>
                <w:bCs/>
                <w:sz w:val="28"/>
                <w:szCs w:val="28"/>
                <w:lang w:bidi="ar"/>
              </w:rPr>
              <w:t>怀柔区经济运行监测平台。</w:t>
            </w:r>
            <w:r>
              <w:rPr>
                <w:rFonts w:hint="eastAsia" w:ascii="Times New Roman" w:hAnsi="Times New Roman" w:eastAsia="仿宋_GB2312" w:cs="仿宋_GB2312"/>
                <w:sz w:val="28"/>
                <w:szCs w:val="28"/>
                <w:lang w:bidi="ar"/>
              </w:rPr>
              <w:t>重点建设经济调度总览、指标穿透及企业监测分析、企业梯次库及异动预警、企业经济画像及自动报告、经济部门共享共治等功能模块，构建基于“经济调度领域—经济指标—中观产业发展—微观企业”数据分析闭环。（责任部门：怀柔区发展和改革委员会）</w:t>
            </w:r>
          </w:p>
          <w:p>
            <w:pPr>
              <w:spacing w:line="560" w:lineRule="exact"/>
              <w:ind w:firstLine="560" w:firstLineChars="200"/>
              <w:rPr>
                <w:rFonts w:hint="eastAsia" w:ascii="Times New Roman" w:hAnsi="Times New Roman" w:eastAsia="仿宋_GB2312" w:cs="仿宋_GB2312"/>
                <w:sz w:val="28"/>
                <w:szCs w:val="28"/>
                <w:lang w:bidi="ar"/>
              </w:rPr>
            </w:pPr>
            <w:r>
              <w:rPr>
                <w:rFonts w:hint="eastAsia" w:ascii="Times New Roman" w:hAnsi="Times New Roman" w:eastAsia="仿宋_GB2312"/>
                <w:sz w:val="28"/>
                <w:szCs w:val="28"/>
                <w:lang w:bidi="ar"/>
              </w:rPr>
              <w:t>2</w:t>
            </w:r>
            <w:r>
              <w:rPr>
                <w:rFonts w:ascii="Times New Roman" w:hAnsi="Times New Roman" w:eastAsia="仿宋_GB2312"/>
                <w:sz w:val="28"/>
                <w:szCs w:val="28"/>
                <w:lang w:bidi="ar"/>
              </w:rPr>
              <w:t>.</w:t>
            </w:r>
            <w:r>
              <w:rPr>
                <w:rFonts w:hint="eastAsia" w:ascii="Times New Roman" w:hAnsi="Times New Roman" w:eastAsia="仿宋_GB2312"/>
                <w:b/>
                <w:bCs/>
                <w:sz w:val="28"/>
                <w:szCs w:val="28"/>
                <w:lang w:bidi="ar"/>
              </w:rPr>
              <w:t>智慧</w:t>
            </w:r>
            <w:r>
              <w:rPr>
                <w:rFonts w:ascii="Times New Roman" w:hAnsi="Times New Roman" w:eastAsia="仿宋_GB2312"/>
                <w:b/>
                <w:bCs/>
                <w:sz w:val="28"/>
                <w:szCs w:val="28"/>
                <w:lang w:bidi="ar"/>
              </w:rPr>
              <w:t>市监提质工程</w:t>
            </w:r>
            <w:r>
              <w:rPr>
                <w:rFonts w:hint="eastAsia" w:ascii="Times New Roman" w:hAnsi="Times New Roman" w:eastAsia="仿宋_GB2312" w:cs="仿宋_GB2312"/>
                <w:b/>
                <w:bCs/>
                <w:sz w:val="28"/>
                <w:szCs w:val="28"/>
                <w:lang w:bidi="ar"/>
              </w:rPr>
              <w:t>。</w:t>
            </w:r>
            <w:r>
              <w:rPr>
                <w:rFonts w:hint="eastAsia" w:ascii="Times New Roman" w:hAnsi="Times New Roman" w:eastAsia="仿宋_GB2312" w:cs="仿宋_GB2312"/>
                <w:sz w:val="28"/>
                <w:szCs w:val="28"/>
                <w:lang w:bidi="ar"/>
              </w:rPr>
              <w:t>运用大数据、人工智能、区块链等技术，推动食品安全、食品溯源等领域的智慧化监管能力。（责任部门：怀柔区市场监督管理局）</w:t>
            </w:r>
          </w:p>
          <w:p>
            <w:pPr>
              <w:spacing w:line="560" w:lineRule="exact"/>
              <w:ind w:firstLine="560" w:firstLineChars="200"/>
              <w:rPr>
                <w:rFonts w:hint="eastAsia" w:ascii="Times New Roman" w:hAnsi="Times New Roman" w:eastAsia="仿宋_GB2312" w:cs="仿宋_GB2312"/>
                <w:sz w:val="28"/>
                <w:szCs w:val="28"/>
                <w:lang w:bidi="ar"/>
              </w:rPr>
            </w:pPr>
            <w:r>
              <w:rPr>
                <w:rFonts w:hint="eastAsia" w:ascii="Times New Roman" w:hAnsi="Times New Roman" w:eastAsia="仿宋_GB2312"/>
                <w:sz w:val="28"/>
                <w:szCs w:val="28"/>
                <w:lang w:bidi="ar"/>
              </w:rPr>
              <w:t>3</w:t>
            </w:r>
            <w:r>
              <w:rPr>
                <w:rFonts w:ascii="Times New Roman" w:hAnsi="Times New Roman" w:eastAsia="仿宋_GB2312"/>
                <w:sz w:val="28"/>
                <w:szCs w:val="28"/>
                <w:lang w:bidi="ar"/>
              </w:rPr>
              <w:t>.</w:t>
            </w:r>
            <w:r>
              <w:rPr>
                <w:rFonts w:hint="eastAsia" w:ascii="Times New Roman" w:hAnsi="Times New Roman" w:eastAsia="仿宋_GB2312"/>
                <w:b/>
                <w:bCs/>
                <w:sz w:val="28"/>
                <w:szCs w:val="28"/>
                <w:lang w:bidi="ar"/>
              </w:rPr>
              <w:t>怀柔区智慧统计系统</w:t>
            </w:r>
            <w:r>
              <w:rPr>
                <w:rFonts w:hint="eastAsia" w:ascii="Times New Roman" w:hAnsi="Times New Roman" w:eastAsia="仿宋_GB2312" w:cs="仿宋_GB2312"/>
                <w:b/>
                <w:bCs/>
                <w:sz w:val="28"/>
                <w:szCs w:val="28"/>
                <w:lang w:bidi="ar"/>
              </w:rPr>
              <w:t>。</w:t>
            </w:r>
            <w:r>
              <w:rPr>
                <w:rFonts w:hint="eastAsia" w:ascii="Times New Roman" w:hAnsi="Times New Roman" w:eastAsia="仿宋_GB2312" w:cs="仿宋_GB2312"/>
                <w:sz w:val="28"/>
                <w:szCs w:val="28"/>
                <w:lang w:bidi="ar"/>
              </w:rPr>
              <w:t>构建智慧统计数据调查采集应用体系，深入推进大数据等信息化技术与传统数据生产方式的汇聚整合和融合应用，满足普查、常规调查、专项调查和部门统计等业务需要。（责任部门：怀柔区统计局）</w:t>
            </w:r>
          </w:p>
          <w:p>
            <w:pPr>
              <w:spacing w:line="560" w:lineRule="exact"/>
              <w:ind w:firstLine="560" w:firstLineChars="200"/>
            </w:pPr>
            <w:r>
              <w:rPr>
                <w:rFonts w:hint="eastAsia" w:ascii="Times New Roman" w:hAnsi="Times New Roman" w:eastAsia="仿宋_GB2312"/>
                <w:sz w:val="28"/>
                <w:szCs w:val="28"/>
                <w:lang w:bidi="ar"/>
              </w:rPr>
              <w:t>4</w:t>
            </w:r>
            <w:r>
              <w:rPr>
                <w:rFonts w:ascii="Times New Roman" w:hAnsi="Times New Roman" w:eastAsia="仿宋_GB2312"/>
                <w:sz w:val="28"/>
                <w:szCs w:val="28"/>
                <w:lang w:bidi="ar"/>
              </w:rPr>
              <w:t>.</w:t>
            </w:r>
            <w:r>
              <w:rPr>
                <w:rFonts w:hint="eastAsia" w:ascii="Times New Roman" w:hAnsi="Times New Roman" w:eastAsia="仿宋_GB2312"/>
                <w:b/>
                <w:bCs/>
                <w:sz w:val="28"/>
                <w:szCs w:val="28"/>
                <w:lang w:bidi="ar"/>
              </w:rPr>
              <w:t>国资国企在线监管平台</w:t>
            </w:r>
            <w:r>
              <w:rPr>
                <w:rFonts w:hint="eastAsia" w:ascii="Times New Roman" w:hAnsi="Times New Roman" w:eastAsia="仿宋_GB2312" w:cs="仿宋_GB2312"/>
                <w:b/>
                <w:bCs/>
                <w:sz w:val="28"/>
                <w:szCs w:val="28"/>
                <w:lang w:bidi="ar"/>
              </w:rPr>
              <w:t>。</w:t>
            </w:r>
            <w:r>
              <w:rPr>
                <w:rFonts w:hint="eastAsia" w:ascii="Times New Roman" w:hAnsi="Times New Roman" w:eastAsia="仿宋_GB2312" w:cs="仿宋_GB2312"/>
                <w:sz w:val="28"/>
                <w:szCs w:val="28"/>
                <w:lang w:bidi="ar"/>
              </w:rPr>
              <w:t>紧密结合国资国企改革发展实际，国资国企两端协同建设，运用云计算、大数据、人工智能等新一代信息技术构建的智慧国资监管平台实现对所属企业的实时在线监管，对“三重一大”决策﹑投资、项目、财务、产权﹑薪酬分配、大额资金流转、监督追责、内控体系、巡视巡察﹑党建、改革督办等重点业务的全覆盖监管。（责任部门：怀柔区国有资产监督管理委员会）</w:t>
            </w:r>
          </w:p>
        </w:tc>
      </w:tr>
    </w:tbl>
    <w:p>
      <w:pPr>
        <w:pStyle w:val="3"/>
        <w:spacing w:line="560" w:lineRule="exact"/>
        <w:ind w:left="0" w:right="0" w:rightChars="0" w:firstLine="640" w:firstLineChars="200"/>
        <w:rPr>
          <w:rFonts w:hint="eastAsia" w:ascii="Times New Roman" w:hAnsi="Times New Roman"/>
          <w:b w:val="0"/>
          <w:bCs w:val="0"/>
          <w:sz w:val="32"/>
          <w:szCs w:val="32"/>
        </w:rPr>
      </w:pPr>
      <w:bookmarkStart w:id="26" w:name="_Toc11156"/>
      <w:r>
        <w:rPr>
          <w:rFonts w:hint="eastAsia" w:ascii="楷体_GB2312" w:hAnsi="楷体_GB2312" w:eastAsia="楷体_GB2312" w:cs="楷体_GB2312"/>
          <w:b w:val="0"/>
          <w:bCs w:val="0"/>
          <w:sz w:val="32"/>
          <w:szCs w:val="32"/>
        </w:rPr>
        <w:t>建设京北地区特色数字经济高地</w:t>
      </w:r>
      <w:bookmarkEnd w:id="26"/>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聚焦仪器和传感器、影视文化等优势产业，以及科创、影视文化等领域的数据要素新业态，构建多层次多元化的产业发展赋能体系，加快打造京北地区特色数字经济高地。</w:t>
      </w:r>
    </w:p>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rPr>
      </w:pPr>
      <w:bookmarkStart w:id="27" w:name="_Toc1803"/>
      <w:r>
        <w:rPr>
          <w:rFonts w:ascii="Times New Roman" w:hAnsi="Times New Roman" w:eastAsia="仿宋_GB2312"/>
          <w:sz w:val="32"/>
          <w:szCs w:val="32"/>
        </w:rPr>
        <w:t>1.</w:t>
      </w:r>
      <w:r>
        <w:rPr>
          <w:rFonts w:hint="eastAsia" w:ascii="Times New Roman" w:hAnsi="Times New Roman" w:eastAsia="仿宋_GB2312"/>
          <w:sz w:val="32"/>
          <w:szCs w:val="32"/>
        </w:rPr>
        <w:t>加快建设智慧科学城</w:t>
      </w:r>
      <w:bookmarkEnd w:id="27"/>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聚焦科学、科学家、科学城三个核心要素，构建科研、产业、人才、城市建设和智慧服务中心五大业务板块，建立一套数据驱动、技术赋能的应用支撑体系。通过数字化技术，为科研成果寻找适宜应用场景，为各类场景推荐优质创新产品，加速科技成果的转化应用，缩短研发到市场的距离，促进创新主体间的紧密合作与无缝衔接，共同推动科技创新与产业升级的深度融合。</w:t>
      </w:r>
    </w:p>
    <w:tbl>
      <w:tblPr>
        <w:tblStyle w:val="2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lang w:bidi="ar"/>
              </w:rPr>
            </w:pPr>
            <w:r>
              <w:rPr>
                <w:rFonts w:hint="eastAsia" w:ascii="Times New Roman" w:hAnsi="Times New Roman" w:eastAsia="仿宋_GB2312" w:cs="仿宋_GB2312"/>
                <w:b/>
                <w:bCs/>
                <w:sz w:val="28"/>
                <w:szCs w:val="28"/>
                <w:lang w:bidi="ar"/>
              </w:rPr>
              <w:t>专栏五：科学城重点工程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560" w:firstLineChars="200"/>
              <w:rPr>
                <w:rFonts w:ascii="Times New Roman" w:hAnsi="Times New Roman" w:eastAsia="仿宋_GB2312"/>
                <w:sz w:val="28"/>
                <w:szCs w:val="28"/>
                <w:lang w:bidi="ar"/>
              </w:rPr>
            </w:pPr>
            <w:r>
              <w:rPr>
                <w:rFonts w:hint="eastAsia" w:ascii="Times New Roman" w:hAnsi="Times New Roman" w:eastAsia="仿宋_GB2312" w:cs="仿宋_GB2312"/>
                <w:sz w:val="28"/>
                <w:szCs w:val="28"/>
                <w:lang w:bidi="ar"/>
              </w:rPr>
              <w:t>1.</w:t>
            </w:r>
            <w:r>
              <w:rPr>
                <w:rFonts w:hint="eastAsia" w:ascii="Times New Roman" w:hAnsi="Times New Roman" w:eastAsia="仿宋_GB2312" w:cs="仿宋_GB2312"/>
                <w:b/>
                <w:bCs/>
                <w:sz w:val="28"/>
                <w:szCs w:val="28"/>
                <w:lang w:bidi="ar"/>
              </w:rPr>
              <w:t>智慧科学城。</w:t>
            </w:r>
            <w:r>
              <w:rPr>
                <w:rFonts w:hint="eastAsia" w:ascii="Times New Roman" w:hAnsi="Times New Roman" w:eastAsia="仿宋_GB2312" w:cs="仿宋_GB2312"/>
                <w:sz w:val="28"/>
                <w:szCs w:val="28"/>
                <w:lang w:bidi="ar"/>
              </w:rPr>
              <w:t>聚焦科学、科学家、科学城三个核心要素，构建科研、产业、人才、城市建设和智慧服务中心五大业务板块，建立一套数据驱动、技术赋能的应用支撑体系。（责任部门：怀柔科学城管委会）</w:t>
            </w:r>
          </w:p>
        </w:tc>
      </w:tr>
    </w:tbl>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rPr>
      </w:pPr>
      <w:bookmarkStart w:id="28" w:name="_Toc2434"/>
      <w:r>
        <w:rPr>
          <w:rFonts w:hint="eastAsia" w:ascii="Times New Roman" w:hAnsi="Times New Roman" w:eastAsia="仿宋_GB2312"/>
          <w:sz w:val="32"/>
          <w:szCs w:val="32"/>
        </w:rPr>
        <w:t>2.打造多层次的数字化赋能体系</w:t>
      </w:r>
      <w:bookmarkEnd w:id="28"/>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智慧化营商环境建设</w:t>
      </w:r>
      <w:r>
        <w:rPr>
          <w:rFonts w:hint="eastAsia" w:ascii="Times New Roman" w:hAnsi="Times New Roman" w:eastAsia="仿宋_GB2312"/>
          <w:sz w:val="32"/>
          <w:szCs w:val="32"/>
        </w:rPr>
        <w:t>。依托“一网通办”企业专区、涉企“一件事”、经济智慧监测平台等，为企业提供招商、开办、服务、产业研判、风险预警等全生命周期的个性化智能化服务。加强线上线下业务融合，准确评估各类惠企政策目标实现情况，推动惠企政策在线兑付和持续优化。</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多元化赋能平台建设。</w:t>
      </w:r>
      <w:r>
        <w:rPr>
          <w:rFonts w:hint="eastAsia" w:ascii="Times New Roman" w:hAnsi="Times New Roman" w:eastAsia="仿宋_GB2312"/>
          <w:sz w:val="32"/>
          <w:szCs w:val="32"/>
        </w:rPr>
        <w:t>依托智慧科学城、智慧影都、智慧会都等平台，为数字产业和相关企业提供大数据赋能，全面推动科技与产业创新的无缝衔接、跨产业联动、产业链内部协同等。依托怀柔大数据平台、科研可信数据空间、算力资源等，为数字产业的产业升级、重点企业的数字化转型等提供强大的平台保障能力。</w:t>
      </w:r>
    </w:p>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rPr>
      </w:pPr>
      <w:bookmarkStart w:id="29" w:name="_Toc31227"/>
      <w:r>
        <w:rPr>
          <w:rFonts w:hint="eastAsia" w:ascii="Times New Roman" w:hAnsi="Times New Roman" w:eastAsia="仿宋_GB2312"/>
          <w:sz w:val="32"/>
          <w:szCs w:val="32"/>
        </w:rPr>
        <w:t>3.加快怀柔特色数字产业发展</w:t>
      </w:r>
      <w:bookmarkEnd w:id="29"/>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聚焦高端仪器和传感器产业规模化发展。</w:t>
      </w:r>
      <w:r>
        <w:rPr>
          <w:rFonts w:hint="eastAsia" w:ascii="Times New Roman" w:hAnsi="Times New Roman" w:eastAsia="仿宋_GB2312"/>
          <w:sz w:val="32"/>
          <w:szCs w:val="32"/>
        </w:rPr>
        <w:t>借助科学城原始创新辐射效应，发挥头部企业产业引领优势，以头部企业需求引领创新发展方向，与科学装置的原始创新能力有机结合，促进技术产品迭代升级，提升科技成果转化效率。以政府引导基金拓宽投资渠道，吸引市场化基金、社会资本参与产业园区建设，赋予园区多元化运营模式，促进企业健康可持续发展，实现资本赋能产业发展。完善产业发展政策体系，推进高端仪器装备和传感器产业在怀集聚发展，构建具有国际影响力的产业集群。</w:t>
      </w:r>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推动影视文化等数字内容产业的高质量发展。</w:t>
      </w:r>
      <w:r>
        <w:rPr>
          <w:rFonts w:hint="eastAsia" w:ascii="Times New Roman" w:hAnsi="Times New Roman" w:eastAsia="仿宋_GB2312"/>
          <w:sz w:val="32"/>
          <w:szCs w:val="32"/>
        </w:rPr>
        <w:t>依托中国影都资源优势， 加快影视文化产品和服务的生产、传播、消费等环节数字化、网络化进程，培育区块链、边缘计算、人工智能、智能交互等数字技术应用场景，进一步提升影视文化的科技拍摄和数字制作能力，打造高端前沿的影视文化科技创新平台，培育发展新型文化业态，完善产业链，着力构建产业新增长点。围绕数字经济和服务升级，积极争取国家级影视发展政策的先行先试，完善政策扶持、项目孵化、风险投资、成果对接转化、综合服务机制，提升影视文化中小企业品牌技术水平。</w:t>
      </w:r>
    </w:p>
    <w:p>
      <w:pPr>
        <w:spacing w:line="56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推动优势产业的升级和规模化发展。提升高端软件供给能力</w:t>
      </w:r>
      <w:r>
        <w:rPr>
          <w:rFonts w:hint="eastAsia" w:ascii="Times New Roman" w:hAnsi="Times New Roman" w:eastAsia="仿宋_GB2312"/>
          <w:sz w:val="32"/>
          <w:szCs w:val="32"/>
        </w:rPr>
        <w:t>，发展面向云计算、大数据等新兴领域的操作系统、数据库，发展基于网络协同的办公软件等通用软件，研发面向金融、教育等领域的高质量行业应用软件，推进工业软件发展，形成一批面向不同工业场景的工业数据分析软件与系统，以及具有深度学习能力的工业智能软件和解决方案。</w:t>
      </w:r>
      <w:r>
        <w:rPr>
          <w:rFonts w:hint="eastAsia" w:ascii="Times New Roman" w:hAnsi="Times New Roman" w:eastAsia="仿宋_GB2312"/>
          <w:b/>
          <w:bCs/>
          <w:sz w:val="32"/>
          <w:szCs w:val="32"/>
        </w:rPr>
        <w:t>大力发展产研高度融合的新材料产业</w:t>
      </w:r>
      <w:r>
        <w:rPr>
          <w:rFonts w:hint="eastAsia" w:ascii="Times New Roman" w:hAnsi="Times New Roman" w:eastAsia="仿宋_GB2312"/>
          <w:sz w:val="32"/>
          <w:szCs w:val="32"/>
        </w:rPr>
        <w:t>，加快在新材料企业的转型升级，实现新材料产业与相关产业的融合发展，依托材料基因组研究平台、分子材料与器件研究测试平台等科学设施平台，为开展多学科深度交叉融合研究提供先进的方法和手段，助推传统产业转型升级。</w:t>
      </w:r>
      <w:r>
        <w:rPr>
          <w:rFonts w:hint="eastAsia" w:ascii="Times New Roman" w:hAnsi="Times New Roman" w:eastAsia="仿宋_GB2312"/>
          <w:b/>
          <w:bCs/>
          <w:sz w:val="32"/>
          <w:szCs w:val="32"/>
        </w:rPr>
        <w:t>全力构建引领性新能源产业格局</w:t>
      </w:r>
      <w:r>
        <w:rPr>
          <w:rFonts w:hint="eastAsia" w:ascii="Times New Roman" w:hAnsi="Times New Roman" w:eastAsia="仿宋_GB2312"/>
          <w:sz w:val="32"/>
          <w:szCs w:val="32"/>
        </w:rPr>
        <w:t>，充分发挥科学城原始创新优势，加强国家实验室与各技术平台高效联动，探索建立能源技术成果转化产业园，强化产业升级全方位赋能，借助数字化技术手段，科学谋划能源产业布局，集聚更多高新技术企业入驻，支持企业数字化转型，促进更多科技成果转化落地。</w:t>
      </w:r>
    </w:p>
    <w:p>
      <w:pPr>
        <w:pStyle w:val="4"/>
        <w:numPr>
          <w:ilvl w:val="0"/>
          <w:numId w:val="0"/>
        </w:numPr>
        <w:tabs>
          <w:tab w:val="clear" w:pos="0"/>
          <w:tab w:val="clear" w:pos="2978"/>
        </w:tabs>
        <w:spacing w:before="0" w:beforeLines="0" w:after="0" w:afterLines="0" w:line="560" w:lineRule="exact"/>
        <w:ind w:firstLine="643" w:firstLineChars="200"/>
        <w:rPr>
          <w:rFonts w:hint="eastAsia" w:ascii="Times New Roman" w:hAnsi="Times New Roman" w:eastAsia="仿宋_GB2312"/>
          <w:sz w:val="32"/>
          <w:szCs w:val="32"/>
        </w:rPr>
      </w:pPr>
      <w:bookmarkStart w:id="30" w:name="_Toc23972"/>
      <w:r>
        <w:rPr>
          <w:rFonts w:hint="eastAsia" w:ascii="Times New Roman" w:hAnsi="Times New Roman" w:eastAsia="仿宋_GB2312"/>
          <w:sz w:val="32"/>
          <w:szCs w:val="32"/>
        </w:rPr>
        <w:t>4.推进怀柔特色的数据要素价值化新业态培育</w:t>
      </w:r>
      <w:bookmarkEnd w:id="30"/>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全面提升怀柔特色的数据要素价值，</w:t>
      </w:r>
      <w:r>
        <w:rPr>
          <w:rFonts w:hint="eastAsia" w:ascii="Times New Roman" w:hAnsi="Times New Roman" w:eastAsia="仿宋_GB2312"/>
          <w:sz w:val="32"/>
          <w:szCs w:val="32"/>
        </w:rPr>
        <w:t>重点引入、培育一批科创、影视文化、会展、生态等领域的数据标注、渲染等数据清洗加工企业，聚焦数据深度采集、数字化档案加工、数据清洗和深度加工、数据标注、数据分析与可视化等数据服务，做强图像数据标注、语音数据标注、文本数据标注、视频数据标注及自动化数据标注等标识业务。</w:t>
      </w:r>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创新怀柔特色的数据要素场景应用</w:t>
      </w:r>
      <w:r>
        <w:rPr>
          <w:rFonts w:hint="eastAsia" w:ascii="Times New Roman" w:hAnsi="Times New Roman" w:eastAsia="仿宋_GB2312"/>
          <w:sz w:val="32"/>
          <w:szCs w:val="32"/>
        </w:rPr>
        <w:t>，加强政务数据、行业数据、社会数据的汇聚整合、关联分析和融合应用，通过场景化的数据开发利用、推广、创新，推动医疗、教育、交通、环保、金融、供水、供电、供气、供热等行业数据融合应用创新，激活数据活力，持续提升数据资源社会价值和经济价值。支持科学城与行业优势企业建设大数据联合创新实验室，鼓励企业和社会组织利用开放数据，开发一批典型应用，形成一批数据驱动的场景应用和解决方案，推动产业数据价值化。</w:t>
      </w:r>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依托相关数字化平台优化数据交易生态，</w:t>
      </w:r>
      <w:r>
        <w:rPr>
          <w:rFonts w:hint="eastAsia" w:ascii="Times New Roman" w:hAnsi="Times New Roman" w:eastAsia="仿宋_GB2312"/>
          <w:sz w:val="32"/>
          <w:szCs w:val="32"/>
        </w:rPr>
        <w:t>依托怀柔数据平台数据专区、科研可信数据空间等平台，围绕数据流通交易上下游产业链，引进、培育一批从事数据资源开发、服务性强的优势数据商和数据中介，加快培育数据经纪、数据资产评估、人才培训等第三方数据服务中介机构。积极探索公共数据资源开发利用，鼓励社会组织和机构建设行业性数据资源开放平台，引导企业、行业协会、科研机构、社会组织等开放数据。</w:t>
      </w:r>
    </w:p>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rPr>
      </w:pPr>
      <w:bookmarkStart w:id="31" w:name="_Toc32099"/>
      <w:r>
        <w:rPr>
          <w:rFonts w:hint="eastAsia" w:ascii="Times New Roman" w:hAnsi="Times New Roman" w:eastAsia="仿宋_GB2312"/>
          <w:sz w:val="32"/>
          <w:szCs w:val="32"/>
        </w:rPr>
        <w:t>5.加快构建高质量的产业发展载体平台</w:t>
      </w:r>
      <w:bookmarkEnd w:id="31"/>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推动怀柔数字经济产业园高质量发展，</w:t>
      </w:r>
      <w:r>
        <w:rPr>
          <w:rFonts w:hint="eastAsia" w:ascii="Times New Roman" w:hAnsi="Times New Roman" w:eastAsia="仿宋_GB2312"/>
          <w:sz w:val="32"/>
          <w:szCs w:val="32"/>
        </w:rPr>
        <w:t>围绕数字产业和总部经济的园区总体定位，重点引进文化科技类大型企业总部，数字产业领域有潜力的创新创业企业和相关上、下游企业等，全面提升产业园的综合服务和市场化运营能力。</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推进文娱直播产业园高质量发展，</w:t>
      </w:r>
      <w:r>
        <w:rPr>
          <w:rFonts w:hint="eastAsia" w:ascii="Times New Roman" w:hAnsi="Times New Roman" w:eastAsia="仿宋_GB2312"/>
          <w:sz w:val="32"/>
          <w:szCs w:val="32"/>
        </w:rPr>
        <w:t>加快园区环境改造和提升，重点吸引知名艺人工作室、网红工作室、MCN机构和直播带货公司等相关业态入驻，同时引入影视后期制作公司，搭建影视拍摄服务平台，为入驻企业提供高质量摄制服务。</w:t>
      </w:r>
    </w:p>
    <w:p>
      <w:pPr>
        <w:pStyle w:val="3"/>
        <w:spacing w:line="560" w:lineRule="exact"/>
        <w:ind w:left="0" w:right="0" w:rightChars="0" w:firstLine="640" w:firstLineChars="200"/>
        <w:rPr>
          <w:rFonts w:hint="eastAsia" w:ascii="Times New Roman" w:hAnsi="Times New Roman"/>
          <w:b w:val="0"/>
          <w:bCs w:val="0"/>
          <w:sz w:val="32"/>
          <w:szCs w:val="32"/>
        </w:rPr>
      </w:pPr>
      <w:bookmarkStart w:id="32" w:name="_Toc16419"/>
      <w:r>
        <w:rPr>
          <w:rFonts w:hint="eastAsia" w:ascii="楷体_GB2312" w:hAnsi="楷体_GB2312" w:eastAsia="楷体_GB2312" w:cs="楷体_GB2312"/>
          <w:b w:val="0"/>
          <w:bCs w:val="0"/>
          <w:sz w:val="32"/>
          <w:szCs w:val="32"/>
        </w:rPr>
        <w:t>建设普惠便捷的数字社会</w:t>
      </w:r>
      <w:bookmarkEnd w:id="32"/>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聚焦群众高频需求和“急难愁盼”问题，推进教育文化、医疗健康、社保就业、公交出行、数字消费等多场景融合，构建整体协同、高效敏捷、服务集成的便民服务新模式。</w:t>
      </w:r>
    </w:p>
    <w:p>
      <w:pPr>
        <w:pStyle w:val="4"/>
        <w:numPr>
          <w:ilvl w:val="0"/>
          <w:numId w:val="0"/>
        </w:numPr>
        <w:tabs>
          <w:tab w:val="clear" w:pos="0"/>
          <w:tab w:val="clear" w:pos="2978"/>
        </w:tabs>
        <w:spacing w:before="0" w:beforeLines="0" w:after="0" w:afterLines="0" w:line="560" w:lineRule="exact"/>
        <w:ind w:firstLine="643" w:firstLineChars="200"/>
        <w:rPr>
          <w:rFonts w:hint="eastAsia" w:ascii="Times New Roman" w:hAnsi="Times New Roman" w:eastAsia="仿宋_GB2312"/>
          <w:sz w:val="32"/>
          <w:szCs w:val="32"/>
        </w:rPr>
      </w:pPr>
      <w:bookmarkStart w:id="33" w:name="_Toc19285"/>
      <w:r>
        <w:rPr>
          <w:rFonts w:hint="eastAsia" w:ascii="Times New Roman" w:hAnsi="Times New Roman" w:eastAsia="仿宋_GB2312"/>
          <w:sz w:val="32"/>
          <w:szCs w:val="32"/>
        </w:rPr>
        <w:t>1.打造怀柔特色的智慧教育样板区</w:t>
      </w:r>
      <w:bookmarkEnd w:id="33"/>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加强数字化基础设施建设。</w:t>
      </w:r>
      <w:r>
        <w:rPr>
          <w:rFonts w:hint="eastAsia" w:ascii="Times New Roman" w:hAnsi="Times New Roman" w:eastAsia="仿宋_GB2312"/>
          <w:sz w:val="32"/>
          <w:szCs w:val="32"/>
        </w:rPr>
        <w:t>扩容教育专网出口带宽，持续推进有线网络、无线网络建设，利用互联网、移动互联网物联网等信息技术升级改造校园网络环境。完成怀柔区内学校的安全监控、物联感知和安全应急智控平台的建设、升级及改造，强化学校人员信息统计及管理，利用多种手段加大“人防”“物防”“技防”投入，提高校园安全风险防控能力。</w:t>
      </w:r>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赋能怀柔区智慧教育变革。</w:t>
      </w:r>
      <w:r>
        <w:rPr>
          <w:rFonts w:hint="eastAsia" w:ascii="Times New Roman" w:hAnsi="Times New Roman" w:eastAsia="仿宋_GB2312"/>
          <w:sz w:val="32"/>
          <w:szCs w:val="32"/>
        </w:rPr>
        <w:t>打造怀柔区智慧教育平台，为区内教育统一管理服务提供平台支撑，推动人工智能等新兴技术与学科的深度融合，推广智慧课堂应用，推进“云+端”场景化、个性化教育，提升师生信息素养，推进建设数字孪生校园。</w:t>
      </w:r>
    </w:p>
    <w:p>
      <w:pPr>
        <w:pStyle w:val="4"/>
        <w:numPr>
          <w:ilvl w:val="0"/>
          <w:numId w:val="0"/>
        </w:numPr>
        <w:tabs>
          <w:tab w:val="clear" w:pos="0"/>
          <w:tab w:val="clear" w:pos="2978"/>
        </w:tabs>
        <w:spacing w:before="0" w:beforeLines="0" w:after="0" w:afterLines="0" w:line="560" w:lineRule="exact"/>
        <w:ind w:firstLine="643" w:firstLineChars="200"/>
        <w:rPr>
          <w:rFonts w:hint="eastAsia" w:ascii="Times New Roman" w:hAnsi="Times New Roman" w:eastAsia="仿宋_GB2312"/>
          <w:sz w:val="32"/>
          <w:szCs w:val="32"/>
        </w:rPr>
      </w:pPr>
      <w:bookmarkStart w:id="34" w:name="_Toc17181"/>
      <w:r>
        <w:rPr>
          <w:rFonts w:hint="eastAsia" w:ascii="Times New Roman" w:hAnsi="Times New Roman" w:eastAsia="仿宋_GB2312"/>
          <w:sz w:val="32"/>
          <w:szCs w:val="32"/>
        </w:rPr>
        <w:t>2.推进智慧医疗体系建设</w:t>
      </w:r>
      <w:bookmarkEnd w:id="34"/>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推进各领域数智化能力的提升。</w:t>
      </w:r>
      <w:r>
        <w:rPr>
          <w:rFonts w:hint="eastAsia" w:ascii="Times New Roman" w:hAnsi="Times New Roman" w:eastAsia="仿宋_GB2312"/>
          <w:sz w:val="32"/>
          <w:szCs w:val="32"/>
        </w:rPr>
        <w:t>持续完善覆盖全区医疗卫生机构的基础网络，围绕便民、医疗、公卫、协同、监管、大数据服务等场景逐步打造智慧医疗智能化应用。再造医疗健康服务体系流程，实现便捷的智能导医导诊、医保线上付、互联网就医服务。稳步推进智慧医院的建设，建成覆盖诊前、诊中、诊后的一体化智能医疗服务系统。</w:t>
      </w:r>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推动医疗数据共享与业务协同。</w:t>
      </w:r>
      <w:r>
        <w:rPr>
          <w:rFonts w:hint="eastAsia" w:ascii="Times New Roman" w:hAnsi="Times New Roman" w:eastAsia="仿宋_GB2312"/>
          <w:sz w:val="32"/>
          <w:szCs w:val="32"/>
        </w:rPr>
        <w:t>在大数据平台内设立医疗数据专区，实现全量数据汇聚，区域数据互联互通。加强系统和资源整合，推进数据统一采集、整合共享、多方应用。重点推进医疗医保业务协同和信息共享互用，探索家庭医生签约、双向转诊、慢病管理等应用系统与医保系统的对接。健全全区居民电子健康档案和电子病历信息资源采集体系，基本实现与怀柔区人口健康信息平台的互联互通，实现跨部门、跨区域共享，助力以电子健康档案为核心的智慧医院的建设。</w:t>
      </w:r>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运用数字化技术支持基层医疗机构高质量发展。</w:t>
      </w:r>
      <w:r>
        <w:rPr>
          <w:rFonts w:hint="eastAsia" w:ascii="Times New Roman" w:hAnsi="Times New Roman" w:eastAsia="仿宋_GB2312"/>
          <w:sz w:val="32"/>
          <w:szCs w:val="32"/>
        </w:rPr>
        <w:t>提持续完善基层医疗机构的智能辅诊、中医辅诊、合理用药系统及DRG前置审方系统等的应用。完善分级诊疗制度，探索基于AI的智能分诊的逐步应用，促进优质医疗资源均衡布局和扩容下沉，形成城带乡和乡村一体的智慧医疗发展格局。</w:t>
      </w:r>
    </w:p>
    <w:tbl>
      <w:tblPr>
        <w:tblStyle w:val="2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lang w:bidi="ar"/>
              </w:rPr>
            </w:pPr>
            <w:r>
              <w:rPr>
                <w:rFonts w:hint="eastAsia" w:ascii="Times New Roman" w:hAnsi="Times New Roman" w:eastAsia="仿宋_GB2312" w:cs="仿宋_GB2312"/>
                <w:b/>
                <w:bCs/>
                <w:sz w:val="28"/>
                <w:szCs w:val="28"/>
                <w:lang w:bidi="ar"/>
              </w:rPr>
              <w:t>专栏八：数字社会重点工程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96" w:type="dxa"/>
            <w:tcBorders>
              <w:top w:val="single" w:color="auto" w:sz="4" w:space="0"/>
              <w:left w:val="single" w:color="auto" w:sz="4" w:space="0"/>
              <w:bottom w:val="single" w:color="auto" w:sz="4" w:space="0"/>
              <w:right w:val="single" w:color="auto" w:sz="4" w:space="0"/>
            </w:tcBorders>
            <w:tcMar>
              <w:top w:w="120" w:type="dxa"/>
              <w:left w:w="60" w:type="dxa"/>
              <w:bottom w:w="120" w:type="dxa"/>
              <w:right w:w="60" w:type="dxa"/>
            </w:tcMar>
          </w:tcPr>
          <w:p>
            <w:pPr>
              <w:spacing w:line="560" w:lineRule="exact"/>
              <w:ind w:firstLine="562" w:firstLineChars="200"/>
              <w:jc w:val="left"/>
              <w:rPr>
                <w:rFonts w:hint="eastAsia" w:ascii="Times New Roman" w:hAnsi="Times New Roman" w:eastAsia="仿宋_GB2312" w:cs="仿宋_GB2312"/>
                <w:color w:val="000000"/>
                <w:sz w:val="28"/>
                <w:szCs w:val="28"/>
                <w:lang w:bidi="ar"/>
              </w:rPr>
            </w:pPr>
            <w:r>
              <w:rPr>
                <w:rFonts w:ascii="Times New Roman" w:hAnsi="Times New Roman" w:eastAsia="仿宋_GB2312"/>
                <w:b/>
                <w:bCs/>
                <w:color w:val="000000"/>
                <w:sz w:val="28"/>
                <w:szCs w:val="28"/>
                <w:lang w:bidi="ar"/>
              </w:rPr>
              <w:t>1.智慧校园建设推进项目</w:t>
            </w:r>
            <w:r>
              <w:rPr>
                <w:rFonts w:hint="eastAsia" w:ascii="Times New Roman" w:hAnsi="Times New Roman" w:eastAsia="仿宋_GB2312" w:cs="仿宋_GB2312"/>
                <w:b/>
                <w:bCs/>
                <w:color w:val="000000"/>
                <w:sz w:val="28"/>
                <w:szCs w:val="28"/>
                <w:lang w:bidi="ar"/>
              </w:rPr>
              <w:t>。</w:t>
            </w:r>
            <w:r>
              <w:rPr>
                <w:rFonts w:hint="eastAsia" w:ascii="Times New Roman" w:hAnsi="Times New Roman" w:eastAsia="仿宋_GB2312" w:cs="仿宋_GB2312"/>
                <w:color w:val="000000"/>
                <w:sz w:val="28"/>
                <w:szCs w:val="28"/>
                <w:lang w:bidi="ar"/>
              </w:rPr>
              <w:t>加强数字化基础设施建设，扩容教育专网出口带宽，持续推进有线网络、无线网络建设，利用互联网、移动互联网物联网等信息技术升级改造校园网络环境。推动人工智能等新兴技术与学科的深度融合，推广智慧课堂应用，推进“云+端”场景化、个性化教育</w:t>
            </w:r>
            <w:r>
              <w:rPr>
                <w:rFonts w:hint="eastAsia" w:ascii="Times New Roman" w:hAnsi="Times New Roman" w:eastAsia="仿宋_GB2312" w:cs="仿宋_GB2312"/>
                <w:bCs/>
                <w:color w:val="000000"/>
                <w:sz w:val="28"/>
                <w:szCs w:val="28"/>
                <w:lang w:bidi="ar"/>
              </w:rPr>
              <w:t>。</w:t>
            </w:r>
            <w:r>
              <w:rPr>
                <w:rFonts w:hint="eastAsia" w:ascii="Times New Roman" w:hAnsi="Times New Roman" w:eastAsia="仿宋_GB2312" w:cs="仿宋_GB2312"/>
                <w:color w:val="000000"/>
                <w:sz w:val="28"/>
                <w:szCs w:val="28"/>
                <w:lang w:bidi="ar"/>
              </w:rPr>
              <w:t>（牵头部门：怀柔</w:t>
            </w:r>
            <w:r>
              <w:rPr>
                <w:rFonts w:hint="eastAsia" w:ascii="Times New Roman" w:hAnsi="Times New Roman" w:eastAsia="仿宋_GB2312" w:cs="仿宋_GB2312"/>
                <w:bCs/>
                <w:color w:val="000000"/>
                <w:sz w:val="28"/>
                <w:szCs w:val="28"/>
                <w:lang w:bidi="ar"/>
              </w:rPr>
              <w:t>区教育委员会</w:t>
            </w:r>
            <w:r>
              <w:rPr>
                <w:rFonts w:hint="eastAsia" w:ascii="Times New Roman" w:hAnsi="Times New Roman" w:eastAsia="仿宋_GB2312" w:cs="仿宋_GB2312"/>
                <w:color w:val="000000"/>
                <w:sz w:val="28"/>
                <w:szCs w:val="28"/>
                <w:lang w:bidi="ar"/>
              </w:rPr>
              <w:t>）</w:t>
            </w:r>
          </w:p>
          <w:p>
            <w:pPr>
              <w:spacing w:line="560" w:lineRule="exact"/>
              <w:ind w:firstLine="562" w:firstLineChars="200"/>
              <w:jc w:val="left"/>
            </w:pPr>
            <w:r>
              <w:rPr>
                <w:rFonts w:hint="eastAsia" w:ascii="Times New Roman" w:hAnsi="Times New Roman" w:eastAsia="仿宋_GB2312"/>
                <w:b/>
                <w:bCs/>
                <w:color w:val="000000"/>
                <w:sz w:val="28"/>
                <w:szCs w:val="28"/>
                <w:lang w:bidi="ar"/>
              </w:rPr>
              <w:t>2</w:t>
            </w:r>
            <w:r>
              <w:rPr>
                <w:rFonts w:ascii="Times New Roman" w:hAnsi="Times New Roman" w:eastAsia="仿宋_GB2312"/>
                <w:b/>
                <w:bCs/>
                <w:color w:val="000000"/>
                <w:sz w:val="28"/>
                <w:szCs w:val="28"/>
                <w:lang w:bidi="ar"/>
              </w:rPr>
              <w:t>.怀柔区智慧教育汇聚工程</w:t>
            </w:r>
            <w:r>
              <w:rPr>
                <w:rFonts w:hint="eastAsia" w:ascii="Times New Roman" w:hAnsi="Times New Roman" w:eastAsia="仿宋_GB2312" w:cs="仿宋_GB2312"/>
                <w:b/>
                <w:bCs/>
                <w:color w:val="000000"/>
                <w:sz w:val="28"/>
                <w:szCs w:val="28"/>
                <w:lang w:bidi="ar"/>
              </w:rPr>
              <w:t>。</w:t>
            </w:r>
            <w:r>
              <w:rPr>
                <w:rFonts w:hint="eastAsia" w:ascii="Times New Roman" w:hAnsi="Times New Roman" w:eastAsia="仿宋_GB2312" w:cs="仿宋_GB2312"/>
                <w:color w:val="000000"/>
                <w:sz w:val="28"/>
                <w:szCs w:val="28"/>
                <w:lang w:bidi="ar"/>
              </w:rPr>
              <w:t>建设统一的教育数据中心（数据中心、统一认证中心、统一工作流、数据交换及对接），建设和完善智慧管理应用、大数据应用平台和数据可视化平台。（牵头部门：怀柔</w:t>
            </w:r>
            <w:r>
              <w:rPr>
                <w:rFonts w:hint="eastAsia" w:ascii="Times New Roman" w:hAnsi="Times New Roman" w:eastAsia="仿宋_GB2312" w:cs="仿宋_GB2312"/>
                <w:bCs/>
                <w:color w:val="000000"/>
                <w:sz w:val="28"/>
                <w:szCs w:val="28"/>
                <w:lang w:bidi="ar"/>
              </w:rPr>
              <w:t>区教育委员会</w:t>
            </w:r>
            <w:r>
              <w:rPr>
                <w:rFonts w:hint="eastAsia" w:ascii="Times New Roman" w:hAnsi="Times New Roman" w:eastAsia="仿宋_GB2312" w:cs="仿宋_GB2312"/>
                <w:color w:val="000000"/>
                <w:sz w:val="28"/>
                <w:szCs w:val="28"/>
                <w:lang w:bidi="ar"/>
              </w:rPr>
              <w:t>）</w:t>
            </w:r>
          </w:p>
          <w:p>
            <w:pPr>
              <w:spacing w:line="560" w:lineRule="exact"/>
              <w:ind w:firstLine="562" w:firstLineChars="200"/>
              <w:jc w:val="left"/>
              <w:rPr>
                <w:rFonts w:hint="eastAsia" w:ascii="Times New Roman" w:hAnsi="Times New Roman" w:eastAsia="仿宋_GB2312" w:cs="仿宋_GB2312"/>
                <w:color w:val="000000"/>
                <w:sz w:val="28"/>
                <w:szCs w:val="28"/>
                <w:lang w:bidi="ar"/>
              </w:rPr>
            </w:pPr>
            <w:r>
              <w:rPr>
                <w:rFonts w:hint="eastAsia" w:ascii="Times New Roman" w:hAnsi="Times New Roman" w:eastAsia="仿宋_GB2312"/>
                <w:b/>
                <w:bCs/>
                <w:color w:val="000000"/>
                <w:sz w:val="28"/>
                <w:szCs w:val="28"/>
                <w:lang w:bidi="ar"/>
              </w:rPr>
              <w:t>3</w:t>
            </w:r>
            <w:r>
              <w:rPr>
                <w:rFonts w:ascii="Times New Roman" w:hAnsi="Times New Roman" w:eastAsia="仿宋_GB2312"/>
                <w:b/>
                <w:bCs/>
                <w:color w:val="000000"/>
                <w:sz w:val="28"/>
                <w:szCs w:val="28"/>
                <w:lang w:bidi="ar"/>
              </w:rPr>
              <w:t>.怀柔区电子病历提质工程</w:t>
            </w:r>
            <w:r>
              <w:rPr>
                <w:rFonts w:hint="eastAsia" w:ascii="Times New Roman" w:hAnsi="Times New Roman" w:eastAsia="仿宋_GB2312" w:cs="仿宋_GB2312"/>
                <w:b/>
                <w:bCs/>
                <w:color w:val="000000"/>
                <w:sz w:val="28"/>
                <w:szCs w:val="28"/>
                <w:lang w:bidi="ar"/>
              </w:rPr>
              <w:t>。</w:t>
            </w:r>
            <w:r>
              <w:rPr>
                <w:rFonts w:hint="eastAsia" w:ascii="Times New Roman" w:hAnsi="Times New Roman" w:eastAsia="仿宋_GB2312" w:cs="仿宋_GB2312"/>
                <w:color w:val="000000"/>
                <w:sz w:val="28"/>
                <w:szCs w:val="28"/>
                <w:lang w:bidi="ar"/>
              </w:rPr>
              <w:t>实现面向患者展示电子病历，支持患者进行自我健康管理，面向医生通过共享插件展示患者电子病历，提高诊疗服务的连续性，实现检查检验结果互认。（牵头部门：怀柔区卫生健康委员会）</w:t>
            </w:r>
          </w:p>
          <w:p>
            <w:pPr>
              <w:spacing w:line="560" w:lineRule="exact"/>
              <w:ind w:firstLine="562" w:firstLineChars="200"/>
              <w:jc w:val="left"/>
              <w:rPr>
                <w:rFonts w:hint="eastAsia" w:ascii="Times New Roman" w:hAnsi="Times New Roman" w:eastAsia="仿宋_GB2312" w:cs="仿宋_GB2312"/>
                <w:color w:val="000000"/>
                <w:sz w:val="28"/>
                <w:szCs w:val="28"/>
                <w:lang w:bidi="ar"/>
              </w:rPr>
            </w:pPr>
            <w:r>
              <w:rPr>
                <w:rFonts w:hint="eastAsia" w:ascii="Times New Roman" w:hAnsi="Times New Roman" w:eastAsia="仿宋_GB2312"/>
                <w:b/>
                <w:bCs/>
                <w:color w:val="000000"/>
                <w:sz w:val="28"/>
                <w:szCs w:val="28"/>
                <w:lang w:bidi="ar"/>
              </w:rPr>
              <w:t>4</w:t>
            </w:r>
            <w:r>
              <w:rPr>
                <w:rFonts w:ascii="Times New Roman" w:hAnsi="Times New Roman" w:eastAsia="仿宋_GB2312"/>
                <w:b/>
                <w:bCs/>
                <w:color w:val="000000"/>
                <w:sz w:val="28"/>
                <w:szCs w:val="28"/>
                <w:lang w:bidi="ar"/>
              </w:rPr>
              <w:t>.信用医保结算平台</w:t>
            </w:r>
            <w:r>
              <w:rPr>
                <w:rFonts w:hint="eastAsia" w:ascii="Times New Roman" w:hAnsi="Times New Roman" w:eastAsia="仿宋_GB2312" w:cs="仿宋_GB2312"/>
                <w:b/>
                <w:bCs/>
                <w:color w:val="000000"/>
                <w:sz w:val="28"/>
                <w:szCs w:val="28"/>
                <w:lang w:bidi="ar"/>
              </w:rPr>
              <w:t>。</w:t>
            </w:r>
            <w:r>
              <w:rPr>
                <w:rFonts w:hint="eastAsia" w:ascii="Times New Roman" w:hAnsi="Times New Roman" w:eastAsia="仿宋_GB2312" w:cs="仿宋_GB2312"/>
                <w:color w:val="000000"/>
                <w:sz w:val="28"/>
                <w:szCs w:val="28"/>
                <w:lang w:bidi="ar"/>
              </w:rPr>
              <w:t>为患者提供授信就医功能，患者依靠“个人信用”即可享受“先看病、后付费”便利，通过与政府、医疗机构、商业保险机构的对接，推动商保快赔、直赔在区属二三级医疗机构的全覆盖，达到“医保+商保”一站式结算的目的</w:t>
            </w:r>
            <w:r>
              <w:rPr>
                <w:rFonts w:hint="eastAsia" w:ascii="Times New Roman" w:hAnsi="Times New Roman" w:eastAsia="仿宋_GB2312" w:cs="仿宋_GB2312"/>
                <w:bCs/>
                <w:color w:val="000000"/>
                <w:sz w:val="28"/>
                <w:szCs w:val="28"/>
                <w:lang w:bidi="ar"/>
              </w:rPr>
              <w:t>。</w:t>
            </w:r>
            <w:r>
              <w:rPr>
                <w:rFonts w:hint="eastAsia" w:ascii="Times New Roman" w:hAnsi="Times New Roman" w:eastAsia="仿宋_GB2312" w:cs="仿宋_GB2312"/>
                <w:color w:val="000000"/>
                <w:sz w:val="28"/>
                <w:szCs w:val="28"/>
                <w:lang w:bidi="ar"/>
              </w:rPr>
              <w:t>（牵头部门：怀柔区医疗保障局）</w:t>
            </w:r>
          </w:p>
          <w:p>
            <w:pPr>
              <w:spacing w:line="560" w:lineRule="exact"/>
              <w:ind w:firstLine="562" w:firstLineChars="200"/>
              <w:jc w:val="left"/>
            </w:pPr>
            <w:r>
              <w:rPr>
                <w:rFonts w:hint="eastAsia" w:ascii="Times New Roman" w:hAnsi="Times New Roman" w:eastAsia="仿宋_GB2312"/>
                <w:b/>
                <w:bCs/>
                <w:color w:val="000000"/>
                <w:sz w:val="28"/>
                <w:szCs w:val="28"/>
                <w:lang w:bidi="ar"/>
              </w:rPr>
              <w:t>5.</w:t>
            </w:r>
            <w:r>
              <w:rPr>
                <w:rFonts w:ascii="Times New Roman" w:hAnsi="Times New Roman" w:eastAsia="仿宋_GB2312"/>
                <w:b/>
                <w:bCs/>
                <w:color w:val="000000"/>
                <w:sz w:val="28"/>
                <w:szCs w:val="28"/>
                <w:lang w:bidi="ar"/>
              </w:rPr>
              <w:t>怀柔区妇幼保健院能力提升项目</w:t>
            </w:r>
            <w:r>
              <w:rPr>
                <w:rFonts w:hint="eastAsia" w:ascii="Times New Roman" w:hAnsi="Times New Roman" w:eastAsia="仿宋_GB2312"/>
                <w:b/>
                <w:bCs/>
                <w:color w:val="000000"/>
                <w:sz w:val="28"/>
                <w:szCs w:val="28"/>
                <w:lang w:bidi="ar"/>
              </w:rPr>
              <w:t>。</w:t>
            </w:r>
            <w:r>
              <w:rPr>
                <w:rFonts w:hint="eastAsia" w:ascii="Times New Roman" w:hAnsi="Times New Roman" w:eastAsia="仿宋_GB2312"/>
                <w:color w:val="000000"/>
                <w:sz w:val="28"/>
                <w:szCs w:val="28"/>
                <w:lang w:bidi="ar"/>
              </w:rPr>
              <w:t>按照相应的行业建设标准进行标准化建设，全面的优化和整合医院内部的信息资源以及医院外部医联体的信息资源为患者、临床和管理服务。以信息资源为抓手，以管理手段为患者提供先进的，便捷的，人性化的医疗服务。</w:t>
            </w:r>
            <w:r>
              <w:rPr>
                <w:rFonts w:hint="eastAsia" w:ascii="Times New Roman" w:hAnsi="Times New Roman" w:eastAsia="仿宋_GB2312" w:cs="仿宋_GB2312"/>
                <w:color w:val="000000"/>
                <w:sz w:val="28"/>
                <w:szCs w:val="28"/>
                <w:lang w:bidi="ar"/>
              </w:rPr>
              <w:t>（牵头部门：怀柔区区妇幼保健院）</w:t>
            </w:r>
          </w:p>
        </w:tc>
      </w:tr>
    </w:tbl>
    <w:p>
      <w:pPr>
        <w:pStyle w:val="3"/>
        <w:spacing w:line="560" w:lineRule="exact"/>
        <w:ind w:left="0" w:right="0" w:rightChars="0" w:firstLine="640" w:firstLineChars="200"/>
        <w:rPr>
          <w:rFonts w:hint="eastAsia" w:ascii="Times New Roman" w:hAnsi="Times New Roman"/>
          <w:b w:val="0"/>
          <w:bCs w:val="0"/>
          <w:sz w:val="32"/>
          <w:szCs w:val="32"/>
        </w:rPr>
      </w:pPr>
      <w:bookmarkStart w:id="35" w:name="_Toc5278"/>
      <w:r>
        <w:rPr>
          <w:rFonts w:hint="eastAsia" w:ascii="楷体_GB2312" w:hAnsi="楷体_GB2312" w:eastAsia="楷体_GB2312" w:cs="楷体_GB2312"/>
          <w:b w:val="0"/>
          <w:bCs w:val="0"/>
          <w:sz w:val="32"/>
          <w:szCs w:val="32"/>
        </w:rPr>
        <w:t>建设文化与产业高效互动的怀柔特色数字文化</w:t>
      </w:r>
      <w:bookmarkEnd w:id="35"/>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依托怀柔在文化遗产、影视、会展、旅游等多方面的独特优势，运用大数据、人工智能等技术，重点推动</w:t>
      </w:r>
      <w:r>
        <w:rPr>
          <w:rFonts w:ascii="Times New Roman" w:hAnsi="Times New Roman" w:eastAsia="仿宋_GB2312"/>
          <w:sz w:val="32"/>
          <w:szCs w:val="32"/>
          <w:lang w:bidi="ar"/>
        </w:rPr>
        <w:t>“</w:t>
      </w:r>
      <w:r>
        <w:rPr>
          <w:rFonts w:hint="eastAsia" w:ascii="Times New Roman" w:hAnsi="Times New Roman" w:eastAsia="仿宋_GB2312"/>
          <w:sz w:val="32"/>
          <w:szCs w:val="32"/>
          <w:lang w:bidi="ar"/>
        </w:rPr>
        <w:t>影视文化</w:t>
      </w:r>
      <w:r>
        <w:rPr>
          <w:rFonts w:ascii="Times New Roman" w:hAnsi="Times New Roman" w:eastAsia="仿宋_GB2312"/>
          <w:sz w:val="32"/>
          <w:szCs w:val="32"/>
          <w:lang w:bidi="ar"/>
        </w:rPr>
        <w:t>+”“</w:t>
      </w:r>
      <w:r>
        <w:rPr>
          <w:rFonts w:hint="eastAsia" w:ascii="Times New Roman" w:hAnsi="Times New Roman" w:eastAsia="仿宋_GB2312"/>
          <w:sz w:val="32"/>
          <w:szCs w:val="32"/>
          <w:lang w:bidi="ar"/>
        </w:rPr>
        <w:t>文旅</w:t>
      </w:r>
      <w:r>
        <w:rPr>
          <w:rFonts w:ascii="Times New Roman" w:hAnsi="Times New Roman" w:eastAsia="仿宋_GB2312"/>
          <w:sz w:val="32"/>
          <w:szCs w:val="32"/>
          <w:lang w:bidi="ar"/>
        </w:rPr>
        <w:t>+”</w:t>
      </w:r>
      <w:r>
        <w:rPr>
          <w:rFonts w:hint="eastAsia" w:ascii="Times New Roman" w:hAnsi="Times New Roman" w:eastAsia="仿宋_GB2312"/>
          <w:sz w:val="32"/>
          <w:szCs w:val="32"/>
          <w:lang w:bidi="ar"/>
        </w:rPr>
        <w:t>等文化与产业高效互动领域的发展，全面推动文化消费和产业发展，打造怀柔特色的数字文化发展新格局</w:t>
      </w:r>
      <w:r>
        <w:rPr>
          <w:rFonts w:hint="eastAsia" w:ascii="Times New Roman" w:hAnsi="Times New Roman" w:eastAsia="仿宋_GB2312"/>
          <w:sz w:val="32"/>
          <w:szCs w:val="32"/>
        </w:rPr>
        <w:t>。</w:t>
      </w:r>
    </w:p>
    <w:p>
      <w:pPr>
        <w:pStyle w:val="4"/>
        <w:numPr>
          <w:ilvl w:val="0"/>
          <w:numId w:val="0"/>
        </w:numPr>
        <w:tabs>
          <w:tab w:val="clear" w:pos="0"/>
          <w:tab w:val="clear" w:pos="2978"/>
        </w:tabs>
        <w:spacing w:before="0" w:beforeLines="0" w:after="0" w:afterLines="0" w:line="560" w:lineRule="exact"/>
        <w:ind w:firstLine="643" w:firstLineChars="200"/>
        <w:rPr>
          <w:rFonts w:hint="eastAsia" w:ascii="Times New Roman" w:hAnsi="Times New Roman" w:eastAsia="仿宋_GB2312"/>
          <w:sz w:val="32"/>
          <w:szCs w:val="32"/>
        </w:rPr>
      </w:pPr>
      <w:bookmarkStart w:id="36" w:name="_Toc9915"/>
      <w:r>
        <w:rPr>
          <w:rFonts w:hint="eastAsia" w:ascii="Times New Roman" w:hAnsi="Times New Roman" w:eastAsia="仿宋_GB2312"/>
          <w:sz w:val="32"/>
          <w:szCs w:val="32"/>
        </w:rPr>
        <w:t>1.加强文化事业发展</w:t>
      </w:r>
      <w:bookmarkEnd w:id="36"/>
    </w:p>
    <w:p>
      <w:pPr>
        <w:spacing w:line="560" w:lineRule="exact"/>
        <w:ind w:firstLine="643" w:firstLineChars="200"/>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全面提升文化事业数字化服务能力。</w:t>
      </w:r>
      <w:r>
        <w:rPr>
          <w:rFonts w:hint="eastAsia" w:ascii="Times New Roman" w:hAnsi="Times New Roman" w:eastAsia="仿宋_GB2312"/>
          <w:sz w:val="32"/>
          <w:szCs w:val="32"/>
          <w:lang w:bidi="ar"/>
        </w:rPr>
        <w:t>推动怀柔区各级公共文化机构加强数字文化资源建设，打造智慧便捷的便民文化生活圈，推进智慧图书馆、智慧博物馆、智慧文化馆等重点场景建设，构建“线上+线下”融合的文化服务体系。</w:t>
      </w:r>
    </w:p>
    <w:p>
      <w:pPr>
        <w:spacing w:line="560" w:lineRule="exact"/>
        <w:ind w:firstLine="643" w:firstLineChars="200"/>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强化数字化赋能文化遗产保护与传承。</w:t>
      </w:r>
      <w:r>
        <w:rPr>
          <w:rFonts w:hint="eastAsia" w:ascii="Times New Roman" w:hAnsi="Times New Roman" w:eastAsia="仿宋_GB2312"/>
          <w:sz w:val="32"/>
          <w:szCs w:val="32"/>
          <w:lang w:bidi="ar"/>
        </w:rPr>
        <w:t>利用三维扫描、无人机航拍等先进技术，对区内重要的历史遗迹、文物古迹进行高精度的数字化记录和建模，确保文化遗产的永久保存。开发基于增强现实（AR）、虚拟现实（VR）技术的文化体验产品，如历史场景再现、古代生活模拟等，使观众在娱乐中学习到更多的历史文化知识。</w:t>
      </w:r>
    </w:p>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rPr>
      </w:pPr>
      <w:bookmarkStart w:id="37" w:name="_Toc2291"/>
      <w:r>
        <w:rPr>
          <w:rFonts w:hint="eastAsia" w:ascii="Times New Roman" w:hAnsi="Times New Roman" w:eastAsia="仿宋_GB2312"/>
          <w:sz w:val="32"/>
          <w:szCs w:val="32"/>
        </w:rPr>
        <w:t>2.数智化赋能影都高质量发展</w:t>
      </w:r>
      <w:bookmarkEnd w:id="37"/>
    </w:p>
    <w:p>
      <w:pPr>
        <w:spacing w:line="560" w:lineRule="exact"/>
        <w:ind w:firstLine="643" w:firstLineChars="200"/>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加快建设多元汇聚多功能融合的智慧影都平台</w:t>
      </w:r>
      <w:r>
        <w:rPr>
          <w:rFonts w:hint="eastAsia" w:ascii="Times New Roman" w:hAnsi="Times New Roman" w:eastAsia="仿宋_GB2312"/>
          <w:sz w:val="32"/>
          <w:szCs w:val="32"/>
          <w:lang w:bidi="ar"/>
        </w:rPr>
        <w:t>。构建一体化的治理、产业发展、服务等多功能平台，整合文旅局、文化产业发展促进中心、杨宋镇等相关系统和数据，推动治理、招商、服务等业务协同，推动治理、服务、数据要素价值化等多层面的创新。</w:t>
      </w:r>
    </w:p>
    <w:p>
      <w:pPr>
        <w:spacing w:line="560" w:lineRule="exact"/>
        <w:ind w:firstLine="643" w:firstLineChars="200"/>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重点培育高质量的“影视文化+”生态链</w:t>
      </w:r>
      <w:r>
        <w:rPr>
          <w:rFonts w:hint="eastAsia" w:ascii="Times New Roman" w:hAnsi="Times New Roman" w:eastAsia="仿宋_GB2312"/>
          <w:sz w:val="32"/>
          <w:szCs w:val="32"/>
          <w:lang w:bidi="ar"/>
        </w:rPr>
        <w:t>。通过建设数字化影视制作基地、引进高端影视技术、培育影视产业链上下游企业，形成集影视创作、拍摄、制作、发行于一体的全产业链生态圈，推动怀柔区成为国内外影视产业的重要集聚地。建设影都特色的科影融合创新中心和怀柔科学城创新创意孵化基地，提高自主创新能力。构建高质量发展的“影视文化+”产业体系，推动影视文化产业与科技、旅游等产业的高水平、深层次、宽领域融合发展，持续深化影视之都品牌效应，规划建设具有特色的影视文化创意产业园区，提高专业人才集聚和服务保障能力，形成中国影都核心小镇区域。</w:t>
      </w:r>
    </w:p>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rPr>
      </w:pPr>
      <w:bookmarkStart w:id="38" w:name="_Toc21327"/>
      <w:r>
        <w:rPr>
          <w:rFonts w:hint="eastAsia" w:ascii="Times New Roman" w:hAnsi="Times New Roman" w:eastAsia="仿宋_GB2312"/>
          <w:sz w:val="32"/>
          <w:szCs w:val="32"/>
        </w:rPr>
        <w:t>3.推动数智化文旅新业态新模式创新</w:t>
      </w:r>
      <w:bookmarkEnd w:id="38"/>
    </w:p>
    <w:p>
      <w:pPr>
        <w:spacing w:line="560" w:lineRule="exact"/>
        <w:ind w:firstLine="643" w:firstLineChars="200"/>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推动智慧文旅建设。</w:t>
      </w:r>
      <w:r>
        <w:rPr>
          <w:rFonts w:hint="eastAsia" w:ascii="Times New Roman" w:hAnsi="Times New Roman" w:eastAsia="仿宋_GB2312"/>
          <w:sz w:val="32"/>
          <w:szCs w:val="32"/>
          <w:lang w:bidi="ar"/>
        </w:rPr>
        <w:t>提升旅游景区智能化基础设施、完善智慧旅游景区管理体系，整合旅游资源、优化旅游服务、提升旅游体验，实现景区智能化管理，为广大游客提供个性化、便捷化的旅游服务。采取数字媒体技术、虚拟现实和增强现实等手段，新建和整合提升一批具有怀柔特色的体验场景，持续沉淀文旅数据资源。</w:t>
      </w:r>
    </w:p>
    <w:p>
      <w:pPr>
        <w:spacing w:line="560" w:lineRule="exact"/>
        <w:ind w:firstLine="643" w:firstLineChars="200"/>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推动文旅产业的转型升级。</w:t>
      </w:r>
      <w:r>
        <w:rPr>
          <w:rFonts w:hint="eastAsia" w:ascii="Times New Roman" w:hAnsi="Times New Roman" w:eastAsia="仿宋_GB2312"/>
          <w:sz w:val="32"/>
          <w:szCs w:val="32"/>
          <w:lang w:bidi="ar"/>
        </w:rPr>
        <w:t>依托怀柔科学城、国际会都等资源，推动文旅与教育、体育、生态等领域的深度融合，构建“文旅+”“+文旅”产业发展体系，打造文旅产业新格局新业态。通过线上线下一体化、IP与产业全面融合等方式，不断创造数字文化消费新场景，引领消费潮流，推动怀柔区文旅产业的高质量发展。</w:t>
      </w:r>
    </w:p>
    <w:tbl>
      <w:tblPr>
        <w:tblStyle w:val="2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lang w:bidi="ar"/>
              </w:rPr>
            </w:pPr>
            <w:r>
              <w:rPr>
                <w:rFonts w:hint="eastAsia" w:ascii="Times New Roman" w:hAnsi="Times New Roman" w:eastAsia="仿宋_GB2312" w:cs="仿宋_GB2312"/>
                <w:b/>
                <w:bCs/>
                <w:sz w:val="28"/>
                <w:szCs w:val="28"/>
                <w:lang w:bidi="ar"/>
              </w:rPr>
              <w:t>专栏九：数字文化重点工程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96" w:type="dxa"/>
            <w:tcBorders>
              <w:top w:val="single" w:color="auto" w:sz="4" w:space="0"/>
              <w:left w:val="single" w:color="auto" w:sz="4" w:space="0"/>
              <w:bottom w:val="single" w:color="auto" w:sz="4" w:space="0"/>
              <w:right w:val="single" w:color="auto" w:sz="4" w:space="0"/>
            </w:tcBorders>
            <w:tcMar>
              <w:top w:w="120" w:type="dxa"/>
              <w:left w:w="60" w:type="dxa"/>
              <w:bottom w:w="120" w:type="dxa"/>
              <w:right w:w="60" w:type="dxa"/>
            </w:tcMar>
          </w:tcPr>
          <w:p>
            <w:pPr>
              <w:spacing w:line="560" w:lineRule="exact"/>
              <w:ind w:firstLine="562" w:firstLineChars="200"/>
              <w:jc w:val="left"/>
              <w:rPr>
                <w:rFonts w:hint="eastAsia" w:ascii="Times New Roman" w:hAnsi="Times New Roman" w:eastAsia="仿宋_GB2312" w:cs="仿宋_GB2312"/>
                <w:color w:val="000000"/>
                <w:sz w:val="28"/>
                <w:szCs w:val="28"/>
                <w:lang w:bidi="ar"/>
              </w:rPr>
            </w:pPr>
            <w:r>
              <w:rPr>
                <w:rFonts w:ascii="Times New Roman" w:hAnsi="Times New Roman" w:eastAsia="仿宋_GB2312"/>
                <w:b/>
                <w:bCs/>
                <w:color w:val="000000"/>
                <w:sz w:val="28"/>
                <w:szCs w:val="28"/>
                <w:lang w:bidi="ar"/>
              </w:rPr>
              <w:t>1.</w:t>
            </w:r>
            <w:r>
              <w:rPr>
                <w:rFonts w:hint="eastAsia" w:ascii="Times New Roman" w:hAnsi="Times New Roman" w:eastAsia="仿宋_GB2312"/>
                <w:b/>
                <w:bCs/>
                <w:color w:val="000000"/>
                <w:sz w:val="28"/>
                <w:szCs w:val="28"/>
                <w:lang w:bidi="ar"/>
              </w:rPr>
              <w:t>智慧影都</w:t>
            </w:r>
            <w:r>
              <w:rPr>
                <w:rFonts w:hint="eastAsia" w:ascii="Times New Roman" w:hAnsi="Times New Roman" w:eastAsia="仿宋_GB2312" w:cs="仿宋_GB2312"/>
                <w:b/>
                <w:bCs/>
                <w:color w:val="000000"/>
                <w:sz w:val="28"/>
                <w:szCs w:val="28"/>
                <w:lang w:bidi="ar"/>
              </w:rPr>
              <w:t>。</w:t>
            </w:r>
            <w:r>
              <w:rPr>
                <w:rFonts w:hint="eastAsia" w:ascii="Times New Roman" w:hAnsi="Times New Roman" w:eastAsia="仿宋_GB2312" w:cs="仿宋_GB2312"/>
                <w:color w:val="000000"/>
                <w:sz w:val="28"/>
                <w:szCs w:val="28"/>
                <w:lang w:bidi="ar"/>
              </w:rPr>
              <w:t>构建一体化的治理、产业发展、服务等多功能平台，整合文旅局、文化产业发展促进中心、杨宋镇等相关系统和数据，推动治理、招商、服务等业务协同，推动治理、服务、数据要素价值化等多层面的创新</w:t>
            </w:r>
            <w:r>
              <w:rPr>
                <w:rFonts w:hint="eastAsia" w:ascii="Times New Roman" w:hAnsi="Times New Roman" w:eastAsia="仿宋_GB2312" w:cs="仿宋_GB2312"/>
                <w:bCs/>
                <w:color w:val="000000"/>
                <w:sz w:val="28"/>
                <w:szCs w:val="28"/>
                <w:lang w:bidi="ar"/>
              </w:rPr>
              <w:t>。</w:t>
            </w:r>
            <w:r>
              <w:rPr>
                <w:rFonts w:hint="eastAsia" w:ascii="Times New Roman" w:hAnsi="Times New Roman" w:eastAsia="仿宋_GB2312" w:cs="仿宋_GB2312"/>
                <w:color w:val="000000"/>
                <w:sz w:val="28"/>
                <w:szCs w:val="28"/>
                <w:lang w:bidi="ar"/>
              </w:rPr>
              <w:t>（牵头部门：</w:t>
            </w:r>
            <w:r>
              <w:rPr>
                <w:rFonts w:hint="eastAsia" w:ascii="Times New Roman" w:hAnsi="Times New Roman" w:eastAsia="仿宋_GB2312"/>
                <w:sz w:val="28"/>
                <w:szCs w:val="28"/>
                <w:lang w:bidi="ar"/>
              </w:rPr>
              <w:t>怀柔区文化和旅游局</w:t>
            </w:r>
            <w:r>
              <w:rPr>
                <w:rFonts w:hint="eastAsia" w:ascii="Times New Roman" w:hAnsi="Times New Roman" w:eastAsia="仿宋_GB2312" w:cs="仿宋_GB2312"/>
                <w:color w:val="000000"/>
                <w:sz w:val="28"/>
                <w:szCs w:val="28"/>
                <w:lang w:bidi="ar"/>
              </w:rPr>
              <w:t>）</w:t>
            </w:r>
          </w:p>
          <w:p>
            <w:pPr>
              <w:spacing w:line="560" w:lineRule="exact"/>
              <w:ind w:firstLine="562" w:firstLineChars="200"/>
              <w:jc w:val="left"/>
            </w:pPr>
            <w:r>
              <w:rPr>
                <w:rFonts w:hint="eastAsia" w:ascii="Times New Roman" w:hAnsi="Times New Roman" w:eastAsia="仿宋_GB2312"/>
                <w:b/>
                <w:bCs/>
                <w:color w:val="000000"/>
                <w:sz w:val="28"/>
                <w:szCs w:val="28"/>
                <w:lang w:bidi="ar"/>
              </w:rPr>
              <w:t>2</w:t>
            </w:r>
            <w:r>
              <w:rPr>
                <w:rFonts w:ascii="Times New Roman" w:hAnsi="Times New Roman" w:eastAsia="仿宋_GB2312"/>
                <w:b/>
                <w:bCs/>
                <w:color w:val="000000"/>
                <w:sz w:val="28"/>
                <w:szCs w:val="28"/>
                <w:lang w:bidi="ar"/>
              </w:rPr>
              <w:t>.</w:t>
            </w:r>
            <w:r>
              <w:rPr>
                <w:rFonts w:hint="eastAsia" w:ascii="Times New Roman" w:hAnsi="Times New Roman" w:eastAsia="仿宋_GB2312"/>
                <w:b/>
                <w:bCs/>
                <w:color w:val="000000"/>
                <w:sz w:val="28"/>
                <w:szCs w:val="28"/>
                <w:lang w:bidi="ar"/>
              </w:rPr>
              <w:t>智慧会都</w:t>
            </w:r>
            <w:r>
              <w:rPr>
                <w:rFonts w:hint="eastAsia" w:ascii="Times New Roman" w:hAnsi="Times New Roman" w:eastAsia="仿宋_GB2312" w:cs="仿宋_GB2312"/>
                <w:b/>
                <w:bCs/>
                <w:color w:val="000000"/>
                <w:sz w:val="28"/>
                <w:szCs w:val="28"/>
                <w:lang w:bidi="ar"/>
              </w:rPr>
              <w:t>。</w:t>
            </w:r>
            <w:r>
              <w:rPr>
                <w:rFonts w:hint="eastAsia" w:ascii="Times New Roman" w:hAnsi="Times New Roman" w:eastAsia="仿宋_GB2312" w:cs="仿宋_GB2312"/>
                <w:color w:val="000000"/>
                <w:sz w:val="28"/>
                <w:szCs w:val="28"/>
                <w:lang w:bidi="ar"/>
              </w:rPr>
              <w:t>构建一体化的治理和服务平台，整合文旅局、雁栖湖国际会展中心、怀北镇等相关的系统和数据，推动治理、招商、服务等业务协同，推动治理、服务、数据要素价值化等多层面的创新。（牵头部门：</w:t>
            </w:r>
            <w:r>
              <w:rPr>
                <w:rFonts w:hint="eastAsia" w:ascii="Times New Roman" w:hAnsi="Times New Roman" w:eastAsia="仿宋_GB2312"/>
                <w:sz w:val="28"/>
                <w:szCs w:val="28"/>
                <w:lang w:bidi="ar"/>
              </w:rPr>
              <w:t>怀柔区文化和旅游局</w:t>
            </w:r>
            <w:r>
              <w:rPr>
                <w:rFonts w:hint="eastAsia" w:ascii="Times New Roman" w:hAnsi="Times New Roman" w:eastAsia="仿宋_GB2312" w:cs="仿宋_GB2312"/>
                <w:color w:val="000000"/>
                <w:sz w:val="28"/>
                <w:szCs w:val="28"/>
                <w:lang w:bidi="ar"/>
              </w:rPr>
              <w:t>）</w:t>
            </w:r>
          </w:p>
          <w:p>
            <w:pPr>
              <w:spacing w:line="560" w:lineRule="exact"/>
              <w:ind w:firstLine="562" w:firstLineChars="200"/>
              <w:jc w:val="left"/>
              <w:rPr>
                <w:rFonts w:hint="eastAsia" w:ascii="Times New Roman" w:hAnsi="Times New Roman" w:eastAsia="仿宋_GB2312" w:cs="仿宋_GB2312"/>
                <w:color w:val="000000"/>
                <w:sz w:val="28"/>
                <w:szCs w:val="28"/>
                <w:lang w:bidi="ar"/>
              </w:rPr>
            </w:pPr>
            <w:r>
              <w:rPr>
                <w:rFonts w:hint="eastAsia" w:ascii="Times New Roman" w:hAnsi="Times New Roman" w:eastAsia="仿宋_GB2312"/>
                <w:b/>
                <w:bCs/>
                <w:color w:val="000000"/>
                <w:sz w:val="28"/>
                <w:szCs w:val="28"/>
                <w:lang w:bidi="ar"/>
              </w:rPr>
              <w:t>3</w:t>
            </w:r>
            <w:r>
              <w:rPr>
                <w:rFonts w:ascii="Times New Roman" w:hAnsi="Times New Roman" w:eastAsia="仿宋_GB2312"/>
                <w:b/>
                <w:bCs/>
                <w:color w:val="000000"/>
                <w:sz w:val="28"/>
                <w:szCs w:val="28"/>
                <w:lang w:bidi="ar"/>
              </w:rPr>
              <w:t>.怀柔融媒提质工程</w:t>
            </w:r>
            <w:r>
              <w:rPr>
                <w:rFonts w:hint="eastAsia" w:ascii="Times New Roman" w:hAnsi="Times New Roman" w:eastAsia="仿宋_GB2312" w:cs="仿宋_GB2312"/>
                <w:b/>
                <w:bCs/>
                <w:color w:val="000000"/>
                <w:sz w:val="28"/>
                <w:szCs w:val="28"/>
                <w:lang w:bidi="ar"/>
              </w:rPr>
              <w:t>。</w:t>
            </w:r>
            <w:r>
              <w:rPr>
                <w:rFonts w:hint="eastAsia" w:ascii="Times New Roman" w:hAnsi="Times New Roman" w:eastAsia="仿宋_GB2312" w:cs="仿宋_GB2312"/>
                <w:color w:val="000000"/>
                <w:sz w:val="28"/>
                <w:szCs w:val="28"/>
                <w:lang w:bidi="ar"/>
              </w:rPr>
              <w:t>采用云计算、大数据、网络化、智能化、网络安全技术，实现传统媒体及新媒体的深度融合。贯彻落实《全国应急广播体系建设总体规划》建设指导意见，按照统一化、平台建设基层化、终端部署多样化的要求，依托怀柔区基础环境资源，建立怀柔区区级应急广播系统。（牵头部门：怀柔区融媒体中心）</w:t>
            </w:r>
          </w:p>
          <w:p>
            <w:pPr>
              <w:spacing w:line="560" w:lineRule="exact"/>
              <w:ind w:firstLine="562" w:firstLineChars="200"/>
              <w:jc w:val="left"/>
            </w:pPr>
            <w:r>
              <w:rPr>
                <w:rFonts w:hint="eastAsia" w:ascii="Times New Roman" w:hAnsi="Times New Roman" w:eastAsia="仿宋_GB2312"/>
                <w:b/>
                <w:bCs/>
                <w:color w:val="000000"/>
                <w:sz w:val="28"/>
                <w:szCs w:val="28"/>
                <w:lang w:bidi="ar"/>
              </w:rPr>
              <w:t>4</w:t>
            </w:r>
            <w:r>
              <w:rPr>
                <w:rFonts w:ascii="Times New Roman" w:hAnsi="Times New Roman" w:eastAsia="仿宋_GB2312"/>
                <w:b/>
                <w:bCs/>
                <w:color w:val="000000"/>
                <w:sz w:val="28"/>
                <w:szCs w:val="28"/>
                <w:lang w:bidi="ar"/>
              </w:rPr>
              <w:t>.景点安防服务项目</w:t>
            </w:r>
            <w:r>
              <w:rPr>
                <w:rFonts w:hint="eastAsia" w:ascii="Times New Roman" w:hAnsi="Times New Roman" w:eastAsia="仿宋_GB2312" w:cs="仿宋_GB2312"/>
                <w:b/>
                <w:bCs/>
                <w:color w:val="000000"/>
                <w:sz w:val="28"/>
                <w:szCs w:val="28"/>
                <w:lang w:bidi="ar"/>
              </w:rPr>
              <w:t>。</w:t>
            </w:r>
            <w:r>
              <w:rPr>
                <w:rFonts w:hint="eastAsia" w:ascii="Times New Roman" w:hAnsi="Times New Roman" w:eastAsia="仿宋_GB2312" w:cs="仿宋_GB2312"/>
                <w:color w:val="000000"/>
                <w:sz w:val="28"/>
                <w:szCs w:val="28"/>
                <w:lang w:bidi="ar"/>
              </w:rPr>
              <w:t>建设一体化安防监控平台，集成高清视频监控、智能门禁、电子围栏等系统，实现对景区出入口、重要景点、人员密集区域的实时监控与预警。同时，利用大数据分析技术，对人流密度、游客行为进行智能分析，及时发现异常情况并自动报警。此外，配备应急指挥系统，确保在突发事件发生时能够快速响应和高效处置，保障游客安全，提升景区管理的精细化和智能化水平</w:t>
            </w:r>
            <w:r>
              <w:rPr>
                <w:rFonts w:hint="eastAsia" w:ascii="Times New Roman" w:hAnsi="Times New Roman" w:eastAsia="仿宋_GB2312" w:cs="仿宋_GB2312"/>
                <w:bCs/>
                <w:color w:val="000000"/>
                <w:sz w:val="28"/>
                <w:szCs w:val="28"/>
                <w:lang w:bidi="ar"/>
              </w:rPr>
              <w:t>。</w:t>
            </w:r>
            <w:r>
              <w:rPr>
                <w:rFonts w:hint="eastAsia" w:ascii="Times New Roman" w:hAnsi="Times New Roman" w:eastAsia="仿宋_GB2312" w:cs="仿宋_GB2312"/>
                <w:color w:val="000000"/>
                <w:sz w:val="28"/>
                <w:szCs w:val="28"/>
                <w:lang w:bidi="ar"/>
              </w:rPr>
              <w:t>（牵头部门：</w:t>
            </w:r>
            <w:r>
              <w:rPr>
                <w:rFonts w:hint="eastAsia" w:ascii="Times New Roman" w:hAnsi="Times New Roman" w:eastAsia="仿宋_GB2312"/>
                <w:sz w:val="28"/>
                <w:szCs w:val="28"/>
                <w:lang w:bidi="ar"/>
              </w:rPr>
              <w:t>怀柔区文化和旅游局</w:t>
            </w:r>
            <w:r>
              <w:rPr>
                <w:rFonts w:hint="eastAsia" w:ascii="Times New Roman" w:hAnsi="Times New Roman" w:eastAsia="仿宋_GB2312" w:cs="仿宋_GB2312"/>
                <w:color w:val="000000"/>
                <w:sz w:val="28"/>
                <w:szCs w:val="28"/>
                <w:lang w:bidi="ar"/>
              </w:rPr>
              <w:t>）</w:t>
            </w:r>
          </w:p>
        </w:tc>
      </w:tr>
    </w:tbl>
    <w:p>
      <w:pPr>
        <w:pStyle w:val="3"/>
        <w:spacing w:line="560" w:lineRule="exact"/>
        <w:ind w:left="0" w:right="0" w:rightChars="0" w:firstLine="640" w:firstLineChars="200"/>
        <w:rPr>
          <w:rFonts w:hint="eastAsia" w:ascii="Times New Roman" w:hAnsi="Times New Roman"/>
          <w:b w:val="0"/>
          <w:bCs w:val="0"/>
          <w:sz w:val="32"/>
          <w:szCs w:val="32"/>
        </w:rPr>
      </w:pPr>
      <w:bookmarkStart w:id="39" w:name="_Toc12576"/>
      <w:r>
        <w:rPr>
          <w:rFonts w:hint="eastAsia" w:ascii="楷体_GB2312" w:hAnsi="楷体_GB2312" w:eastAsia="楷体_GB2312" w:cs="楷体_GB2312"/>
          <w:b w:val="0"/>
          <w:bCs w:val="0"/>
          <w:sz w:val="32"/>
          <w:szCs w:val="32"/>
        </w:rPr>
        <w:t>建设一体化的怀柔特色数字生态文明</w:t>
      </w:r>
      <w:bookmarkEnd w:id="39"/>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按照“打造全国一体化生态治理高地”的要求，构建跨部门跨层级跨系统的全区智能生态环保监测一张网，加强山水林田湖草一体化保护，形成怀柔特色的数字生态文明发展新格局。</w:t>
      </w:r>
    </w:p>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rPr>
      </w:pPr>
      <w:bookmarkStart w:id="40" w:name="_Toc28971"/>
      <w:r>
        <w:rPr>
          <w:rFonts w:hint="eastAsia" w:ascii="Times New Roman" w:hAnsi="Times New Roman" w:eastAsia="仿宋_GB2312"/>
          <w:sz w:val="32"/>
          <w:szCs w:val="32"/>
        </w:rPr>
        <w:t>1.加快建设一体化的智慧生态治理体系</w:t>
      </w:r>
      <w:bookmarkEnd w:id="40"/>
    </w:p>
    <w:p>
      <w:pPr>
        <w:spacing w:line="560" w:lineRule="exact"/>
        <w:ind w:firstLine="643" w:firstLineChars="200"/>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建设一体化智慧生态大脑。</w:t>
      </w:r>
      <w:r>
        <w:rPr>
          <w:rFonts w:hint="eastAsia" w:ascii="Times New Roman" w:hAnsi="Times New Roman" w:eastAsia="仿宋_GB2312"/>
          <w:sz w:val="32"/>
          <w:szCs w:val="32"/>
          <w:lang w:bidi="ar"/>
        </w:rPr>
        <w:t>构建一体化的治理和服务平台，整合生态、园林、气象、农业农村、住建、交通等部门和镇乡系统和数据，推动跨部门跨层级业务协同，推动治理、服务、数据要素价值化等多层面的创新。</w:t>
      </w:r>
    </w:p>
    <w:p>
      <w:pPr>
        <w:spacing w:line="560" w:lineRule="exact"/>
        <w:ind w:firstLine="643" w:firstLineChars="200"/>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统筹生态环境的感知监测。</w:t>
      </w:r>
      <w:r>
        <w:rPr>
          <w:rFonts w:hint="eastAsia" w:ascii="Times New Roman" w:hAnsi="Times New Roman" w:eastAsia="仿宋_GB2312"/>
          <w:sz w:val="32"/>
          <w:szCs w:val="32"/>
          <w:lang w:bidi="ar"/>
        </w:rPr>
        <w:t>统筹现有的环境监测系统，重点聚焦水文监测、污染源在线监控、环境噪声自动监测、空气质量自动监测等领域，构建覆盖全区的智能生态环保监测</w:t>
      </w:r>
      <w:r>
        <w:rPr>
          <w:rFonts w:ascii="Times New Roman" w:hAnsi="Times New Roman" w:eastAsia="仿宋_GB2312"/>
          <w:sz w:val="32"/>
          <w:szCs w:val="32"/>
          <w:lang w:bidi="ar"/>
        </w:rPr>
        <w:t>“</w:t>
      </w:r>
      <w:r>
        <w:rPr>
          <w:rFonts w:hint="eastAsia" w:ascii="Times New Roman" w:hAnsi="Times New Roman" w:eastAsia="仿宋_GB2312"/>
          <w:sz w:val="32"/>
          <w:szCs w:val="32"/>
          <w:lang w:bidi="ar"/>
        </w:rPr>
        <w:t>一张网</w:t>
      </w:r>
      <w:r>
        <w:rPr>
          <w:rFonts w:ascii="Times New Roman" w:hAnsi="Times New Roman" w:eastAsia="仿宋_GB2312"/>
          <w:sz w:val="32"/>
          <w:szCs w:val="32"/>
          <w:lang w:bidi="ar"/>
        </w:rPr>
        <w:t>”</w:t>
      </w:r>
      <w:r>
        <w:rPr>
          <w:rFonts w:hint="eastAsia" w:ascii="Times New Roman" w:hAnsi="Times New Roman" w:eastAsia="仿宋_GB2312"/>
          <w:sz w:val="32"/>
          <w:szCs w:val="32"/>
          <w:lang w:bidi="ar"/>
        </w:rPr>
        <w:t>。进一步健全扩大对生态环境质量、污染源、污染物、环境承载力等生态环境全要素的监测感知覆盖范围</w:t>
      </w:r>
      <w:r>
        <w:rPr>
          <w:rFonts w:ascii="Times New Roman" w:hAnsi="Times New Roman" w:eastAsia="仿宋_GB2312"/>
          <w:sz w:val="32"/>
          <w:szCs w:val="32"/>
          <w:lang w:bidi="ar"/>
        </w:rPr>
        <w:t xml:space="preserve">, </w:t>
      </w:r>
      <w:r>
        <w:rPr>
          <w:rFonts w:hint="eastAsia" w:ascii="Times New Roman" w:hAnsi="Times New Roman" w:eastAsia="仿宋_GB2312"/>
          <w:sz w:val="32"/>
          <w:szCs w:val="32"/>
          <w:lang w:bidi="ar"/>
        </w:rPr>
        <w:t>实现对怀柔区生态环境状况的全面感知和实时监控。</w:t>
      </w:r>
    </w:p>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rPr>
      </w:pPr>
      <w:bookmarkStart w:id="41" w:name="_Toc13314"/>
      <w:r>
        <w:rPr>
          <w:rFonts w:hint="eastAsia" w:ascii="Times New Roman" w:hAnsi="Times New Roman" w:eastAsia="仿宋_GB2312"/>
          <w:sz w:val="32"/>
          <w:szCs w:val="32"/>
        </w:rPr>
        <w:t>2.推广数字化绿色生产和生活方式</w:t>
      </w:r>
      <w:bookmarkEnd w:id="41"/>
    </w:p>
    <w:p>
      <w:pPr>
        <w:spacing w:line="560" w:lineRule="exact"/>
        <w:ind w:firstLine="622" w:firstLineChars="200"/>
        <w:rPr>
          <w:rFonts w:ascii="仿宋_GB2312" w:hAnsi="仿宋_GB2312" w:eastAsia="仿宋_GB2312" w:cs="仿宋_GB2312"/>
          <w:color w:val="000000"/>
          <w:sz w:val="31"/>
          <w:szCs w:val="31"/>
        </w:rPr>
      </w:pPr>
      <w:r>
        <w:rPr>
          <w:rFonts w:ascii="仿宋_GB2312" w:hAnsi="仿宋_GB2312" w:eastAsia="仿宋_GB2312" w:cs="仿宋_GB2312"/>
          <w:b/>
          <w:bCs/>
          <w:color w:val="000000"/>
          <w:sz w:val="31"/>
          <w:szCs w:val="31"/>
        </w:rPr>
        <w:t>推广数字化绿色生产方式</w:t>
      </w:r>
      <w:r>
        <w:rPr>
          <w:rFonts w:ascii="仿宋_GB2312" w:hAnsi="仿宋_GB2312" w:eastAsia="仿宋_GB2312" w:cs="仿宋_GB2312"/>
          <w:color w:val="000000"/>
          <w:sz w:val="31"/>
          <w:szCs w:val="31"/>
        </w:rPr>
        <w:t>。强化减污降碳大数据分析应用，探索构建碳排放智能监测和动态核算体系，引导重点企业率先实现低碳转型，打造 一批低碳智慧企业和低碳智慧园区。</w:t>
      </w:r>
    </w:p>
    <w:p>
      <w:pPr>
        <w:spacing w:line="560" w:lineRule="exact"/>
        <w:ind w:firstLine="622" w:firstLineChars="200"/>
        <w:rPr>
          <w:rFonts w:ascii="仿宋_GB2312" w:hAnsi="仿宋_GB2312" w:eastAsia="仿宋_GB2312" w:cs="仿宋_GB2312"/>
          <w:color w:val="000000"/>
          <w:sz w:val="31"/>
          <w:szCs w:val="31"/>
        </w:rPr>
      </w:pPr>
      <w:r>
        <w:rPr>
          <w:rFonts w:ascii="仿宋_GB2312" w:hAnsi="仿宋_GB2312" w:eastAsia="仿宋_GB2312" w:cs="仿宋_GB2312"/>
          <w:b/>
          <w:bCs/>
          <w:color w:val="000000"/>
          <w:sz w:val="31"/>
          <w:szCs w:val="31"/>
        </w:rPr>
        <w:t>倡导绿色智慧生活方式</w:t>
      </w:r>
      <w:r>
        <w:rPr>
          <w:rFonts w:ascii="仿宋_GB2312" w:hAnsi="仿宋_GB2312" w:eastAsia="仿宋_GB2312" w:cs="仿宋_GB2312"/>
          <w:color w:val="000000"/>
          <w:sz w:val="31"/>
          <w:szCs w:val="31"/>
        </w:rPr>
        <w:t>。积极引导社会资本参与绿色智慧 城市建设，打造一批低碳智慧建筑。鼓励发展交通出行、闲置物资、外卖物流等领域的绿色共享服务平台，加强社区水资源、垃圾等智能化管理，提升基层数字化、集约化生活服务水平。</w:t>
      </w:r>
    </w:p>
    <w:p>
      <w:pPr>
        <w:spacing w:line="560" w:lineRule="exact"/>
        <w:ind w:firstLine="620" w:firstLineChars="200"/>
        <w:rPr>
          <w:rFonts w:ascii="仿宋_GB2312" w:hAnsi="仿宋_GB2312" w:eastAsia="仿宋_GB2312" w:cs="仿宋_GB2312"/>
          <w:color w:val="000000"/>
          <w:sz w:val="31"/>
          <w:szCs w:val="31"/>
        </w:rPr>
      </w:pPr>
    </w:p>
    <w:p>
      <w:pPr>
        <w:spacing w:line="560" w:lineRule="exact"/>
        <w:ind w:firstLine="620" w:firstLineChars="200"/>
        <w:rPr>
          <w:rFonts w:ascii="仿宋_GB2312" w:hAnsi="仿宋_GB2312" w:eastAsia="仿宋_GB2312" w:cs="仿宋_GB2312"/>
          <w:color w:val="000000"/>
          <w:sz w:val="31"/>
          <w:szCs w:val="31"/>
        </w:rPr>
      </w:pPr>
    </w:p>
    <w:p>
      <w:pPr>
        <w:spacing w:line="560" w:lineRule="exact"/>
        <w:ind w:firstLine="620" w:firstLineChars="200"/>
        <w:rPr>
          <w:rFonts w:hint="eastAsia" w:ascii="仿宋_GB2312" w:hAnsi="仿宋_GB2312" w:eastAsia="仿宋_GB2312" w:cs="仿宋_GB2312"/>
          <w:color w:val="000000"/>
          <w:sz w:val="31"/>
          <w:szCs w:val="31"/>
        </w:rPr>
      </w:pPr>
    </w:p>
    <w:tbl>
      <w:tblPr>
        <w:tblStyle w:val="2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lang w:bidi="ar"/>
              </w:rPr>
            </w:pPr>
            <w:r>
              <w:rPr>
                <w:rFonts w:hint="eastAsia" w:ascii="Times New Roman" w:hAnsi="Times New Roman" w:eastAsia="仿宋_GB2312" w:cs="仿宋_GB2312"/>
                <w:b/>
                <w:bCs/>
                <w:sz w:val="28"/>
                <w:szCs w:val="28"/>
                <w:lang w:bidi="ar"/>
              </w:rPr>
              <w:t>专栏十：数字生态文明重点工程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562" w:firstLineChars="200"/>
              <w:jc w:val="left"/>
              <w:rPr>
                <w:rFonts w:hint="eastAsia" w:ascii="Times New Roman" w:hAnsi="Times New Roman" w:eastAsia="仿宋_GB2312" w:cs="仿宋_GB2312"/>
                <w:b/>
                <w:bCs/>
                <w:sz w:val="28"/>
                <w:szCs w:val="28"/>
                <w:lang w:bidi="ar"/>
              </w:rPr>
            </w:pPr>
            <w:r>
              <w:rPr>
                <w:rFonts w:ascii="Times New Roman" w:hAnsi="Times New Roman" w:eastAsia="仿宋_GB2312"/>
                <w:b/>
                <w:bCs/>
                <w:color w:val="000000"/>
                <w:sz w:val="28"/>
                <w:szCs w:val="28"/>
                <w:lang w:bidi="ar"/>
              </w:rPr>
              <w:t>1.</w:t>
            </w:r>
            <w:r>
              <w:rPr>
                <w:rFonts w:hint="eastAsia" w:ascii="Times New Roman" w:hAnsi="Times New Roman" w:eastAsia="仿宋_GB2312"/>
                <w:b/>
                <w:bCs/>
                <w:color w:val="000000"/>
                <w:sz w:val="28"/>
                <w:szCs w:val="28"/>
                <w:lang w:bidi="ar"/>
              </w:rPr>
              <w:t>智慧生态大脑</w:t>
            </w:r>
            <w:r>
              <w:rPr>
                <w:rFonts w:hint="eastAsia" w:ascii="Times New Roman" w:hAnsi="Times New Roman" w:eastAsia="仿宋_GB2312" w:cs="仿宋_GB2312"/>
                <w:b/>
                <w:bCs/>
                <w:color w:val="000000"/>
                <w:sz w:val="28"/>
                <w:szCs w:val="28"/>
                <w:lang w:bidi="ar"/>
              </w:rPr>
              <w:t>。</w:t>
            </w:r>
            <w:r>
              <w:rPr>
                <w:rFonts w:hint="eastAsia" w:ascii="Times New Roman" w:hAnsi="Times New Roman" w:eastAsia="仿宋_GB2312" w:cs="仿宋_GB2312"/>
                <w:color w:val="000000"/>
                <w:sz w:val="28"/>
                <w:szCs w:val="28"/>
                <w:lang w:bidi="ar"/>
              </w:rPr>
              <w:t>构建一体化的治理和服务平台，整合生态、园林、气象、农业农村、住建、交通等部门和镇乡系统和数据，推动跨部门跨层级业务协同，推动治理、服务、数据要素价值化等多层面的创新</w:t>
            </w:r>
            <w:r>
              <w:rPr>
                <w:rFonts w:hint="eastAsia" w:ascii="Times New Roman" w:hAnsi="Times New Roman" w:eastAsia="仿宋_GB2312" w:cs="仿宋_GB2312"/>
                <w:bCs/>
                <w:color w:val="000000"/>
                <w:sz w:val="28"/>
                <w:szCs w:val="28"/>
                <w:lang w:bidi="ar"/>
              </w:rPr>
              <w:t>。</w:t>
            </w:r>
            <w:r>
              <w:rPr>
                <w:rFonts w:hint="eastAsia" w:ascii="Times New Roman" w:hAnsi="Times New Roman" w:eastAsia="仿宋_GB2312" w:cs="仿宋_GB2312"/>
                <w:color w:val="000000"/>
                <w:sz w:val="28"/>
                <w:szCs w:val="28"/>
                <w:lang w:bidi="ar"/>
              </w:rPr>
              <w:t>（牵头部门：</w:t>
            </w:r>
            <w:r>
              <w:rPr>
                <w:rFonts w:hint="eastAsia" w:ascii="Times New Roman" w:hAnsi="Times New Roman" w:eastAsia="仿宋_GB2312" w:cs="仿宋_GB2312"/>
                <w:sz w:val="28"/>
                <w:szCs w:val="28"/>
                <w:lang w:bidi="ar"/>
              </w:rPr>
              <w:t>怀柔区生态环境局</w:t>
            </w:r>
            <w:r>
              <w:rPr>
                <w:rFonts w:hint="eastAsia" w:ascii="Times New Roman" w:hAnsi="Times New Roman" w:eastAsia="仿宋_GB2312" w:cs="仿宋_GB2312"/>
                <w:color w:val="000000"/>
                <w:sz w:val="28"/>
                <w:szCs w:val="28"/>
                <w:lang w:bidi="ar"/>
              </w:rPr>
              <w:t>）</w:t>
            </w:r>
          </w:p>
          <w:p>
            <w:pPr>
              <w:spacing w:line="560" w:lineRule="exact"/>
              <w:ind w:firstLine="562" w:firstLineChars="200"/>
              <w:rPr>
                <w:rFonts w:hint="eastAsia" w:ascii="Times New Roman" w:hAnsi="Times New Roman" w:eastAsia="仿宋_GB2312" w:cs="仿宋_GB2312"/>
                <w:sz w:val="28"/>
                <w:szCs w:val="28"/>
                <w:lang w:bidi="ar"/>
              </w:rPr>
            </w:pPr>
            <w:r>
              <w:rPr>
                <w:rFonts w:hint="eastAsia" w:ascii="Times New Roman" w:hAnsi="Times New Roman" w:eastAsia="仿宋_GB2312" w:cs="仿宋_GB2312"/>
                <w:b/>
                <w:bCs/>
                <w:sz w:val="28"/>
                <w:szCs w:val="28"/>
                <w:lang w:bidi="ar"/>
              </w:rPr>
              <w:t>2.智慧水务专项工程。</w:t>
            </w:r>
            <w:r>
              <w:rPr>
                <w:rFonts w:hint="eastAsia" w:ascii="Times New Roman" w:hAnsi="Times New Roman" w:eastAsia="仿宋_GB2312" w:cs="仿宋_GB2312"/>
                <w:sz w:val="28"/>
                <w:szCs w:val="28"/>
                <w:lang w:bidi="ar"/>
              </w:rPr>
              <w:t>对集中供水厂、单村供水站、自备井、水源热泵井、园林绿化、农业灌溉六类机井进行水量监控以及设备预警展示。（责任部门：怀柔区水务局）</w:t>
            </w:r>
          </w:p>
          <w:p>
            <w:pPr>
              <w:spacing w:line="560" w:lineRule="exact"/>
              <w:ind w:firstLine="562" w:firstLineChars="200"/>
            </w:pPr>
            <w:r>
              <w:rPr>
                <w:rFonts w:hint="eastAsia" w:ascii="Times New Roman" w:hAnsi="Times New Roman" w:eastAsia="仿宋_GB2312" w:cs="仿宋_GB2312"/>
                <w:b/>
                <w:bCs/>
                <w:sz w:val="28"/>
                <w:szCs w:val="28"/>
                <w:lang w:bidi="ar"/>
              </w:rPr>
              <w:t>3.</w:t>
            </w:r>
            <w:r>
              <w:rPr>
                <w:rFonts w:ascii="Times New Roman" w:hAnsi="Times New Roman" w:eastAsia="仿宋_GB2312" w:cs="仿宋_GB2312"/>
                <w:b/>
                <w:bCs/>
                <w:sz w:val="28"/>
                <w:szCs w:val="28"/>
                <w:lang w:bidi="ar"/>
              </w:rPr>
              <w:t>怀柔气象提质工程</w:t>
            </w:r>
            <w:r>
              <w:rPr>
                <w:rFonts w:hint="eastAsia" w:ascii="Times New Roman" w:hAnsi="Times New Roman" w:eastAsia="仿宋_GB2312" w:cs="仿宋_GB2312"/>
                <w:b/>
                <w:bCs/>
                <w:sz w:val="28"/>
                <w:szCs w:val="28"/>
                <w:lang w:bidi="ar"/>
              </w:rPr>
              <w:t>。</w:t>
            </w:r>
            <w:r>
              <w:rPr>
                <w:rFonts w:hint="eastAsia" w:ascii="Times New Roman" w:hAnsi="Times New Roman" w:eastAsia="仿宋_GB2312" w:cs="仿宋_GB2312"/>
                <w:sz w:val="28"/>
                <w:szCs w:val="28"/>
                <w:lang w:bidi="ar"/>
              </w:rPr>
              <w:t>通过集成先进的气象数据处理与分析技术，提升怀柔区区域气象灾害防范能力。（责任部门：怀柔区气象局）</w:t>
            </w:r>
          </w:p>
        </w:tc>
      </w:tr>
    </w:tbl>
    <w:p>
      <w:pPr>
        <w:pStyle w:val="8"/>
        <w:jc w:val="both"/>
        <w:rPr>
          <w:rFonts w:hint="eastAsia"/>
        </w:rPr>
      </w:pPr>
    </w:p>
    <w:p>
      <w:pPr>
        <w:pStyle w:val="3"/>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b w:val="0"/>
          <w:bCs w:val="0"/>
          <w:sz w:val="32"/>
          <w:szCs w:val="32"/>
        </w:rPr>
      </w:pPr>
      <w:bookmarkStart w:id="42" w:name="_Toc29763"/>
      <w:r>
        <w:rPr>
          <w:rFonts w:hint="eastAsia" w:ascii="楷体_GB2312" w:hAnsi="楷体_GB2312" w:eastAsia="楷体_GB2312" w:cs="楷体_GB2312"/>
          <w:b w:val="0"/>
          <w:bCs w:val="0"/>
          <w:sz w:val="32"/>
          <w:szCs w:val="32"/>
        </w:rPr>
        <w:t>建设一体化的数据和AI赋能中枢体系</w:t>
      </w:r>
      <w:bookmarkEnd w:id="4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以“需求敏捷响应”为目标，以政府决策、管理和服务需求为导向，打造“集约智能的怀柔数字在线”，探索三位一体的数据要素生态体系，支撑怀柔特色的数据要素价值化创新。</w:t>
      </w:r>
    </w:p>
    <w:p>
      <w:pPr>
        <w:pStyle w:val="4"/>
        <w:pageBreakBefore w:val="0"/>
        <w:widowControl w:val="0"/>
        <w:numPr>
          <w:ilvl w:val="0"/>
          <w:numId w:val="0"/>
        </w:numPr>
        <w:tabs>
          <w:tab w:val="clear" w:pos="0"/>
          <w:tab w:val="clear" w:pos="2978"/>
        </w:tabs>
        <w:kinsoku/>
        <w:wordWrap/>
        <w:overflowPunct/>
        <w:topLinePunct w:val="0"/>
        <w:autoSpaceDE/>
        <w:autoSpaceDN/>
        <w:bidi w:val="0"/>
        <w:adjustRightInd/>
        <w:snapToGrid/>
        <w:spacing w:before="0" w:beforeLines="0" w:after="0" w:afterLines="0" w:line="560" w:lineRule="exact"/>
        <w:ind w:firstLine="643" w:firstLineChars="200"/>
        <w:textAlignment w:val="auto"/>
        <w:rPr>
          <w:rFonts w:ascii="Times New Roman" w:hAnsi="Times New Roman" w:eastAsia="仿宋_GB2312"/>
          <w:sz w:val="32"/>
          <w:szCs w:val="32"/>
        </w:rPr>
      </w:pPr>
      <w:bookmarkStart w:id="43" w:name="_Toc9247"/>
      <w:r>
        <w:rPr>
          <w:rFonts w:hint="eastAsia" w:ascii="Times New Roman" w:hAnsi="Times New Roman" w:eastAsia="仿宋_GB2312"/>
          <w:sz w:val="32"/>
          <w:szCs w:val="32"/>
        </w:rPr>
        <w:t>1.建设集约高效的数据资源体系</w:t>
      </w:r>
      <w:bookmarkEnd w:id="43"/>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落实国家《政务数据共享条例》和北京市相关政策要求，加快推进数据目录和共享机制建设。数据目录管理层面，</w:t>
      </w:r>
      <w:r>
        <w:rPr>
          <w:rFonts w:hint="eastAsia" w:ascii="Times New Roman" w:hAnsi="Times New Roman" w:eastAsia="仿宋_GB2312"/>
          <w:bCs/>
          <w:sz w:val="32"/>
          <w:szCs w:val="32"/>
        </w:rPr>
        <w:t>落实</w:t>
      </w:r>
      <w:r>
        <w:rPr>
          <w:rFonts w:hint="eastAsia" w:ascii="Times New Roman" w:hAnsi="Times New Roman" w:eastAsia="仿宋_GB2312"/>
          <w:sz w:val="32"/>
          <w:szCs w:val="32"/>
        </w:rPr>
        <w:t>国家和北京市相关规范要求，各个</w:t>
      </w:r>
      <w:r>
        <w:rPr>
          <w:rFonts w:hint="eastAsia" w:ascii="Times New Roman" w:hAnsi="Times New Roman" w:eastAsia="仿宋_GB2312"/>
          <w:kern w:val="0"/>
          <w:sz w:val="32"/>
          <w:szCs w:val="32"/>
        </w:rPr>
        <w:t>政府部门应当依照本</w:t>
      </w:r>
      <w:r>
        <w:rPr>
          <w:rFonts w:hint="eastAsia" w:ascii="Times New Roman" w:hAnsi="Times New Roman" w:eastAsia="仿宋_GB2312"/>
          <w:sz w:val="32"/>
          <w:szCs w:val="32"/>
        </w:rPr>
        <w:t>部门职责，按照政务数据目录编制标准规范，编制本部门政务数据目录，加快实现全区数据资源“一本账”目录，推进数据目录“应编尽编”、数据资源“应归尽归”。强化数据的归集，推动水、电、气、金融、保险、通信、教育、医疗、旅游等数据的实时接入。全面提升数据的时效性，特别是交通运输、民政、卫健等。</w:t>
      </w:r>
      <w:r>
        <w:rPr>
          <w:rFonts w:hint="eastAsia" w:ascii="Times New Roman" w:hAnsi="Times New Roman" w:eastAsia="仿宋_GB2312"/>
          <w:b/>
          <w:bCs/>
          <w:sz w:val="32"/>
          <w:szCs w:val="32"/>
        </w:rPr>
        <w:t>全面提升数据资源共享水平，</w:t>
      </w:r>
      <w:r>
        <w:rPr>
          <w:rFonts w:hint="eastAsia" w:ascii="Times New Roman" w:hAnsi="Times New Roman" w:eastAsia="仿宋_GB2312"/>
          <w:sz w:val="32"/>
          <w:szCs w:val="32"/>
        </w:rPr>
        <w:t>强化与国家、市级公共数据平台对接，构建全区唯一的公共数据共享开放通道。建立政务数据共享供需对接机制，明确工作流程。政务数据需求部门应当根据履行职责需要，按照统一发布的政务数据目录，经本部门政务数据共享工作机构负责人同意后，依法提出政务数据共享申请，明确使用依据、使用场景、使用范围、共享方式、使用时限等，并保证政务数据共享申请的真实性、合法性和必要性。完善部门政务信息系统数据资源共享交换制度和程序，推动各级治理数据根据需要向基层有序、安全、开放使用。</w:t>
      </w:r>
    </w:p>
    <w:p>
      <w:pPr>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color w:val="000000"/>
          <w:sz w:val="31"/>
          <w:szCs w:val="31"/>
        </w:rPr>
      </w:pPr>
      <w:r>
        <w:rPr>
          <w:rFonts w:hint="eastAsia" w:ascii="仿宋_GB2312" w:hAnsi="仿宋_GB2312" w:eastAsia="仿宋_GB2312" w:cs="仿宋_GB2312"/>
          <w:b/>
          <w:bCs/>
          <w:color w:val="000000"/>
          <w:sz w:val="31"/>
          <w:szCs w:val="31"/>
        </w:rPr>
        <w:t>建设怀柔区数据平台</w:t>
      </w:r>
      <w:r>
        <w:rPr>
          <w:rFonts w:ascii="仿宋_GB2312" w:hAnsi="仿宋_GB2312" w:eastAsia="仿宋_GB2312" w:cs="仿宋_GB2312"/>
          <w:b/>
          <w:bCs/>
          <w:color w:val="000000"/>
          <w:sz w:val="31"/>
          <w:szCs w:val="31"/>
        </w:rPr>
        <w:t>。</w:t>
      </w:r>
      <w:r>
        <w:rPr>
          <w:rFonts w:hint="eastAsia" w:ascii="仿宋_GB2312" w:hAnsi="仿宋_GB2312" w:eastAsia="仿宋_GB2312" w:cs="仿宋_GB2312"/>
          <w:color w:val="000000"/>
          <w:sz w:val="31"/>
          <w:szCs w:val="31"/>
        </w:rPr>
        <w:t>对接北京市大数据平台，围绕数据“收、治、易、管、用”五个环节，全面提升数据的汇集、治理、交易、管理和应用能力，进一步打通业务流、数据流，推动数据向基层赋能，为政府数字化改革和经济、社会发展提供数据支撑</w:t>
      </w:r>
      <w:r>
        <w:rPr>
          <w:rFonts w:ascii="仿宋_GB2312" w:hAnsi="仿宋_GB2312" w:eastAsia="仿宋_GB2312" w:cs="仿宋_GB2312"/>
          <w:color w:val="000000"/>
          <w:sz w:val="31"/>
          <w:szCs w:val="31"/>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探索创新型的数据资源管理体系。</w:t>
      </w:r>
      <w:r>
        <w:rPr>
          <w:rFonts w:hint="eastAsia" w:ascii="Times New Roman" w:hAnsi="Times New Roman" w:eastAsia="仿宋_GB2312"/>
          <w:sz w:val="32"/>
          <w:szCs w:val="32"/>
        </w:rPr>
        <w:t>构建数据资源超市，实现数据资源申请、开通、管理、释放全生命周期规范化管理。统一资源申请审批流程，实现数字资源自动化开通，提高资源开通效率。实时监控资源使用情况，及时释放闲置资源，提升资源使用率。持续优化垂直系统的数据回流机制。从技术、机制等角度入手，积极推动税务、市场监管、民政、医保、生态环境等领域垂直系统中涉及怀柔本地数据的回流。</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探索怀柔优势领域的数据开放和创新应用。</w:t>
      </w:r>
      <w:r>
        <w:rPr>
          <w:rFonts w:hint="eastAsia" w:ascii="Times New Roman" w:hAnsi="Times New Roman" w:eastAsia="仿宋_GB2312"/>
          <w:sz w:val="32"/>
          <w:szCs w:val="32"/>
        </w:rPr>
        <w:t>通过梳理可开放的政务、互联网等数据形成公共数据开放目录。积极探索科创、影视文化、会展、生态等领域的公共数据授权运营。通过区块链等技术手段，建立数据调用的互信共认机制，实现信用信息、行政审批、市场监管、生态环境保护、公共安全、应急管理、公共卫生防控等重点领域的政务数据脱敏共享和大数据创新应用。</w:t>
      </w:r>
    </w:p>
    <w:p>
      <w:pPr>
        <w:pStyle w:val="4"/>
        <w:pageBreakBefore w:val="0"/>
        <w:widowControl w:val="0"/>
        <w:numPr>
          <w:ilvl w:val="0"/>
          <w:numId w:val="0"/>
        </w:numPr>
        <w:tabs>
          <w:tab w:val="clear" w:pos="0"/>
          <w:tab w:val="clear" w:pos="2978"/>
        </w:tabs>
        <w:kinsoku/>
        <w:wordWrap/>
        <w:overflowPunct/>
        <w:topLinePunct w:val="0"/>
        <w:autoSpaceDE/>
        <w:autoSpaceDN/>
        <w:bidi w:val="0"/>
        <w:adjustRightInd/>
        <w:snapToGrid/>
        <w:spacing w:before="0" w:beforeLines="0" w:after="0" w:afterLines="0" w:line="560" w:lineRule="exact"/>
        <w:ind w:firstLine="643" w:firstLineChars="200"/>
        <w:textAlignment w:val="auto"/>
        <w:rPr>
          <w:rFonts w:ascii="Times New Roman" w:hAnsi="Times New Roman" w:eastAsia="仿宋_GB2312"/>
          <w:sz w:val="32"/>
          <w:szCs w:val="32"/>
        </w:rPr>
      </w:pPr>
      <w:bookmarkStart w:id="44" w:name="_Toc25056"/>
      <w:r>
        <w:rPr>
          <w:rFonts w:hint="eastAsia" w:ascii="Times New Roman" w:hAnsi="Times New Roman" w:eastAsia="仿宋_GB2312"/>
          <w:sz w:val="32"/>
          <w:szCs w:val="32"/>
        </w:rPr>
        <w:t>2.建设集约化的支撑能力</w:t>
      </w:r>
      <w:bookmarkEnd w:id="44"/>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lang w:bidi="ar"/>
        </w:rPr>
      </w:pPr>
      <w:r>
        <w:rPr>
          <w:rFonts w:hint="eastAsia" w:ascii="Times New Roman" w:hAnsi="Times New Roman" w:eastAsia="仿宋_GB2312"/>
          <w:b/>
          <w:sz w:val="32"/>
          <w:szCs w:val="32"/>
          <w:lang w:bidi="ar"/>
        </w:rPr>
        <w:t>构建全区统一的业务和应用支撑平台。</w:t>
      </w:r>
      <w:r>
        <w:rPr>
          <w:rFonts w:hint="eastAsia" w:ascii="Times New Roman" w:hAnsi="Times New Roman" w:eastAsia="仿宋_GB2312"/>
          <w:bCs/>
          <w:sz w:val="32"/>
          <w:szCs w:val="32"/>
          <w:lang w:bidi="ar"/>
        </w:rPr>
        <w:t>最大化复用市级平台和能力基础上，在怀柔实现本地化部署和个性化开发完善。建立健全全区统一、规范高效的支撑能力赋能机制，围绕应用设计、开发、测试、发布等关键环节，构建应用全生命周期管理流程，支撑全区数字化应用快速配置、系统对接、数据集成、一键发布，全面提升全区信息化项目建设的集约化水平。</w:t>
      </w:r>
    </w:p>
    <w:p>
      <w:pPr>
        <w:pStyle w:val="4"/>
        <w:pageBreakBefore w:val="0"/>
        <w:widowControl w:val="0"/>
        <w:numPr>
          <w:ilvl w:val="0"/>
          <w:numId w:val="0"/>
        </w:numPr>
        <w:tabs>
          <w:tab w:val="clear" w:pos="0"/>
          <w:tab w:val="clear" w:pos="2978"/>
        </w:tabs>
        <w:kinsoku/>
        <w:wordWrap/>
        <w:overflowPunct/>
        <w:topLinePunct w:val="0"/>
        <w:autoSpaceDE/>
        <w:autoSpaceDN/>
        <w:bidi w:val="0"/>
        <w:adjustRightInd/>
        <w:snapToGrid/>
        <w:spacing w:before="0" w:beforeLines="0" w:after="0" w:afterLines="0" w:line="560" w:lineRule="exact"/>
        <w:ind w:firstLine="643" w:firstLineChars="200"/>
        <w:textAlignment w:val="auto"/>
        <w:rPr>
          <w:rFonts w:ascii="Times New Roman" w:hAnsi="Times New Roman" w:eastAsia="仿宋_GB2312"/>
          <w:sz w:val="32"/>
          <w:szCs w:val="32"/>
        </w:rPr>
      </w:pPr>
      <w:bookmarkStart w:id="45" w:name="_Toc8972"/>
      <w:r>
        <w:rPr>
          <w:rFonts w:hint="eastAsia" w:ascii="Times New Roman" w:hAnsi="Times New Roman" w:eastAsia="仿宋_GB2312"/>
          <w:sz w:val="32"/>
          <w:szCs w:val="32"/>
        </w:rPr>
        <w:t>3.探索集约化的AI能力赋能体系</w:t>
      </w:r>
      <w:bookmarkEnd w:id="45"/>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Cs/>
          <w:sz w:val="32"/>
          <w:szCs w:val="32"/>
          <w:lang w:bidi="ar"/>
        </w:rPr>
      </w:pPr>
      <w:r>
        <w:rPr>
          <w:rFonts w:hint="eastAsia" w:ascii="Times New Roman" w:hAnsi="Times New Roman" w:eastAsia="仿宋_GB2312"/>
          <w:b/>
          <w:sz w:val="32"/>
          <w:szCs w:val="32"/>
          <w:lang w:bidi="ar"/>
        </w:rPr>
        <w:t>探索全区统一的AI能力赋能平台。</w:t>
      </w:r>
      <w:r>
        <w:rPr>
          <w:rFonts w:hint="eastAsia" w:ascii="Times New Roman" w:hAnsi="Times New Roman" w:eastAsia="仿宋_GB2312"/>
          <w:bCs/>
          <w:sz w:val="32"/>
          <w:szCs w:val="32"/>
          <w:lang w:bidi="ar"/>
        </w:rPr>
        <w:t>整体依托市知识中心、模型中心、智能化支撑、通用支撑能力等相关平台，在智能问答、智能写作、数字人等领域探索怀柔本地化部署，统一赋能怀柔地区各部门的智能化应用的建设和运行。</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bCs/>
          <w:sz w:val="32"/>
          <w:szCs w:val="32"/>
          <w:lang w:bidi="ar"/>
        </w:rPr>
      </w:pPr>
      <w:r>
        <w:rPr>
          <w:rFonts w:hint="eastAsia" w:ascii="Times New Roman" w:hAnsi="Times New Roman" w:eastAsia="仿宋_GB2312"/>
          <w:b/>
          <w:sz w:val="32"/>
          <w:szCs w:val="32"/>
          <w:lang w:bidi="ar"/>
        </w:rPr>
        <w:t>探索智能化场景建设管理机制</w:t>
      </w:r>
      <w:r>
        <w:rPr>
          <w:rFonts w:hint="eastAsia" w:ascii="Times New Roman" w:hAnsi="Times New Roman" w:eastAsia="仿宋_GB2312"/>
          <w:bCs/>
          <w:sz w:val="32"/>
          <w:szCs w:val="32"/>
          <w:lang w:bidi="ar"/>
        </w:rPr>
        <w:t>。建设全区统筹、系统科学的管理机制，安全稳妥、集约高效、规范有序的推进人工智能在政务领域的应用。从重要性、预期成效、可推广性、可行性、适配度、适配度、安全合规性等角度进行综合评估，统筹布局怀柔地区的智能化应用场景建设工作。</w:t>
      </w:r>
    </w:p>
    <w:tbl>
      <w:tblPr>
        <w:tblStyle w:val="2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lang w:bidi="ar"/>
              </w:rPr>
            </w:pPr>
            <w:r>
              <w:rPr>
                <w:rFonts w:hint="eastAsia" w:ascii="Times New Roman" w:hAnsi="Times New Roman" w:eastAsia="仿宋_GB2312" w:cs="仿宋_GB2312"/>
                <w:b/>
                <w:bCs/>
                <w:sz w:val="28"/>
                <w:szCs w:val="28"/>
                <w:lang w:bidi="ar"/>
              </w:rPr>
              <w:t>专栏十一：中枢体系重点工程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jc w:val="center"/>
        </w:trPr>
        <w:tc>
          <w:tcPr>
            <w:tcW w:w="8296" w:type="dxa"/>
            <w:tcBorders>
              <w:top w:val="single" w:color="auto" w:sz="4" w:space="0"/>
              <w:left w:val="single" w:color="auto" w:sz="4" w:space="0"/>
              <w:bottom w:val="single" w:color="auto" w:sz="4" w:space="0"/>
              <w:right w:val="single" w:color="auto" w:sz="4" w:space="0"/>
            </w:tcBorders>
          </w:tcPr>
          <w:p>
            <w:pPr>
              <w:spacing w:line="560" w:lineRule="exact"/>
              <w:ind w:firstLine="562" w:firstLineChars="200"/>
              <w:jc w:val="left"/>
              <w:rPr>
                <w:rFonts w:hint="eastAsia" w:ascii="Times New Roman" w:hAnsi="Times New Roman" w:eastAsia="仿宋_GB2312" w:cs="仿宋_GB2312"/>
                <w:b/>
                <w:bCs/>
                <w:sz w:val="28"/>
                <w:szCs w:val="28"/>
                <w:lang w:bidi="ar"/>
              </w:rPr>
            </w:pPr>
            <w:r>
              <w:rPr>
                <w:rFonts w:ascii="Times New Roman" w:hAnsi="Times New Roman" w:eastAsia="仿宋_GB2312"/>
                <w:b/>
                <w:bCs/>
                <w:color w:val="000000"/>
                <w:sz w:val="28"/>
                <w:szCs w:val="28"/>
                <w:lang w:bidi="ar"/>
              </w:rPr>
              <w:t>1.怀柔区大数据平台</w:t>
            </w:r>
            <w:r>
              <w:rPr>
                <w:rFonts w:hint="eastAsia" w:ascii="Times New Roman" w:hAnsi="Times New Roman" w:eastAsia="仿宋_GB2312" w:cs="仿宋_GB2312"/>
                <w:b/>
                <w:bCs/>
                <w:color w:val="000000"/>
                <w:sz w:val="28"/>
                <w:szCs w:val="28"/>
                <w:lang w:bidi="ar"/>
              </w:rPr>
              <w:t>。</w:t>
            </w:r>
            <w:r>
              <w:rPr>
                <w:rFonts w:hint="eastAsia" w:ascii="Times New Roman" w:hAnsi="Times New Roman" w:eastAsia="仿宋_GB2312" w:cs="仿宋_GB2312"/>
                <w:color w:val="000000"/>
                <w:sz w:val="28"/>
                <w:szCs w:val="28"/>
                <w:lang w:bidi="ar"/>
              </w:rPr>
              <w:t>建设怀柔区大数据平台，包含基础平台、数据库、数据专区、数据归集治理、数据价值化等</w:t>
            </w:r>
            <w:r>
              <w:rPr>
                <w:rFonts w:hint="eastAsia" w:ascii="Times New Roman" w:hAnsi="Times New Roman" w:eastAsia="仿宋_GB2312" w:cs="仿宋_GB2312"/>
                <w:bCs/>
                <w:color w:val="000000"/>
                <w:sz w:val="28"/>
                <w:szCs w:val="28"/>
                <w:lang w:bidi="ar"/>
              </w:rPr>
              <w:t>。</w:t>
            </w:r>
            <w:r>
              <w:rPr>
                <w:rFonts w:hint="eastAsia" w:ascii="Times New Roman" w:hAnsi="Times New Roman" w:eastAsia="仿宋_GB2312" w:cs="仿宋_GB2312"/>
                <w:color w:val="000000"/>
                <w:sz w:val="28"/>
                <w:szCs w:val="28"/>
                <w:lang w:bidi="ar"/>
              </w:rPr>
              <w:t>（牵头部门：</w:t>
            </w:r>
            <w:r>
              <w:rPr>
                <w:rFonts w:hint="eastAsia" w:ascii="Times New Roman" w:hAnsi="Times New Roman" w:eastAsia="仿宋_GB2312" w:cs="仿宋_GB2312"/>
                <w:sz w:val="28"/>
                <w:szCs w:val="28"/>
                <w:lang w:bidi="ar"/>
              </w:rPr>
              <w:t>怀柔区政务服务和数据管理局</w:t>
            </w:r>
            <w:r>
              <w:rPr>
                <w:rFonts w:hint="eastAsia" w:ascii="Times New Roman" w:hAnsi="Times New Roman" w:eastAsia="仿宋_GB2312" w:cs="仿宋_GB2312"/>
                <w:color w:val="000000"/>
                <w:sz w:val="28"/>
                <w:szCs w:val="28"/>
                <w:lang w:bidi="ar"/>
              </w:rPr>
              <w:t>）</w:t>
            </w:r>
          </w:p>
          <w:p>
            <w:pPr>
              <w:spacing w:line="560" w:lineRule="exact"/>
              <w:ind w:firstLine="562" w:firstLineChars="200"/>
              <w:rPr>
                <w:rFonts w:hint="eastAsia" w:ascii="Times New Roman" w:hAnsi="Times New Roman" w:eastAsia="仿宋_GB2312" w:cs="仿宋_GB2312"/>
                <w:sz w:val="28"/>
                <w:szCs w:val="28"/>
                <w:lang w:bidi="ar"/>
              </w:rPr>
            </w:pPr>
            <w:r>
              <w:rPr>
                <w:rFonts w:hint="eastAsia" w:ascii="Times New Roman" w:hAnsi="Times New Roman" w:eastAsia="仿宋_GB2312" w:cs="仿宋_GB2312"/>
                <w:b/>
                <w:bCs/>
                <w:sz w:val="28"/>
                <w:szCs w:val="28"/>
                <w:lang w:bidi="ar"/>
              </w:rPr>
              <w:t>2.应用能力支撑平台。</w:t>
            </w:r>
            <w:r>
              <w:rPr>
                <w:rFonts w:hint="eastAsia" w:ascii="Times New Roman" w:hAnsi="Times New Roman" w:eastAsia="仿宋_GB2312" w:cs="仿宋_GB2312"/>
                <w:sz w:val="28"/>
                <w:szCs w:val="28"/>
                <w:lang w:bidi="ar"/>
              </w:rPr>
              <w:t>建设全区统一的信息化项目管理系统及视频会议系统，为全区提供信息化项目管理及视频会议等应用支撑。（责任部门：怀柔区政务服务和数据管理局）</w:t>
            </w:r>
          </w:p>
          <w:p>
            <w:pPr>
              <w:spacing w:line="560" w:lineRule="exact"/>
              <w:ind w:firstLine="562" w:firstLineChars="200"/>
            </w:pPr>
            <w:r>
              <w:rPr>
                <w:rFonts w:hint="eastAsia" w:ascii="Times New Roman" w:hAnsi="Times New Roman" w:eastAsia="仿宋_GB2312" w:cs="仿宋_GB2312"/>
                <w:b/>
                <w:bCs/>
                <w:sz w:val="28"/>
                <w:szCs w:val="28"/>
                <w:lang w:bidi="ar"/>
              </w:rPr>
              <w:t>3.</w:t>
            </w:r>
            <w:r>
              <w:rPr>
                <w:rFonts w:ascii="Times New Roman" w:hAnsi="Times New Roman" w:eastAsia="仿宋_GB2312" w:cs="仿宋_GB2312"/>
                <w:b/>
                <w:bCs/>
                <w:sz w:val="28"/>
                <w:szCs w:val="28"/>
                <w:lang w:bidi="ar"/>
              </w:rPr>
              <w:t>技术能力支撑平台</w:t>
            </w:r>
            <w:r>
              <w:rPr>
                <w:rFonts w:hint="eastAsia" w:ascii="Times New Roman" w:hAnsi="Times New Roman" w:eastAsia="仿宋_GB2312" w:cs="仿宋_GB2312"/>
                <w:b/>
                <w:bCs/>
                <w:sz w:val="28"/>
                <w:szCs w:val="28"/>
                <w:lang w:bidi="ar"/>
              </w:rPr>
              <w:t>。</w:t>
            </w:r>
            <w:r>
              <w:rPr>
                <w:rFonts w:hint="eastAsia" w:ascii="Times New Roman" w:hAnsi="Times New Roman" w:eastAsia="仿宋_GB2312" w:cs="仿宋_GB2312"/>
                <w:sz w:val="28"/>
                <w:szCs w:val="28"/>
                <w:lang w:bidi="ar"/>
              </w:rPr>
              <w:t>建设时空底座、城市码、区块链能力，赋能全区的信息系统及应用场景。（责任部门：怀柔区政务服务和数据管理局）</w:t>
            </w:r>
          </w:p>
        </w:tc>
      </w:tr>
    </w:tbl>
    <w:p>
      <w:pPr>
        <w:spacing w:line="560" w:lineRule="exact"/>
        <w:ind w:firstLine="640" w:firstLineChars="200"/>
        <w:rPr>
          <w:rFonts w:ascii="Times New Roman" w:hAnsi="Times New Roman" w:eastAsia="仿宋_GB2312"/>
          <w:sz w:val="32"/>
          <w:szCs w:val="32"/>
        </w:rPr>
      </w:pPr>
    </w:p>
    <w:p>
      <w:pPr>
        <w:pStyle w:val="3"/>
        <w:spacing w:line="560" w:lineRule="exact"/>
        <w:ind w:left="0" w:right="0" w:rightChars="0" w:firstLine="640" w:firstLineChars="200"/>
        <w:rPr>
          <w:rFonts w:ascii="Times New Roman" w:hAnsi="Times New Roman"/>
          <w:b w:val="0"/>
          <w:bCs w:val="0"/>
          <w:sz w:val="32"/>
          <w:szCs w:val="32"/>
        </w:rPr>
      </w:pPr>
      <w:bookmarkStart w:id="46" w:name="_Toc2287"/>
      <w:r>
        <w:rPr>
          <w:rFonts w:hint="eastAsia" w:ascii="楷体_GB2312" w:hAnsi="楷体_GB2312" w:eastAsia="楷体_GB2312" w:cs="楷体_GB2312"/>
          <w:b w:val="0"/>
          <w:bCs w:val="0"/>
          <w:sz w:val="32"/>
          <w:szCs w:val="32"/>
        </w:rPr>
        <w:t>建设一体化的基础设施保障体系</w:t>
      </w:r>
      <w:bookmarkEnd w:id="46"/>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构建全区一体化的云、网、端、算、空间等基础设施保障体系，重点打造科研可信数据空间。</w:t>
      </w:r>
    </w:p>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rPr>
      </w:pPr>
      <w:bookmarkStart w:id="47" w:name="_Toc20743"/>
      <w:r>
        <w:rPr>
          <w:rFonts w:hint="eastAsia" w:ascii="Times New Roman" w:hAnsi="Times New Roman" w:eastAsia="仿宋_GB2312"/>
          <w:sz w:val="32"/>
          <w:szCs w:val="32"/>
        </w:rPr>
        <w:t>1.加快建设政务“一朵云”</w:t>
      </w:r>
      <w:bookmarkEnd w:id="47"/>
    </w:p>
    <w:p>
      <w:pPr>
        <w:spacing w:line="560" w:lineRule="exact"/>
        <w:ind w:firstLine="643" w:firstLineChars="200"/>
        <w:jc w:val="left"/>
        <w:rPr>
          <w:rFonts w:hint="eastAsia" w:ascii="Times New Roman" w:hAnsi="Times New Roman" w:eastAsia="仿宋_GB2312" w:cs="仿宋_GB2312"/>
          <w:color w:val="000000"/>
          <w:sz w:val="32"/>
          <w:szCs w:val="32"/>
          <w:lang w:bidi="ar"/>
        </w:rPr>
      </w:pPr>
      <w:r>
        <w:rPr>
          <w:rFonts w:hint="eastAsia" w:ascii="Times New Roman" w:hAnsi="Times New Roman" w:eastAsia="仿宋_GB2312" w:cs="仿宋_GB2312"/>
          <w:b/>
          <w:bCs/>
          <w:color w:val="000000"/>
          <w:sz w:val="32"/>
          <w:szCs w:val="32"/>
          <w:lang w:bidi="ar"/>
        </w:rPr>
        <w:t>构建标准统一、高效协同、安全可靠的怀柔区政务云平台。</w:t>
      </w:r>
      <w:r>
        <w:rPr>
          <w:rFonts w:hint="eastAsia" w:ascii="Times New Roman" w:hAnsi="Times New Roman" w:eastAsia="仿宋_GB2312" w:cs="仿宋_GB2312"/>
          <w:color w:val="000000"/>
          <w:sz w:val="32"/>
          <w:szCs w:val="32"/>
          <w:lang w:bidi="ar"/>
        </w:rPr>
        <w:t>重点保障全区非涉密政务信息系统新建上云和现有信息机房中老旧业务系统迁移上云的云服务需求，同步考虑信创、智算等要求，2027年底前各部门各层级的非涉密系统全面实现统一上云。</w:t>
      </w:r>
    </w:p>
    <w:p>
      <w:pPr>
        <w:spacing w:line="560" w:lineRule="exact"/>
        <w:ind w:firstLine="643" w:firstLineChars="200"/>
        <w:jc w:val="left"/>
        <w:rPr>
          <w:rFonts w:hint="eastAsia" w:ascii="Times New Roman" w:hAnsi="Times New Roman" w:eastAsia="仿宋_GB2312" w:cs="仿宋_GB2312"/>
          <w:color w:val="000000"/>
          <w:sz w:val="32"/>
          <w:szCs w:val="32"/>
          <w:lang w:bidi="ar"/>
        </w:rPr>
      </w:pPr>
      <w:r>
        <w:rPr>
          <w:rFonts w:hint="eastAsia" w:ascii="Times New Roman" w:hAnsi="Times New Roman" w:eastAsia="仿宋_GB2312" w:cs="仿宋_GB2312"/>
          <w:b/>
          <w:bCs/>
          <w:color w:val="000000"/>
          <w:sz w:val="32"/>
          <w:szCs w:val="32"/>
          <w:lang w:bidi="ar"/>
        </w:rPr>
        <w:t>建设全区统一的云资源管理体系。</w:t>
      </w:r>
      <w:r>
        <w:rPr>
          <w:rFonts w:hint="eastAsia" w:ascii="Times New Roman" w:hAnsi="Times New Roman" w:eastAsia="仿宋_GB2312" w:cs="仿宋_GB2312"/>
          <w:color w:val="000000"/>
          <w:sz w:val="32"/>
          <w:szCs w:val="32"/>
          <w:lang w:bidi="ar"/>
        </w:rPr>
        <w:t>在市级多云管理服务平台的管理下，按照全市统一标准规范，建设怀柔区政务云运维管理体系、安全管理体系及灾备管理体系，统筹云计算资源的使用分配和服务的监督理。</w:t>
      </w:r>
    </w:p>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rPr>
      </w:pPr>
      <w:bookmarkStart w:id="48" w:name="_Toc27048"/>
      <w:r>
        <w:rPr>
          <w:rFonts w:hint="eastAsia" w:ascii="Times New Roman" w:hAnsi="Times New Roman" w:eastAsia="仿宋_GB2312"/>
          <w:sz w:val="32"/>
          <w:szCs w:val="32"/>
        </w:rPr>
        <w:t>2.完善和提升电子政务“一张网”</w:t>
      </w:r>
      <w:bookmarkEnd w:id="48"/>
    </w:p>
    <w:p>
      <w:pPr>
        <w:spacing w:line="560" w:lineRule="exact"/>
        <w:ind w:firstLine="643" w:firstLineChars="200"/>
        <w:jc w:val="left"/>
        <w:rPr>
          <w:rFonts w:hint="eastAsia" w:ascii="Times New Roman" w:hAnsi="Times New Roman" w:eastAsia="仿宋_GB2312" w:cs="仿宋_GB2312"/>
          <w:color w:val="000000"/>
          <w:sz w:val="32"/>
          <w:szCs w:val="32"/>
          <w:lang w:bidi="ar"/>
        </w:rPr>
      </w:pPr>
      <w:r>
        <w:rPr>
          <w:rFonts w:hint="eastAsia" w:ascii="Times New Roman" w:hAnsi="Times New Roman" w:eastAsia="仿宋_GB2312" w:cs="仿宋_GB2312"/>
          <w:b/>
          <w:bCs/>
          <w:color w:val="000000"/>
          <w:sz w:val="32"/>
          <w:szCs w:val="32"/>
          <w:lang w:bidi="ar"/>
        </w:rPr>
        <w:t>加快推进电子政务外网的IPv6升级改造。</w:t>
      </w:r>
      <w:r>
        <w:rPr>
          <w:rFonts w:hint="eastAsia" w:ascii="Times New Roman" w:hAnsi="Times New Roman" w:eastAsia="仿宋_GB2312" w:cs="仿宋_GB2312"/>
          <w:color w:val="000000"/>
          <w:sz w:val="32"/>
          <w:szCs w:val="32"/>
          <w:lang w:bidi="ar"/>
        </w:rPr>
        <w:t>所有硬件和软件能够完全支持IPv6协议，实现IPv6与IPv4的双协议栈运行，保障政务网的平稳过渡。现网部署的域名解析系统按照国家电子政务外网发布的《公共区域名系统(DNS)技术规范》进行升级，确保用户能够安全、快速、准确地解析IPv6域名，并能够有效地访问IPv6网站和服务，促进IPv6的普及和应用发展。升级IPv6安全接入平台，将原有的单台VPN设备升级成基于零信任技术的IPv6安全接入平台，通过强化身份验证与访问控制、提升威胁检测响应能力，全方位保障政务网在动态复杂环境下的安全接入能力。</w:t>
      </w:r>
    </w:p>
    <w:p>
      <w:pPr>
        <w:spacing w:line="560" w:lineRule="exact"/>
        <w:ind w:firstLine="643" w:firstLineChars="200"/>
        <w:jc w:val="left"/>
        <w:rPr>
          <w:rFonts w:hint="eastAsia" w:ascii="Times New Roman" w:hAnsi="Times New Roman" w:eastAsia="仿宋_GB2312" w:cs="仿宋_GB2312"/>
          <w:color w:val="000000"/>
          <w:sz w:val="32"/>
          <w:szCs w:val="32"/>
          <w:lang w:bidi="ar"/>
        </w:rPr>
      </w:pPr>
      <w:r>
        <w:rPr>
          <w:rFonts w:hint="eastAsia" w:ascii="Times New Roman" w:hAnsi="Times New Roman" w:eastAsia="仿宋_GB2312" w:cs="仿宋_GB2312"/>
          <w:b/>
          <w:bCs/>
          <w:color w:val="000000"/>
          <w:sz w:val="32"/>
          <w:szCs w:val="32"/>
          <w:lang w:bidi="ar"/>
        </w:rPr>
        <w:t>推进网络设备和架构的优化和改造。</w:t>
      </w:r>
      <w:r>
        <w:rPr>
          <w:rFonts w:hint="eastAsia" w:ascii="Times New Roman" w:hAnsi="Times New Roman" w:eastAsia="仿宋_GB2312" w:cs="仿宋_GB2312"/>
          <w:color w:val="000000"/>
          <w:sz w:val="32"/>
          <w:szCs w:val="32"/>
          <w:lang w:bidi="ar"/>
        </w:rPr>
        <w:t>根据实际运行情况，完善网络架构设计和设备部署方式，并结合IPv6进行适当的优化改造。重点设备进行国产化替代，以增强技术自主可控和网络抵御风险的能力，保障政务网的安全稳定运行。</w:t>
      </w:r>
    </w:p>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rPr>
      </w:pPr>
      <w:bookmarkStart w:id="49" w:name="_Toc29302"/>
      <w:r>
        <w:rPr>
          <w:rFonts w:hint="eastAsia" w:ascii="Times New Roman" w:hAnsi="Times New Roman" w:eastAsia="仿宋_GB2312"/>
          <w:sz w:val="32"/>
          <w:szCs w:val="32"/>
        </w:rPr>
        <w:t>3.提升感知资源的统筹管理和智能化能力</w:t>
      </w:r>
      <w:bookmarkEnd w:id="49"/>
    </w:p>
    <w:p>
      <w:pPr>
        <w:spacing w:line="560" w:lineRule="exact"/>
        <w:ind w:firstLine="643" w:firstLineChars="200"/>
        <w:jc w:val="left"/>
        <w:rPr>
          <w:rFonts w:hint="eastAsia" w:ascii="仿宋_GB2312" w:hAnsi="CESI仿宋-GB2312" w:eastAsia="仿宋_GB2312" w:cs="CESI仿宋-GB2312"/>
          <w:sz w:val="32"/>
          <w:szCs w:val="32"/>
        </w:rPr>
      </w:pPr>
      <w:r>
        <w:rPr>
          <w:rFonts w:hint="eastAsia" w:ascii="仿宋_GB2312" w:hAnsi="CESI仿宋-GB2312" w:eastAsia="仿宋_GB2312" w:cs="CESI仿宋-GB2312"/>
          <w:b/>
          <w:bCs/>
          <w:sz w:val="32"/>
          <w:szCs w:val="32"/>
        </w:rPr>
        <w:t>建立全区一体化感知资源统筹机制。</w:t>
      </w:r>
      <w:r>
        <w:rPr>
          <w:rFonts w:hint="eastAsia" w:ascii="仿宋_GB2312" w:hAnsi="CESI仿宋-GB2312" w:eastAsia="仿宋_GB2312" w:cs="CESI仿宋-GB2312"/>
          <w:sz w:val="32"/>
          <w:szCs w:val="32"/>
        </w:rPr>
        <w:t>在规划、建设、应用等层面建设全区一体化的感知资源体系，完善生态治理、雪亮工程等领域的感知资源的跨部门跨层级共享机制。</w:t>
      </w:r>
    </w:p>
    <w:p>
      <w:pPr>
        <w:spacing w:line="560" w:lineRule="exact"/>
        <w:ind w:firstLine="643" w:firstLineChars="200"/>
        <w:jc w:val="left"/>
        <w:rPr>
          <w:rFonts w:hint="eastAsia" w:ascii="仿宋_GB2312" w:hAnsi="CESI仿宋-GB2312" w:eastAsia="仿宋_GB2312" w:cs="CESI仿宋-GB2312"/>
          <w:sz w:val="32"/>
          <w:szCs w:val="32"/>
        </w:rPr>
      </w:pPr>
      <w:bookmarkStart w:id="50" w:name="OLE_LINK75"/>
      <w:bookmarkStart w:id="51" w:name="OLE_LINK76"/>
      <w:r>
        <w:rPr>
          <w:rFonts w:hint="eastAsia" w:ascii="仿宋_GB2312" w:hAnsi="CESI仿宋-GB2312" w:eastAsia="仿宋_GB2312" w:cs="CESI仿宋-GB2312"/>
          <w:b/>
          <w:bCs/>
          <w:sz w:val="32"/>
          <w:szCs w:val="32"/>
        </w:rPr>
        <w:t>提升感知资源的智能化感知能力。</w:t>
      </w:r>
      <w:r>
        <w:rPr>
          <w:rFonts w:hint="eastAsia" w:ascii="仿宋_GB2312" w:hAnsi="CESI仿宋-GB2312" w:eastAsia="仿宋_GB2312" w:cs="CESI仿宋-GB2312"/>
          <w:sz w:val="32"/>
          <w:szCs w:val="32"/>
        </w:rPr>
        <w:t>推进智慧路灯、智慧管廊、智慧公交牌、智能垃圾箱、智能井盖等市政基础设施智慧化改造。建立新型融合基础设施建设统筹推进机制，实现基础设施跨部门规划、实施、运维的同频同步，提升怀柔区基础设施运行效率、管理效率和服务能力。</w:t>
      </w:r>
      <w:bookmarkEnd w:id="50"/>
      <w:bookmarkEnd w:id="51"/>
    </w:p>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rPr>
      </w:pPr>
      <w:bookmarkStart w:id="52" w:name="_Toc12203"/>
      <w:r>
        <w:rPr>
          <w:rFonts w:hint="eastAsia" w:ascii="Times New Roman" w:hAnsi="Times New Roman" w:eastAsia="仿宋_GB2312"/>
          <w:sz w:val="32"/>
          <w:szCs w:val="32"/>
        </w:rPr>
        <w:t>4.统筹和提升全区算力资源供给</w:t>
      </w:r>
      <w:bookmarkEnd w:id="52"/>
    </w:p>
    <w:p>
      <w:pPr>
        <w:spacing w:line="560" w:lineRule="exact"/>
        <w:ind w:firstLine="643" w:firstLineChars="200"/>
        <w:jc w:val="left"/>
        <w:rPr>
          <w:rFonts w:hint="eastAsia" w:ascii="仿宋_GB2312" w:hAnsi="CESI仿宋-GB2312" w:eastAsia="仿宋_GB2312" w:cs="CESI仿宋-GB2312"/>
          <w:sz w:val="32"/>
        </w:rPr>
      </w:pPr>
      <w:r>
        <w:rPr>
          <w:rFonts w:hint="eastAsia" w:ascii="仿宋_GB2312" w:hAnsi="CESI仿宋-GB2312" w:eastAsia="仿宋_GB2312" w:cs="CESI仿宋-GB2312"/>
          <w:b/>
          <w:bCs/>
          <w:sz w:val="32"/>
          <w:szCs w:val="32"/>
        </w:rPr>
        <w:t>统筹现有通用计算、超级计算、AI计算等算力资源</w:t>
      </w:r>
      <w:r>
        <w:rPr>
          <w:rFonts w:hint="eastAsia" w:ascii="仿宋_GB2312" w:hAnsi="CESI仿宋-GB2312" w:eastAsia="仿宋_GB2312" w:cs="CESI仿宋-GB2312"/>
          <w:sz w:val="32"/>
          <w:szCs w:val="32"/>
        </w:rPr>
        <w:t>，围绕服务怀柔科学城建设和产业高端发展需求，整合利用统筹集约、安全可靠、绿色节能的</w:t>
      </w:r>
      <w:r>
        <w:rPr>
          <w:rFonts w:hint="eastAsia" w:ascii="仿宋_GB2312" w:hAnsi="CESI仿宋-GB2312" w:eastAsia="仿宋_GB2312" w:cs="CESI仿宋-GB2312"/>
          <w:sz w:val="32"/>
        </w:rPr>
        <w:t>基础科学人工智能算力中心，为怀柔科学城的科研院所、高校、科研团队、重点实验室的科技研发和原始创新提供算力支撑。</w:t>
      </w:r>
    </w:p>
    <w:p>
      <w:pPr>
        <w:spacing w:line="560" w:lineRule="exact"/>
        <w:ind w:firstLine="643" w:firstLineChars="200"/>
        <w:jc w:val="left"/>
        <w:rPr>
          <w:rFonts w:hint="eastAsia" w:ascii="仿宋_GB2312" w:hAnsi="CESI仿宋-GB2312" w:eastAsia="仿宋_GB2312" w:cs="CESI仿宋-GB2312"/>
          <w:sz w:val="32"/>
          <w:szCs w:val="32"/>
        </w:rPr>
      </w:pPr>
      <w:r>
        <w:rPr>
          <w:rFonts w:hint="eastAsia" w:ascii="仿宋_GB2312" w:hAnsi="CESI仿宋-GB2312" w:eastAsia="仿宋_GB2312" w:cs="CESI仿宋-GB2312"/>
          <w:b/>
          <w:bCs/>
          <w:sz w:val="32"/>
        </w:rPr>
        <w:t>提升和优化算力资源供给。</w:t>
      </w:r>
      <w:r>
        <w:rPr>
          <w:rFonts w:hint="eastAsia" w:ascii="仿宋_GB2312" w:hAnsi="CESI仿宋-GB2312" w:eastAsia="仿宋_GB2312" w:cs="CESI仿宋-GB2312"/>
          <w:sz w:val="32"/>
        </w:rPr>
        <w:t>推动首发云计算中心和北京超级云计算中心两大算力中心建设</w:t>
      </w:r>
      <w:r>
        <w:rPr>
          <w:rFonts w:hint="eastAsia" w:ascii="仿宋_GB2312" w:hAnsi="CESI仿宋-GB2312" w:eastAsia="仿宋_GB2312" w:cs="CESI仿宋-GB2312"/>
          <w:sz w:val="32"/>
          <w:szCs w:val="32"/>
        </w:rPr>
        <w:t>。对现有存量算力资源技改升级，加强全区算力的调度和统筹，并融入市级算力平台的资源整合，实现市区两级算力资源的统筹共享。积极推进算力平台建设，促进算力资源的国产替代，增强算力平台的安全可靠。</w:t>
      </w:r>
    </w:p>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rPr>
      </w:pPr>
      <w:bookmarkStart w:id="53" w:name="_Toc16925"/>
      <w:r>
        <w:rPr>
          <w:rFonts w:hint="eastAsia" w:ascii="Times New Roman" w:hAnsi="Times New Roman" w:eastAsia="仿宋_GB2312"/>
          <w:sz w:val="32"/>
          <w:szCs w:val="32"/>
        </w:rPr>
        <w:t>5.打造科研可信数据空间</w:t>
      </w:r>
      <w:bookmarkEnd w:id="53"/>
    </w:p>
    <w:p>
      <w:pPr>
        <w:spacing w:line="560" w:lineRule="exact"/>
        <w:ind w:firstLine="643" w:firstLineChars="200"/>
        <w:jc w:val="left"/>
        <w:rPr>
          <w:rFonts w:hint="eastAsia" w:ascii="仿宋_GB2312" w:hAnsi="CESI仿宋-GB2312" w:eastAsia="仿宋_GB2312" w:cs="CESI仿宋-GB2312"/>
          <w:sz w:val="32"/>
          <w:szCs w:val="32"/>
        </w:rPr>
      </w:pPr>
      <w:r>
        <w:rPr>
          <w:rFonts w:hint="eastAsia" w:ascii="仿宋_GB2312" w:hAnsi="CESI仿宋-GB2312" w:eastAsia="仿宋_GB2312" w:cs="CESI仿宋-GB2312"/>
          <w:b/>
          <w:bCs/>
          <w:sz w:val="32"/>
          <w:szCs w:val="32"/>
        </w:rPr>
        <w:t>建设目标。</w:t>
      </w:r>
      <w:r>
        <w:rPr>
          <w:rFonts w:hint="eastAsia" w:ascii="仿宋_GB2312" w:hAnsi="CESI仿宋-GB2312" w:eastAsia="仿宋_GB2312" w:cs="CESI仿宋-GB2312"/>
          <w:sz w:val="32"/>
          <w:szCs w:val="32"/>
        </w:rPr>
        <w:t>采用“中科院</w:t>
      </w:r>
      <w:r>
        <w:rPr>
          <w:rFonts w:ascii="仿宋_GB2312" w:hAnsi="CESI仿宋-GB2312" w:eastAsia="仿宋_GB2312" w:cs="CESI仿宋-GB2312"/>
          <w:sz w:val="32"/>
          <w:szCs w:val="32"/>
        </w:rPr>
        <w:t>+</w:t>
      </w:r>
      <w:r>
        <w:rPr>
          <w:rFonts w:hint="eastAsia" w:ascii="仿宋_GB2312" w:hAnsi="CESI仿宋-GB2312" w:eastAsia="仿宋_GB2312" w:cs="CESI仿宋-GB2312"/>
          <w:sz w:val="32"/>
          <w:szCs w:val="32"/>
        </w:rPr>
        <w:t>北京</w:t>
      </w:r>
      <w:r>
        <w:rPr>
          <w:rFonts w:ascii="仿宋_GB2312" w:hAnsi="CESI仿宋-GB2312" w:eastAsia="仿宋_GB2312" w:cs="CESI仿宋-GB2312"/>
          <w:sz w:val="32"/>
          <w:szCs w:val="32"/>
        </w:rPr>
        <w:t>”共建</w:t>
      </w:r>
      <w:r>
        <w:rPr>
          <w:rFonts w:hint="eastAsia" w:ascii="仿宋_GB2312" w:hAnsi="CESI仿宋-GB2312" w:eastAsia="仿宋_GB2312" w:cs="CESI仿宋-GB2312"/>
          <w:sz w:val="32"/>
          <w:szCs w:val="32"/>
        </w:rPr>
        <w:t>模式，打造科研可信数据空间，助力高质量科学数据资源建设和场景应用开发，实现产业升级。</w:t>
      </w:r>
    </w:p>
    <w:p>
      <w:pPr>
        <w:spacing w:line="560" w:lineRule="exact"/>
        <w:ind w:firstLine="643" w:firstLineChars="200"/>
        <w:jc w:val="left"/>
        <w:rPr>
          <w:rFonts w:hint="eastAsia" w:ascii="仿宋_GB2312" w:hAnsi="CESI仿宋-GB2312" w:eastAsia="仿宋_GB2312" w:cs="CESI仿宋-GB2312"/>
          <w:sz w:val="32"/>
          <w:szCs w:val="32"/>
        </w:rPr>
      </w:pPr>
      <w:r>
        <w:rPr>
          <w:rFonts w:hint="eastAsia" w:ascii="仿宋_GB2312" w:hAnsi="CESI仿宋-GB2312" w:eastAsia="仿宋_GB2312" w:cs="CESI仿宋-GB2312"/>
          <w:b/>
          <w:bCs/>
          <w:sz w:val="32"/>
          <w:szCs w:val="32"/>
        </w:rPr>
        <w:t>主要建设内容。</w:t>
      </w:r>
      <w:r>
        <w:rPr>
          <w:rFonts w:hint="eastAsia" w:ascii="仿宋_GB2312" w:hAnsi="CESI仿宋-GB2312" w:eastAsia="仿宋_GB2312" w:cs="CESI仿宋-GB2312"/>
          <w:sz w:val="32"/>
          <w:szCs w:val="32"/>
        </w:rPr>
        <w:t>建平台，建成一门户两平台和三系统的服务生态网络。汇数据，以应用场景推进相关学科数据的汇集，发挥数据乘数效应。立标准，建立一整套科研数据流通标准体系。促产业，借鉴国外经验，形成怀柔科学城吸聚高能级科研资源、数据服务与AI应用生态的虹吸效应，拉动区域投资，加快高新企业和专业人才入驻，打造良性产业生态发展态势。</w:t>
      </w:r>
    </w:p>
    <w:tbl>
      <w:tblPr>
        <w:tblStyle w:val="2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lang w:bidi="ar"/>
              </w:rPr>
            </w:pPr>
            <w:r>
              <w:rPr>
                <w:rFonts w:hint="eastAsia" w:ascii="Times New Roman" w:hAnsi="Times New Roman" w:eastAsia="仿宋_GB2312" w:cs="仿宋_GB2312"/>
                <w:b/>
                <w:bCs/>
                <w:sz w:val="28"/>
                <w:szCs w:val="28"/>
                <w:lang w:bidi="ar"/>
              </w:rPr>
              <w:t>专栏十二：基础设施重点工程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96" w:type="dxa"/>
            <w:tcBorders>
              <w:top w:val="single" w:color="auto" w:sz="4" w:space="0"/>
              <w:left w:val="single" w:color="auto" w:sz="4" w:space="0"/>
              <w:bottom w:val="single" w:color="auto" w:sz="4" w:space="0"/>
              <w:right w:val="single" w:color="auto" w:sz="4" w:space="0"/>
            </w:tcBorders>
            <w:tcMar>
              <w:top w:w="120" w:type="dxa"/>
              <w:left w:w="60" w:type="dxa"/>
              <w:bottom w:w="120" w:type="dxa"/>
              <w:right w:w="60" w:type="dxa"/>
            </w:tcMar>
          </w:tcPr>
          <w:p>
            <w:pPr>
              <w:spacing w:line="560" w:lineRule="exact"/>
              <w:ind w:firstLine="562" w:firstLineChars="200"/>
              <w:jc w:val="left"/>
              <w:rPr>
                <w:rFonts w:ascii="Times New Roman" w:hAnsi="Times New Roman" w:eastAsia="仿宋_GB2312"/>
                <w:color w:val="000000"/>
                <w:sz w:val="28"/>
                <w:szCs w:val="28"/>
              </w:rPr>
            </w:pPr>
            <w:r>
              <w:rPr>
                <w:rFonts w:ascii="Times New Roman" w:hAnsi="Times New Roman" w:eastAsia="仿宋_GB2312"/>
                <w:b/>
                <w:bCs/>
                <w:color w:val="000000"/>
                <w:sz w:val="28"/>
                <w:szCs w:val="28"/>
                <w:lang w:bidi="ar"/>
              </w:rPr>
              <w:t>1.</w:t>
            </w:r>
            <w:r>
              <w:rPr>
                <w:rFonts w:hint="eastAsia" w:ascii="Times New Roman" w:hAnsi="Times New Roman" w:eastAsia="仿宋_GB2312" w:cs="仿宋_GB2312"/>
                <w:b/>
                <w:bCs/>
                <w:color w:val="000000"/>
                <w:sz w:val="28"/>
                <w:szCs w:val="28"/>
                <w:lang w:bidi="ar"/>
              </w:rPr>
              <w:t>政务云建设。</w:t>
            </w:r>
            <w:r>
              <w:rPr>
                <w:rFonts w:hint="eastAsia" w:ascii="Times New Roman" w:hAnsi="Times New Roman" w:eastAsia="仿宋_GB2312" w:cs="仿宋_GB2312"/>
                <w:color w:val="000000"/>
                <w:sz w:val="28"/>
                <w:szCs w:val="28"/>
                <w:lang w:bidi="ar"/>
              </w:rPr>
              <w:t>全面统筹怀柔区各类政务云资源，推进建设一体化政务云平台体系和管理体系，主要包括计算、存储、网络、安全、灾备等</w:t>
            </w:r>
            <w:r>
              <w:rPr>
                <w:rFonts w:ascii="Times New Roman" w:hAnsi="Times New Roman" w:eastAsia="仿宋_GB2312"/>
                <w:color w:val="000000"/>
                <w:sz w:val="28"/>
                <w:szCs w:val="28"/>
                <w:lang w:bidi="ar"/>
              </w:rPr>
              <w:t>IaaS</w:t>
            </w:r>
            <w:r>
              <w:rPr>
                <w:rFonts w:hint="eastAsia" w:ascii="Times New Roman" w:hAnsi="Times New Roman" w:eastAsia="仿宋_GB2312" w:cs="仿宋_GB2312"/>
                <w:color w:val="000000"/>
                <w:sz w:val="28"/>
                <w:szCs w:val="28"/>
                <w:lang w:bidi="ar"/>
              </w:rPr>
              <w:t>服务能力以及操作系统、数据库、中间件等</w:t>
            </w:r>
            <w:r>
              <w:rPr>
                <w:rFonts w:ascii="Times New Roman" w:hAnsi="Times New Roman" w:eastAsia="仿宋_GB2312"/>
                <w:color w:val="000000"/>
                <w:sz w:val="28"/>
                <w:szCs w:val="28"/>
                <w:lang w:bidi="ar"/>
              </w:rPr>
              <w:t>PaaS</w:t>
            </w:r>
            <w:r>
              <w:rPr>
                <w:rFonts w:hint="eastAsia" w:ascii="Times New Roman" w:hAnsi="Times New Roman" w:eastAsia="仿宋_GB2312" w:cs="仿宋_GB2312"/>
                <w:color w:val="000000"/>
                <w:sz w:val="28"/>
                <w:szCs w:val="28"/>
                <w:lang w:bidi="ar"/>
              </w:rPr>
              <w:t>服务能力的采购，并基于怀柔区政务云平台体系，按照集约建设的原则，采用国产化服务器、数据库系统、中间件系统等软硬件，构建自主创新高可靠的全栈国产政务云服务环境，提升怀柔区数字化建设的安全可控水平。（牵头部门：怀柔区政务服务和数据管理局）</w:t>
            </w:r>
          </w:p>
          <w:p>
            <w:pPr>
              <w:spacing w:line="560" w:lineRule="exact"/>
              <w:ind w:firstLine="562" w:firstLineChars="200"/>
              <w:jc w:val="left"/>
            </w:pPr>
            <w:r>
              <w:rPr>
                <w:rFonts w:ascii="Times New Roman" w:hAnsi="Times New Roman" w:eastAsia="仿宋_GB2312"/>
                <w:b/>
                <w:bCs/>
                <w:color w:val="000000"/>
                <w:sz w:val="28"/>
                <w:szCs w:val="28"/>
                <w:lang w:bidi="ar"/>
              </w:rPr>
              <w:t>2.</w:t>
            </w:r>
            <w:r>
              <w:rPr>
                <w:rFonts w:hint="eastAsia" w:ascii="Times New Roman" w:hAnsi="Times New Roman" w:eastAsia="仿宋_GB2312"/>
                <w:b/>
                <w:bCs/>
                <w:color w:val="000000"/>
                <w:sz w:val="28"/>
                <w:szCs w:val="28"/>
                <w:lang w:bidi="ar"/>
              </w:rPr>
              <w:t>政务网建设。</w:t>
            </w:r>
            <w:r>
              <w:rPr>
                <w:rFonts w:hint="eastAsia" w:ascii="Times New Roman" w:hAnsi="Times New Roman" w:eastAsia="仿宋_GB2312"/>
                <w:color w:val="000000"/>
                <w:sz w:val="28"/>
                <w:szCs w:val="28"/>
                <w:lang w:bidi="ar"/>
              </w:rPr>
              <w:t>电子政务外网的改造和提升，包括IPv6功能支持、信创化改造、设备升级和网络优化、升级</w:t>
            </w:r>
            <w:r>
              <w:rPr>
                <w:rFonts w:ascii="Times New Roman" w:hAnsi="Times New Roman" w:eastAsia="仿宋_GB2312"/>
                <w:color w:val="000000"/>
                <w:sz w:val="28"/>
                <w:szCs w:val="28"/>
                <w:lang w:bidi="ar"/>
              </w:rPr>
              <w:t>IPv6</w:t>
            </w:r>
            <w:r>
              <w:rPr>
                <w:rFonts w:hint="eastAsia" w:ascii="Times New Roman" w:hAnsi="Times New Roman" w:eastAsia="仿宋_GB2312"/>
                <w:color w:val="000000"/>
                <w:sz w:val="28"/>
                <w:szCs w:val="28"/>
                <w:lang w:bidi="ar"/>
              </w:rPr>
              <w:t>安全接入平台等（牵头部门：怀柔区政务服务和数据管理局）</w:t>
            </w:r>
          </w:p>
        </w:tc>
      </w:tr>
    </w:tbl>
    <w:p>
      <w:pPr>
        <w:spacing w:line="560" w:lineRule="exact"/>
        <w:jc w:val="left"/>
        <w:rPr>
          <w:rFonts w:ascii="Times New Roman" w:hAnsi="Times New Roman" w:eastAsia="仿宋_GB2312" w:cs="仿宋_GB2312"/>
          <w:b/>
          <w:bCs/>
          <w:color w:val="000000"/>
          <w:sz w:val="32"/>
          <w:szCs w:val="32"/>
          <w:lang w:bidi="ar"/>
        </w:rPr>
      </w:pPr>
    </w:p>
    <w:p>
      <w:pPr>
        <w:pStyle w:val="3"/>
        <w:spacing w:line="560" w:lineRule="exact"/>
        <w:ind w:left="0" w:right="0" w:rightChars="0" w:firstLine="640" w:firstLineChars="200"/>
        <w:rPr>
          <w:rFonts w:ascii="Times New Roman" w:hAnsi="Times New Roman"/>
          <w:b w:val="0"/>
          <w:bCs w:val="0"/>
          <w:sz w:val="32"/>
          <w:szCs w:val="32"/>
        </w:rPr>
      </w:pPr>
      <w:bookmarkStart w:id="54" w:name="_Toc31172"/>
      <w:r>
        <w:rPr>
          <w:rFonts w:hint="eastAsia" w:ascii="楷体_GB2312" w:hAnsi="楷体_GB2312" w:eastAsia="楷体_GB2312" w:cs="楷体_GB2312"/>
          <w:b w:val="0"/>
          <w:bCs w:val="0"/>
          <w:sz w:val="32"/>
          <w:szCs w:val="32"/>
        </w:rPr>
        <w:t>建设一体化的管理保障体系</w:t>
      </w:r>
      <w:bookmarkEnd w:id="54"/>
    </w:p>
    <w:p>
      <w:pPr>
        <w:spacing w:line="560" w:lineRule="exact"/>
        <w:ind w:firstLine="640" w:firstLineChars="200"/>
        <w:rPr>
          <w:rFonts w:hint="eastAsia" w:ascii="Times New Roman" w:hAnsi="Times New Roman" w:eastAsia="仿宋_GB2312"/>
          <w:sz w:val="28"/>
          <w:szCs w:val="28"/>
        </w:rPr>
      </w:pPr>
      <w:r>
        <w:rPr>
          <w:rFonts w:hint="eastAsia" w:ascii="Times New Roman" w:hAnsi="Times New Roman" w:eastAsia="仿宋_GB2312"/>
          <w:sz w:val="32"/>
          <w:szCs w:val="32"/>
          <w:lang w:bidi="ar"/>
        </w:rPr>
        <w:t>从管理体系、配套机制、资源保障等层面，构建一体化的管理保障体系。</w:t>
      </w:r>
    </w:p>
    <w:p>
      <w:pPr>
        <w:pStyle w:val="4"/>
        <w:numPr>
          <w:ilvl w:val="0"/>
          <w:numId w:val="0"/>
        </w:numPr>
        <w:tabs>
          <w:tab w:val="clear" w:pos="0"/>
          <w:tab w:val="clear" w:pos="2978"/>
        </w:tabs>
        <w:spacing w:before="0" w:beforeLines="0" w:after="0" w:afterLines="0" w:line="560" w:lineRule="exact"/>
        <w:ind w:firstLine="643" w:firstLineChars="200"/>
        <w:rPr>
          <w:rFonts w:ascii="Times New Roman" w:hAnsi="Times New Roman" w:eastAsia="仿宋_GB2312"/>
          <w:sz w:val="32"/>
          <w:szCs w:val="32"/>
          <w:lang w:bidi="ar"/>
        </w:rPr>
      </w:pPr>
      <w:bookmarkStart w:id="55" w:name="_Toc24141"/>
      <w:r>
        <w:rPr>
          <w:rFonts w:ascii="Times New Roman" w:hAnsi="Times New Roman" w:eastAsia="仿宋_GB2312"/>
          <w:sz w:val="32"/>
          <w:szCs w:val="32"/>
          <w:lang w:bidi="ar"/>
        </w:rPr>
        <w:t>1.</w:t>
      </w:r>
      <w:r>
        <w:rPr>
          <w:rFonts w:hint="eastAsia" w:ascii="Times New Roman" w:hAnsi="Times New Roman" w:eastAsia="仿宋_GB2312"/>
          <w:sz w:val="32"/>
          <w:szCs w:val="32"/>
          <w:lang w:bidi="ar"/>
        </w:rPr>
        <w:t>建立统筹高效的管理体系</w:t>
      </w:r>
      <w:bookmarkEnd w:id="55"/>
    </w:p>
    <w:p>
      <w:pPr>
        <w:spacing w:line="560" w:lineRule="exact"/>
        <w:ind w:firstLine="643" w:firstLineChars="200"/>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建立全区数字化转型建设运营领导小组会议制度。</w:t>
      </w:r>
      <w:r>
        <w:rPr>
          <w:rFonts w:hint="eastAsia" w:ascii="Times New Roman" w:hAnsi="Times New Roman" w:eastAsia="仿宋_GB2312"/>
          <w:sz w:val="32"/>
          <w:szCs w:val="32"/>
          <w:lang w:bidi="ar"/>
        </w:rPr>
        <w:t>重点解决跨部门、跨行业、跨领域的数字政府业务协同、需求统筹、信息共享及沟通协调等问题，指导督促各地各部门落实各项改革建设工作任务。</w:t>
      </w:r>
    </w:p>
    <w:p>
      <w:pPr>
        <w:spacing w:line="560" w:lineRule="exact"/>
        <w:ind w:firstLine="643" w:firstLineChars="200"/>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强化政数局的统筹管理。</w:t>
      </w:r>
      <w:r>
        <w:rPr>
          <w:rFonts w:hint="eastAsia" w:ascii="Times New Roman" w:hAnsi="Times New Roman" w:eastAsia="仿宋_GB2312"/>
          <w:sz w:val="32"/>
          <w:szCs w:val="32"/>
          <w:lang w:bidi="ar"/>
        </w:rPr>
        <w:t>统筹协调各职能部门信息化项目管理，统筹本行政区域内公共数据的采集、分 类、管理、分析和应用工作，提高本级数字政府数据统筹、集约、共享力度。</w:t>
      </w:r>
    </w:p>
    <w:p>
      <w:pPr>
        <w:spacing w:line="560" w:lineRule="exact"/>
        <w:ind w:firstLine="643" w:firstLineChars="200"/>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建立首席数据官工作机制。</w:t>
      </w:r>
      <w:r>
        <w:rPr>
          <w:rFonts w:hint="eastAsia" w:ascii="Times New Roman" w:hAnsi="Times New Roman" w:eastAsia="仿宋_GB2312"/>
          <w:sz w:val="32"/>
          <w:szCs w:val="32"/>
          <w:lang w:bidi="ar"/>
        </w:rPr>
        <w:t>明确首席数据官的组织体系、职责 范围，完善考核机制，推动数据标准制定和执行，促进公共数据开发利用，优化数据资源配置，进一步释放数据要素价值。</w:t>
      </w:r>
    </w:p>
    <w:p>
      <w:pPr>
        <w:spacing w:line="560" w:lineRule="exact"/>
        <w:ind w:firstLine="643" w:firstLineChars="200"/>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健全跨层级跨部门联动的建设运行机制。</w:t>
      </w:r>
      <w:r>
        <w:rPr>
          <w:rFonts w:hint="eastAsia" w:ascii="Times New Roman" w:hAnsi="Times New Roman" w:eastAsia="仿宋_GB2312"/>
          <w:sz w:val="32"/>
          <w:szCs w:val="32"/>
          <w:lang w:bidi="ar"/>
        </w:rPr>
        <w:t>强化全区统筹联动和试点示范带动，创新建设协同机制。强化全区统筹集约化的建设要求，支持各部门各层级先行先试，形成一批标准化、可复制的示范应用，及时总结推广。</w:t>
      </w:r>
    </w:p>
    <w:p>
      <w:pPr>
        <w:pStyle w:val="4"/>
        <w:numPr>
          <w:ilvl w:val="0"/>
          <w:numId w:val="0"/>
        </w:numPr>
        <w:tabs>
          <w:tab w:val="clear" w:pos="0"/>
          <w:tab w:val="clear" w:pos="2978"/>
        </w:tabs>
        <w:spacing w:before="0" w:beforeLines="0" w:after="0" w:afterLines="0" w:line="560" w:lineRule="exact"/>
        <w:ind w:firstLine="643" w:firstLineChars="200"/>
        <w:rPr>
          <w:rFonts w:hint="eastAsia" w:ascii="Times New Roman" w:hAnsi="Times New Roman" w:eastAsia="仿宋_GB2312"/>
          <w:sz w:val="32"/>
          <w:szCs w:val="32"/>
          <w:lang w:bidi="ar"/>
        </w:rPr>
      </w:pPr>
      <w:bookmarkStart w:id="56" w:name="_Toc17641"/>
      <w:r>
        <w:rPr>
          <w:rFonts w:hint="eastAsia" w:ascii="Times New Roman" w:hAnsi="Times New Roman" w:eastAsia="仿宋_GB2312"/>
          <w:sz w:val="32"/>
          <w:szCs w:val="32"/>
          <w:lang w:bidi="ar"/>
        </w:rPr>
        <w:t>2.完善相关配套机制</w:t>
      </w:r>
      <w:bookmarkEnd w:id="56"/>
    </w:p>
    <w:p>
      <w:pPr>
        <w:spacing w:line="560" w:lineRule="exact"/>
        <w:ind w:firstLine="643" w:firstLineChars="200"/>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完善监督指导机制。</w:t>
      </w:r>
      <w:r>
        <w:rPr>
          <w:rFonts w:hint="eastAsia" w:ascii="Times New Roman" w:hAnsi="Times New Roman" w:eastAsia="仿宋_GB2312"/>
          <w:sz w:val="32"/>
          <w:szCs w:val="32"/>
          <w:lang w:bidi="ar"/>
        </w:rPr>
        <w:t>加强政策监督指导。健全任务督促检查、第三方评估和民众公开的制度监督机制，加强政务信息化项目建设、数字化转型体制机制改革等重点工作的过程管理和效果评估。定期开展项目监督指导、应用示范建设等监督评估工作，做到能上能下，动态调整。强化政府相关规划指导、政策引领、监督监管作用，积极探索长效发展路径、管理方式、推进模式和体制机制。</w:t>
      </w:r>
    </w:p>
    <w:p>
      <w:pPr>
        <w:spacing w:line="560" w:lineRule="exact"/>
        <w:ind w:firstLine="643" w:firstLineChars="200"/>
        <w:rPr>
          <w:rFonts w:hint="eastAsia" w:ascii="Times New Roman" w:hAnsi="Times New Roman" w:eastAsia="仿宋_GB2312"/>
          <w:sz w:val="32"/>
          <w:szCs w:val="32"/>
          <w:lang w:bidi="ar"/>
        </w:rPr>
      </w:pPr>
      <w:r>
        <w:rPr>
          <w:rFonts w:hint="eastAsia" w:ascii="Times New Roman" w:hAnsi="Times New Roman" w:eastAsia="仿宋_GB2312"/>
          <w:b/>
          <w:bCs/>
          <w:sz w:val="32"/>
          <w:szCs w:val="32"/>
          <w:lang w:bidi="ar"/>
        </w:rPr>
        <w:t>完善培训宣传引导机制。</w:t>
      </w:r>
      <w:r>
        <w:rPr>
          <w:rFonts w:hint="eastAsia" w:ascii="Times New Roman" w:hAnsi="Times New Roman" w:eastAsia="仿宋_GB2312"/>
          <w:sz w:val="32"/>
          <w:szCs w:val="32"/>
          <w:lang w:bidi="ar"/>
        </w:rPr>
        <w:t>强化数字化培训宣传。充分发挥宣传交流的引导作用，统一思想，凝聚共识，推动营造数字政府提升良好氛围。深入挖掘试验典型和示范标杆，定期遴选总结形成一批可复制、可推广的经验做法，利用报刊、广播电视、新媒体平台、重大展会活动等，加强试验典型和示范标杆的宣传推广，不断总结形成一批可操作、可复制、可推广的有益做法和成功经验，积极宣传推介数字化提升的最新成果，及时发布招商引资信息，做好数字化转型相关政策解读，提高发展知名度。</w:t>
      </w:r>
    </w:p>
    <w:p>
      <w:pPr>
        <w:pStyle w:val="3"/>
        <w:spacing w:line="560" w:lineRule="exact"/>
        <w:ind w:left="0" w:right="0" w:rightChars="0" w:firstLine="640" w:firstLineChars="200"/>
        <w:rPr>
          <w:rFonts w:ascii="Times New Roman" w:hAnsi="Times New Roman"/>
          <w:b w:val="0"/>
          <w:bCs w:val="0"/>
          <w:sz w:val="32"/>
          <w:szCs w:val="32"/>
        </w:rPr>
      </w:pPr>
      <w:bookmarkStart w:id="57" w:name="_Toc26946"/>
      <w:r>
        <w:rPr>
          <w:rFonts w:hint="eastAsia" w:ascii="楷体_GB2312" w:hAnsi="楷体_GB2312" w:eastAsia="楷体_GB2312" w:cs="楷体_GB2312"/>
          <w:b w:val="0"/>
          <w:bCs w:val="0"/>
          <w:sz w:val="32"/>
          <w:szCs w:val="32"/>
        </w:rPr>
        <w:t>建设一体化的安全保障体系</w:t>
      </w:r>
      <w:bookmarkEnd w:id="57"/>
    </w:p>
    <w:p>
      <w:pPr>
        <w:spacing w:line="56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落实国家、北京市相关要求，全区网络安全投入占信息化投入比例需达到10％，依托北京相关平台和能力，推进怀柔自身系统化的安全保障体系建设。</w:t>
      </w:r>
    </w:p>
    <w:p>
      <w:pPr>
        <w:spacing w:line="560" w:lineRule="exact"/>
        <w:ind w:firstLine="643" w:firstLineChars="200"/>
        <w:outlineLvl w:val="2"/>
        <w:rPr>
          <w:rFonts w:ascii="Times New Roman" w:hAnsi="Times New Roman" w:eastAsia="仿宋_GB2312"/>
          <w:b/>
          <w:bCs/>
          <w:sz w:val="32"/>
          <w:szCs w:val="32"/>
          <w:lang w:bidi="ar"/>
        </w:rPr>
      </w:pPr>
      <w:bookmarkStart w:id="58" w:name="_Toc32288"/>
      <w:r>
        <w:rPr>
          <w:rFonts w:ascii="Times New Roman" w:hAnsi="Times New Roman" w:eastAsia="仿宋_GB2312"/>
          <w:b/>
          <w:bCs/>
          <w:sz w:val="32"/>
          <w:szCs w:val="32"/>
          <w:lang w:bidi="ar"/>
        </w:rPr>
        <w:t>1.</w:t>
      </w:r>
      <w:r>
        <w:rPr>
          <w:rFonts w:hint="eastAsia" w:ascii="Times New Roman" w:hAnsi="Times New Roman" w:eastAsia="仿宋_GB2312"/>
          <w:b/>
          <w:bCs/>
          <w:sz w:val="32"/>
          <w:szCs w:val="32"/>
          <w:lang w:bidi="ar"/>
        </w:rPr>
        <w:t>强化</w:t>
      </w:r>
      <w:r>
        <w:rPr>
          <w:rFonts w:ascii="Times New Roman" w:hAnsi="Times New Roman" w:eastAsia="仿宋_GB2312"/>
          <w:b/>
          <w:bCs/>
          <w:sz w:val="32"/>
          <w:szCs w:val="32"/>
          <w:lang w:bidi="ar"/>
        </w:rPr>
        <w:t>安全责任管理</w:t>
      </w:r>
      <w:bookmarkEnd w:id="58"/>
    </w:p>
    <w:p>
      <w:pPr>
        <w:spacing w:line="56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lang w:bidi="ar"/>
        </w:rPr>
        <w:t>构建党政、宣传、行政审批、政务服务与数据管理等部门共同参与的安全管理运行机制</w:t>
      </w:r>
      <w:r>
        <w:rPr>
          <w:rFonts w:ascii="Times New Roman" w:hAnsi="Times New Roman" w:eastAsia="仿宋_GB2312"/>
          <w:sz w:val="32"/>
          <w:szCs w:val="32"/>
          <w:lang w:bidi="ar"/>
        </w:rPr>
        <w:t>，明确各级主体责任和行业主管监管部门指导监管责任，加强工作协调联动，有序推进数字化建设安全管理保障工作。</w:t>
      </w:r>
    </w:p>
    <w:p>
      <w:pPr>
        <w:spacing w:line="56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lang w:bidi="ar"/>
        </w:rPr>
        <w:t>健全安全等级保护、涉密信息系统分级保护、风险评估预警通报、应急处置制度</w:t>
      </w:r>
      <w:r>
        <w:rPr>
          <w:rFonts w:ascii="Times New Roman" w:hAnsi="Times New Roman" w:eastAsia="仿宋_GB2312"/>
          <w:sz w:val="32"/>
          <w:szCs w:val="32"/>
          <w:lang w:bidi="ar"/>
        </w:rPr>
        <w:t>，按照“谁主管谁负责、谁运营谁负责、谁使用谁负责”和“管业务必须管安全”的原则，完善安全责任机制，将安全责任、监督、激励等工作融入各部门单位业务体系。</w:t>
      </w:r>
    </w:p>
    <w:p>
      <w:pPr>
        <w:spacing w:line="56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lang w:bidi="ar"/>
        </w:rPr>
        <w:t>加强安全意识教育和培训</w:t>
      </w:r>
      <w:r>
        <w:rPr>
          <w:rFonts w:ascii="Times New Roman" w:hAnsi="Times New Roman" w:eastAsia="仿宋_GB2312"/>
          <w:sz w:val="32"/>
          <w:szCs w:val="32"/>
          <w:lang w:bidi="ar"/>
        </w:rPr>
        <w:t>，提升全员安全防范意识，形成人人有责、齐抓共管的安全管理格局。</w:t>
      </w:r>
    </w:p>
    <w:p>
      <w:pPr>
        <w:spacing w:line="560" w:lineRule="exact"/>
        <w:ind w:firstLine="643" w:firstLineChars="200"/>
        <w:outlineLvl w:val="2"/>
        <w:rPr>
          <w:rFonts w:hint="eastAsia" w:ascii="Times New Roman" w:hAnsi="Times New Roman" w:eastAsia="仿宋_GB2312"/>
          <w:b/>
          <w:bCs/>
          <w:sz w:val="32"/>
          <w:szCs w:val="32"/>
          <w:lang w:bidi="ar"/>
        </w:rPr>
      </w:pPr>
      <w:bookmarkStart w:id="59" w:name="_Toc17082"/>
      <w:r>
        <w:rPr>
          <w:rFonts w:ascii="Times New Roman" w:hAnsi="Times New Roman" w:eastAsia="仿宋_GB2312"/>
          <w:b/>
          <w:bCs/>
          <w:sz w:val="32"/>
          <w:szCs w:val="32"/>
          <w:lang w:bidi="ar"/>
        </w:rPr>
        <w:t>2.</w:t>
      </w:r>
      <w:r>
        <w:rPr>
          <w:rFonts w:hint="eastAsia" w:ascii="Times New Roman" w:hAnsi="Times New Roman" w:eastAsia="仿宋_GB2312"/>
          <w:b/>
          <w:bCs/>
          <w:sz w:val="32"/>
          <w:szCs w:val="32"/>
          <w:lang w:bidi="ar"/>
        </w:rPr>
        <w:t>强化</w:t>
      </w:r>
      <w:r>
        <w:rPr>
          <w:rFonts w:ascii="Times New Roman" w:hAnsi="Times New Roman" w:eastAsia="仿宋_GB2312"/>
          <w:b/>
          <w:bCs/>
          <w:sz w:val="32"/>
          <w:szCs w:val="32"/>
          <w:lang w:bidi="ar"/>
        </w:rPr>
        <w:t>数据安全</w:t>
      </w:r>
      <w:r>
        <w:rPr>
          <w:rFonts w:hint="eastAsia" w:ascii="Times New Roman" w:hAnsi="Times New Roman" w:eastAsia="仿宋_GB2312"/>
          <w:b/>
          <w:bCs/>
          <w:sz w:val="32"/>
          <w:szCs w:val="32"/>
          <w:lang w:bidi="ar"/>
        </w:rPr>
        <w:t>管理</w:t>
      </w:r>
      <w:bookmarkEnd w:id="59"/>
    </w:p>
    <w:p>
      <w:pPr>
        <w:spacing w:line="56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lang w:bidi="ar"/>
        </w:rPr>
        <w:t>制定严格的数据安全管理制度</w:t>
      </w:r>
      <w:r>
        <w:rPr>
          <w:rFonts w:ascii="Times New Roman" w:hAnsi="Times New Roman" w:eastAsia="仿宋_GB2312"/>
          <w:sz w:val="32"/>
          <w:szCs w:val="32"/>
          <w:lang w:bidi="ar"/>
        </w:rPr>
        <w:t>，加强数据加密、访问控制和隐私保护措施。推进政务数据与公共数据管理规范化，制定数据配套管理制度与评价办法，加强对数据采集、储备、流通、使用的全过程安全管理。</w:t>
      </w:r>
    </w:p>
    <w:p>
      <w:pPr>
        <w:spacing w:line="56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lang w:bidi="ar"/>
        </w:rPr>
        <w:t>构建分类分级的数据安全保护机制</w:t>
      </w:r>
      <w:r>
        <w:rPr>
          <w:rFonts w:ascii="Times New Roman" w:hAnsi="Times New Roman" w:eastAsia="仿宋_GB2312"/>
          <w:sz w:val="32"/>
          <w:szCs w:val="32"/>
          <w:lang w:bidi="ar"/>
        </w:rPr>
        <w:t>，实施严格的数据权限控制，建立完善全流程数据安全防护体系，确保核心数据的安全存储与访问控制，全面提升数据安全防护能力。</w:t>
      </w:r>
    </w:p>
    <w:p>
      <w:pPr>
        <w:spacing w:line="56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lang w:bidi="ar"/>
        </w:rPr>
        <w:t>规范数据要素配置体系</w:t>
      </w:r>
      <w:r>
        <w:rPr>
          <w:rFonts w:ascii="Times New Roman" w:hAnsi="Times New Roman" w:eastAsia="仿宋_GB2312"/>
          <w:sz w:val="32"/>
          <w:szCs w:val="32"/>
          <w:lang w:bidi="ar"/>
        </w:rPr>
        <w:t>，探索建立公共数据、企业数据、个人数据的分类分级确权授权制度，系统谋划公共数据、社会数据的基础支撑、共享交换以及开放交易，试点推进个人数据授信。</w:t>
      </w:r>
    </w:p>
    <w:p>
      <w:pPr>
        <w:spacing w:line="560" w:lineRule="exact"/>
        <w:ind w:firstLine="643" w:firstLineChars="200"/>
        <w:outlineLvl w:val="2"/>
        <w:rPr>
          <w:rFonts w:hint="eastAsia" w:ascii="Times New Roman" w:hAnsi="Times New Roman" w:eastAsia="仿宋_GB2312"/>
          <w:b/>
          <w:bCs/>
          <w:sz w:val="32"/>
          <w:szCs w:val="32"/>
          <w:lang w:bidi="ar"/>
        </w:rPr>
      </w:pPr>
      <w:bookmarkStart w:id="60" w:name="_Toc9853"/>
      <w:r>
        <w:rPr>
          <w:rFonts w:ascii="Times New Roman" w:hAnsi="Times New Roman" w:eastAsia="仿宋_GB2312"/>
          <w:b/>
          <w:bCs/>
          <w:sz w:val="32"/>
          <w:szCs w:val="32"/>
          <w:lang w:bidi="ar"/>
        </w:rPr>
        <w:t>3.</w:t>
      </w:r>
      <w:r>
        <w:rPr>
          <w:rFonts w:hint="eastAsia" w:ascii="Times New Roman" w:hAnsi="Times New Roman" w:eastAsia="仿宋_GB2312"/>
          <w:b/>
          <w:bCs/>
          <w:sz w:val="32"/>
          <w:szCs w:val="32"/>
          <w:lang w:bidi="ar"/>
        </w:rPr>
        <w:t>强化</w:t>
      </w:r>
      <w:r>
        <w:rPr>
          <w:rFonts w:ascii="Times New Roman" w:hAnsi="Times New Roman" w:eastAsia="仿宋_GB2312"/>
          <w:b/>
          <w:bCs/>
          <w:sz w:val="32"/>
          <w:szCs w:val="32"/>
          <w:lang w:bidi="ar"/>
        </w:rPr>
        <w:t>网络安全</w:t>
      </w:r>
      <w:r>
        <w:rPr>
          <w:rFonts w:hint="eastAsia" w:ascii="Times New Roman" w:hAnsi="Times New Roman" w:eastAsia="仿宋_GB2312"/>
          <w:b/>
          <w:bCs/>
          <w:sz w:val="32"/>
          <w:szCs w:val="32"/>
          <w:lang w:bidi="ar"/>
        </w:rPr>
        <w:t>管理</w:t>
      </w:r>
      <w:bookmarkEnd w:id="60"/>
    </w:p>
    <w:p>
      <w:pPr>
        <w:spacing w:line="56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lang w:bidi="ar"/>
        </w:rPr>
        <w:t>加强电子政务网络安全综合保障</w:t>
      </w:r>
      <w:r>
        <w:rPr>
          <w:rFonts w:ascii="Times New Roman" w:hAnsi="Times New Roman" w:eastAsia="仿宋_GB2312"/>
          <w:sz w:val="32"/>
          <w:szCs w:val="32"/>
          <w:lang w:bidi="ar"/>
        </w:rPr>
        <w:t>，创新政务安全管理方式，全力构建数字网络安全综合保障体系，实施网络安全等级保护制度，定期进行网络安全检查和风险评估。</w:t>
      </w:r>
    </w:p>
    <w:p>
      <w:pPr>
        <w:spacing w:line="56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lang w:bidi="ar"/>
        </w:rPr>
        <w:t>加强安全态势的主动监测、智能感知和威胁预测</w:t>
      </w:r>
      <w:r>
        <w:rPr>
          <w:rFonts w:ascii="Times New Roman" w:hAnsi="Times New Roman" w:eastAsia="仿宋_GB2312"/>
          <w:sz w:val="32"/>
          <w:szCs w:val="32"/>
          <w:lang w:bidi="ar"/>
        </w:rPr>
        <w:t>，实现安全态势信息互联互通和安全管理的协同调度，逐步实现从“被动保护”安全体系向“主动防御”安全体系的转变。</w:t>
      </w:r>
    </w:p>
    <w:p>
      <w:pPr>
        <w:spacing w:line="56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lang w:bidi="ar"/>
        </w:rPr>
        <w:t>建立安全事件应急处置体系</w:t>
      </w:r>
      <w:r>
        <w:rPr>
          <w:rFonts w:ascii="Times New Roman" w:hAnsi="Times New Roman" w:eastAsia="仿宋_GB2312"/>
          <w:sz w:val="32"/>
          <w:szCs w:val="32"/>
          <w:lang w:bidi="ar"/>
        </w:rPr>
        <w:t>，制定突发事件应急预案，定期组织安全应急培训，开展应急演练，深入推进网络安全知识技能宣传普及。</w:t>
      </w:r>
    </w:p>
    <w:p>
      <w:pPr>
        <w:spacing w:line="560" w:lineRule="exact"/>
        <w:ind w:firstLine="643" w:firstLineChars="200"/>
        <w:outlineLvl w:val="2"/>
        <w:rPr>
          <w:rFonts w:hint="eastAsia" w:ascii="Times New Roman" w:hAnsi="Times New Roman" w:eastAsia="仿宋_GB2312"/>
          <w:b/>
          <w:bCs/>
          <w:sz w:val="32"/>
          <w:szCs w:val="32"/>
          <w:lang w:bidi="ar"/>
        </w:rPr>
      </w:pPr>
      <w:bookmarkStart w:id="61" w:name="_Toc29938"/>
      <w:r>
        <w:rPr>
          <w:rFonts w:ascii="Times New Roman" w:hAnsi="Times New Roman" w:eastAsia="仿宋_GB2312"/>
          <w:b/>
          <w:bCs/>
          <w:sz w:val="32"/>
          <w:szCs w:val="32"/>
          <w:lang w:bidi="ar"/>
        </w:rPr>
        <w:t>4.</w:t>
      </w:r>
      <w:r>
        <w:rPr>
          <w:rFonts w:hint="eastAsia" w:ascii="Times New Roman" w:hAnsi="Times New Roman" w:eastAsia="仿宋_GB2312"/>
          <w:b/>
          <w:bCs/>
          <w:sz w:val="32"/>
          <w:szCs w:val="32"/>
          <w:lang w:bidi="ar"/>
        </w:rPr>
        <w:t>强化</w:t>
      </w:r>
      <w:r>
        <w:rPr>
          <w:rFonts w:ascii="Times New Roman" w:hAnsi="Times New Roman" w:eastAsia="仿宋_GB2312"/>
          <w:b/>
          <w:bCs/>
          <w:sz w:val="32"/>
          <w:szCs w:val="32"/>
          <w:lang w:bidi="ar"/>
        </w:rPr>
        <w:t>信创安全</w:t>
      </w:r>
      <w:r>
        <w:rPr>
          <w:rFonts w:hint="eastAsia" w:ascii="Times New Roman" w:hAnsi="Times New Roman" w:eastAsia="仿宋_GB2312"/>
          <w:b/>
          <w:bCs/>
          <w:sz w:val="32"/>
          <w:szCs w:val="32"/>
          <w:lang w:bidi="ar"/>
        </w:rPr>
        <w:t>管理</w:t>
      </w:r>
      <w:bookmarkEnd w:id="61"/>
    </w:p>
    <w:p>
      <w:pPr>
        <w:spacing w:line="56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lang w:bidi="ar"/>
        </w:rPr>
        <w:t>推动业务系统的国产化改造工作</w:t>
      </w:r>
      <w:r>
        <w:rPr>
          <w:rFonts w:ascii="Times New Roman" w:hAnsi="Times New Roman" w:eastAsia="仿宋_GB2312"/>
          <w:sz w:val="32"/>
          <w:szCs w:val="32"/>
          <w:lang w:bidi="ar"/>
        </w:rPr>
        <w:t>，加快关键信息基础设施和重要信息系统的国产化替代工作，使用自主可控的信息技术和产品，确保采用的信创产品经过严格的安全认证和测试，满足国家相关安全标准和要求。</w:t>
      </w:r>
    </w:p>
    <w:p>
      <w:pPr>
        <w:spacing w:line="560" w:lineRule="exact"/>
        <w:ind w:firstLine="643" w:firstLineChars="200"/>
        <w:rPr>
          <w:rFonts w:ascii="Times New Roman" w:hAnsi="Times New Roman" w:eastAsia="仿宋_GB2312"/>
          <w:sz w:val="32"/>
          <w:szCs w:val="32"/>
          <w:lang w:bidi="ar"/>
        </w:rPr>
      </w:pPr>
      <w:r>
        <w:rPr>
          <w:rFonts w:ascii="Times New Roman" w:hAnsi="Times New Roman" w:eastAsia="仿宋_GB2312"/>
          <w:b/>
          <w:bCs/>
          <w:sz w:val="32"/>
          <w:szCs w:val="32"/>
          <w:lang w:bidi="ar"/>
        </w:rPr>
        <w:t>实施国产密码安全性改造</w:t>
      </w:r>
      <w:r>
        <w:rPr>
          <w:rFonts w:ascii="Times New Roman" w:hAnsi="Times New Roman" w:eastAsia="仿宋_GB2312"/>
          <w:sz w:val="32"/>
          <w:szCs w:val="32"/>
          <w:lang w:bidi="ar"/>
        </w:rPr>
        <w:t>，统筹城市密码设施、身份认证、可信软硬件等安全基础设施建设，落实国产密码应用“三同步，一评估”要求，建设完善密码保障系统，深化运用商用密码、区块链等国产技术，保障怀柔区业务系统、政务云、政务网的信息安全。</w:t>
      </w:r>
    </w:p>
    <w:tbl>
      <w:tblPr>
        <w:tblStyle w:val="2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sz w:val="28"/>
                <w:szCs w:val="28"/>
                <w:lang w:bidi="ar"/>
              </w:rPr>
            </w:pPr>
            <w:r>
              <w:rPr>
                <w:rFonts w:hint="eastAsia" w:ascii="Times New Roman" w:hAnsi="Times New Roman" w:eastAsia="仿宋_GB2312" w:cs="仿宋_GB2312"/>
                <w:b/>
                <w:bCs/>
                <w:sz w:val="28"/>
                <w:szCs w:val="28"/>
                <w:lang w:bidi="ar"/>
              </w:rPr>
              <w:t>专栏十二：安全保障体系重点工程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96" w:type="dxa"/>
            <w:tcBorders>
              <w:top w:val="single" w:color="auto" w:sz="4" w:space="0"/>
              <w:left w:val="single" w:color="auto" w:sz="4" w:space="0"/>
              <w:bottom w:val="single" w:color="auto" w:sz="4" w:space="0"/>
              <w:right w:val="single" w:color="auto" w:sz="4" w:space="0"/>
            </w:tcBorders>
            <w:tcMar>
              <w:top w:w="120" w:type="dxa"/>
              <w:left w:w="60" w:type="dxa"/>
              <w:bottom w:w="120" w:type="dxa"/>
              <w:right w:w="60" w:type="dxa"/>
            </w:tcMar>
          </w:tcPr>
          <w:p>
            <w:pPr>
              <w:spacing w:line="560" w:lineRule="exact"/>
              <w:ind w:firstLine="562" w:firstLineChars="200"/>
              <w:jc w:val="left"/>
            </w:pPr>
            <w:r>
              <w:rPr>
                <w:rFonts w:ascii="Times New Roman" w:hAnsi="Times New Roman" w:eastAsia="仿宋_GB2312"/>
                <w:b/>
                <w:bCs/>
                <w:color w:val="000000"/>
                <w:sz w:val="28"/>
                <w:szCs w:val="28"/>
                <w:lang w:bidi="ar"/>
              </w:rPr>
              <w:t>1.</w:t>
            </w:r>
            <w:r>
              <w:rPr>
                <w:rFonts w:hint="eastAsia" w:ascii="Times New Roman" w:hAnsi="Times New Roman" w:eastAsia="仿宋_GB2312" w:cs="仿宋_GB2312"/>
                <w:b/>
                <w:bCs/>
                <w:color w:val="000000"/>
                <w:sz w:val="28"/>
                <w:szCs w:val="28"/>
                <w:lang w:bidi="ar"/>
              </w:rPr>
              <w:t>网络安全检查评估及监测预警和应急响应项目。</w:t>
            </w:r>
            <w:r>
              <w:rPr>
                <w:rFonts w:hint="eastAsia" w:ascii="Times New Roman" w:hAnsi="Times New Roman" w:eastAsia="仿宋_GB2312" w:cs="仿宋_GB2312"/>
                <w:color w:val="000000"/>
                <w:sz w:val="28"/>
                <w:szCs w:val="28"/>
                <w:lang w:bidi="ar"/>
              </w:rPr>
              <w:t>按照《网络安全法》《数据安全法》和《个人信息保护法》等法律法规和市、区有关文件的工作要求，开展网络安全检查评估、监测预警和应急响应等工作，落实各项任务措施，保障全区网络安全，严防重要数据和个人信息的泄露、篡改，有效防范应对重大威胁隐患。（牵头部门：区委网络安全和信息化委员会办公室）</w:t>
            </w:r>
          </w:p>
        </w:tc>
      </w:tr>
    </w:tbl>
    <w:p>
      <w:pPr>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lang w:bidi="ar"/>
        </w:rPr>
      </w:pP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ascii="Times New Roman" w:hAnsi="Times New Roman"/>
          <w:b w:val="0"/>
          <w:bCs w:val="0"/>
          <w:sz w:val="32"/>
          <w:szCs w:val="60"/>
        </w:rPr>
      </w:pPr>
      <w:bookmarkStart w:id="62" w:name="_Toc12553"/>
      <w:r>
        <w:rPr>
          <w:rFonts w:ascii="Times New Roman" w:hAnsi="Times New Roman"/>
          <w:b w:val="0"/>
          <w:bCs w:val="0"/>
          <w:sz w:val="32"/>
          <w:szCs w:val="60"/>
        </w:rPr>
        <w:t>保障举措</w:t>
      </w:r>
      <w:bookmarkEnd w:id="62"/>
    </w:p>
    <w:p>
      <w:pPr>
        <w:pStyle w:val="3"/>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b w:val="0"/>
          <w:bCs w:val="0"/>
          <w:sz w:val="32"/>
          <w:szCs w:val="32"/>
        </w:rPr>
      </w:pPr>
      <w:bookmarkStart w:id="63" w:name="_Toc2125"/>
      <w:r>
        <w:rPr>
          <w:rFonts w:hint="eastAsia" w:ascii="楷体_GB2312" w:hAnsi="楷体_GB2312" w:eastAsia="楷体_GB2312" w:cs="楷体_GB2312"/>
          <w:b w:val="0"/>
          <w:bCs w:val="0"/>
          <w:sz w:val="32"/>
          <w:szCs w:val="32"/>
        </w:rPr>
        <w:t>加强组织保障</w:t>
      </w:r>
      <w:bookmarkEnd w:id="6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lang w:bidi="ar"/>
        </w:rPr>
      </w:pPr>
      <w:r>
        <w:rPr>
          <w:rFonts w:hint="eastAsia" w:ascii="Times New Roman" w:hAnsi="Times New Roman" w:eastAsia="仿宋_GB2312"/>
          <w:sz w:val="32"/>
          <w:szCs w:val="32"/>
          <w:lang w:bidi="ar"/>
        </w:rPr>
        <w:t>加强领导的全区统筹力度</w:t>
      </w:r>
      <w:r>
        <w:rPr>
          <w:rFonts w:ascii="Times New Roman" w:hAnsi="Times New Roman" w:eastAsia="仿宋_GB2312"/>
          <w:sz w:val="32"/>
          <w:szCs w:val="32"/>
          <w:lang w:bidi="ar"/>
        </w:rPr>
        <w:t>，明确各部门单位的数字化转型牵头处室或责任人，确保任务分解到位、责任到人。充分发挥首席数据官的领导作用，优化多层级、多部门联合参与的跨系统、跨业务信息化项目的统筹规划、建设实施、政策指导和重大问题协调机制。</w:t>
      </w:r>
    </w:p>
    <w:p>
      <w:pPr>
        <w:pStyle w:val="3"/>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b w:val="0"/>
          <w:bCs w:val="0"/>
          <w:sz w:val="32"/>
          <w:szCs w:val="32"/>
        </w:rPr>
      </w:pPr>
      <w:bookmarkStart w:id="64" w:name="_Toc6678"/>
      <w:r>
        <w:rPr>
          <w:rFonts w:hint="eastAsia" w:ascii="楷体_GB2312" w:hAnsi="楷体_GB2312" w:eastAsia="楷体_GB2312" w:cs="楷体_GB2312"/>
          <w:b w:val="0"/>
          <w:bCs w:val="0"/>
          <w:sz w:val="32"/>
          <w:szCs w:val="32"/>
        </w:rPr>
        <w:t>加强制度保障</w:t>
      </w:r>
      <w:bookmarkEnd w:id="6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lang w:bidi="ar"/>
        </w:rPr>
      </w:pPr>
      <w:r>
        <w:rPr>
          <w:rFonts w:hint="eastAsia" w:ascii="Times New Roman" w:hAnsi="Times New Roman" w:eastAsia="仿宋_GB2312"/>
          <w:sz w:val="32"/>
          <w:szCs w:val="32"/>
          <w:lang w:bidi="ar"/>
        </w:rPr>
        <w:t>完善</w:t>
      </w:r>
      <w:r>
        <w:rPr>
          <w:rFonts w:ascii="Times New Roman" w:hAnsi="Times New Roman" w:eastAsia="仿宋_GB2312"/>
          <w:sz w:val="32"/>
          <w:szCs w:val="32"/>
          <w:lang w:bidi="ar"/>
        </w:rPr>
        <w:t>信息化项目建设、公共数据资源、政务云、政务网、信息安全等领域的配套管理制度。强化信息化项目的论证审核、竣工验收等全生命周期</w:t>
      </w:r>
      <w:r>
        <w:rPr>
          <w:rFonts w:hint="eastAsia" w:ascii="Times New Roman" w:hAnsi="Times New Roman" w:eastAsia="仿宋_GB2312"/>
          <w:sz w:val="32"/>
          <w:szCs w:val="32"/>
          <w:lang w:bidi="ar"/>
        </w:rPr>
        <w:t>管理机制</w:t>
      </w:r>
      <w:r>
        <w:rPr>
          <w:rFonts w:ascii="Times New Roman" w:hAnsi="Times New Roman" w:eastAsia="仿宋_GB2312"/>
          <w:sz w:val="32"/>
          <w:szCs w:val="32"/>
          <w:lang w:bidi="ar"/>
        </w:rPr>
        <w:t>，提高信息化项目资金使用效率。</w:t>
      </w:r>
    </w:p>
    <w:p>
      <w:pPr>
        <w:pStyle w:val="3"/>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b w:val="0"/>
          <w:bCs w:val="0"/>
          <w:sz w:val="32"/>
          <w:szCs w:val="32"/>
        </w:rPr>
      </w:pPr>
      <w:bookmarkStart w:id="65" w:name="_Toc12139"/>
      <w:r>
        <w:rPr>
          <w:rFonts w:hint="eastAsia" w:ascii="楷体_GB2312" w:hAnsi="楷体_GB2312" w:eastAsia="楷体_GB2312" w:cs="楷体_GB2312"/>
          <w:b w:val="0"/>
          <w:bCs w:val="0"/>
          <w:sz w:val="32"/>
          <w:szCs w:val="32"/>
        </w:rPr>
        <w:t>加强资金保障</w:t>
      </w:r>
      <w:bookmarkEnd w:id="65"/>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olor w:val="000000"/>
        </w:rPr>
      </w:pPr>
      <w:r>
        <w:rPr>
          <w:rFonts w:hint="eastAsia" w:ascii="Times New Roman" w:hAnsi="Times New Roman" w:eastAsia="仿宋_GB2312"/>
          <w:sz w:val="32"/>
          <w:szCs w:val="32"/>
          <w:lang w:bidi="ar"/>
        </w:rPr>
        <w:t>加强财政资金预算和使用的统筹管理。拓展资金来源渠道，积极争取国家新基建、数字化转型、科技重大专项等领域的专项资金支持或政策性补贴，拓宽资金来源渠道。</w:t>
      </w:r>
    </w:p>
    <w:p>
      <w:pPr>
        <w:pStyle w:val="3"/>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ascii="Times New Roman" w:hAnsi="Times New Roman"/>
          <w:b w:val="0"/>
          <w:bCs w:val="0"/>
          <w:sz w:val="32"/>
          <w:szCs w:val="32"/>
        </w:rPr>
      </w:pPr>
      <w:bookmarkStart w:id="66" w:name="_Toc6926"/>
      <w:r>
        <w:rPr>
          <w:rFonts w:hint="eastAsia" w:ascii="楷体_GB2312" w:hAnsi="楷体_GB2312" w:eastAsia="楷体_GB2312" w:cs="楷体_GB2312"/>
          <w:b w:val="0"/>
          <w:bCs w:val="0"/>
          <w:sz w:val="32"/>
          <w:szCs w:val="32"/>
        </w:rPr>
        <w:t>加强人才保障</w:t>
      </w:r>
      <w:bookmarkEnd w:id="66"/>
    </w:p>
    <w:p>
      <w:pPr>
        <w:pageBreakBefore w:val="0"/>
        <w:widowControl w:val="0"/>
        <w:kinsoku/>
        <w:wordWrap/>
        <w:overflowPunct/>
        <w:topLinePunct w:val="0"/>
        <w:autoSpaceDE/>
        <w:autoSpaceDN/>
        <w:bidi w:val="0"/>
        <w:adjustRightInd/>
        <w:snapToGrid/>
        <w:spacing w:line="560" w:lineRule="exact"/>
        <w:ind w:firstLine="640" w:firstLineChars="200"/>
        <w:textAlignment w:val="auto"/>
        <w:rPr>
          <w:lang w:val="en-US" w:eastAsia="zh-CN"/>
        </w:rPr>
      </w:pPr>
      <w:r>
        <w:rPr>
          <w:rFonts w:hint="eastAsia" w:ascii="Times New Roman" w:hAnsi="Times New Roman" w:eastAsia="仿宋_GB2312"/>
          <w:sz w:val="32"/>
          <w:szCs w:val="32"/>
          <w:lang w:bidi="ar"/>
        </w:rPr>
        <w:t>针对首席数据官等重点人员</w:t>
      </w:r>
      <w:r>
        <w:rPr>
          <w:rFonts w:ascii="Times New Roman" w:hAnsi="Times New Roman" w:eastAsia="仿宋_GB2312"/>
          <w:sz w:val="32"/>
          <w:szCs w:val="32"/>
          <w:lang w:bidi="ar"/>
        </w:rPr>
        <w:t>，</w:t>
      </w:r>
      <w:r>
        <w:rPr>
          <w:rFonts w:hint="eastAsia" w:ascii="Times New Roman" w:hAnsi="Times New Roman" w:eastAsia="仿宋_GB2312"/>
          <w:sz w:val="32"/>
          <w:szCs w:val="32"/>
          <w:lang w:bidi="ar"/>
        </w:rPr>
        <w:t>完善数字化</w:t>
      </w:r>
      <w:r>
        <w:rPr>
          <w:rFonts w:ascii="Times New Roman" w:hAnsi="Times New Roman" w:eastAsia="仿宋_GB2312"/>
          <w:sz w:val="32"/>
          <w:szCs w:val="32"/>
          <w:lang w:bidi="ar"/>
        </w:rPr>
        <w:t>培训机制，通过专家讲座、培训授课、交流学习等方式，定期开展数据技能与安全培训工作，不断提升全区数字化能力。依托怀柔科学城的战略定位，鼓励支持信息技术企业与怀柔区科研机构、高等院校等建立常态化的数智建设运营交流与合作，共同培养怀柔区信息化建设急需的专业技术人才。</w:t>
      </w:r>
    </w:p>
    <w:sectPr>
      <w:footerReference r:id="rId3" w:type="default"/>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Light">
    <w:altName w:val="Calibri"/>
    <w:panose1 w:val="020F0302020204030204"/>
    <w:charset w:val="00"/>
    <w:family w:val="decorative"/>
    <w:pitch w:val="default"/>
    <w:sig w:usb0="00000000" w:usb1="00000000" w:usb2="00000009" w:usb3="00000000" w:csb0="200001FF"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Times New Roman Bold">
    <w:altName w:val="Times New Roman"/>
    <w:panose1 w:val="02020803070505020304"/>
    <w:charset w:val="00"/>
    <w:family w:val="auto"/>
    <w:pitch w:val="default"/>
    <w:sig w:usb0="00000000" w:usb1="00000000" w:usb2="00000008" w:usb3="00000000" w:csb0="400001FF" w:csb1="FFFF0000"/>
  </w:font>
  <w:font w:name="方正小标宋 GB">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CESI仿宋-GB2312">
    <w:altName w:val="仿宋"/>
    <w:panose1 w:val="000000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decorative"/>
    <w:pitch w:val="default"/>
    <w:sig w:usb0="E10002FF" w:usb1="4000ACFF" w:usb2="00000009" w:usb3="00000000" w:csb0="2000019F"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Courier New">
    <w:panose1 w:val="02070309020205020404"/>
    <w:charset w:val="00"/>
    <w:family w:val="swiss"/>
    <w:pitch w:val="default"/>
    <w:sig w:usb0="E0002AFF" w:usb1="C0007843" w:usb2="00000009" w:usb3="00000000" w:csb0="400001FF" w:csb1="FFFF0000"/>
  </w:font>
  <w:font w:name="方正小标宋简体">
    <w:altName w:val="仿宋_GB2312"/>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Courier New">
    <w:panose1 w:val="02070309020205020404"/>
    <w:charset w:val="00"/>
    <w:family w:val="decorative"/>
    <w:pitch w:val="default"/>
    <w:sig w:usb0="E0002AFF" w:usb1="C0007843" w:usb2="00000009" w:usb3="00000000" w:csb0="400001FF" w:csb1="FFFF0000"/>
  </w:font>
  <w:font w:name="楷体_GB2312">
    <w:altName w:val="楷体"/>
    <w:panose1 w:val="02010609030101010101"/>
    <w:charset w:val="86"/>
    <w:family w:val="decorative"/>
    <w:pitch w:val="default"/>
    <w:sig w:usb0="00000000" w:usb1="0000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pPr>
                            <w:pStyle w:val="12"/>
                          </w:pPr>
                          <w:r>
                            <w:fldChar w:fldCharType="begin"/>
                          </w:r>
                          <w:r>
                            <w:instrText xml:space="preserve"> PAGE  \* MERGEFORMAT </w:instrText>
                          </w:r>
                          <w:r>
                            <w:fldChar w:fldCharType="separate"/>
                          </w:r>
                          <w:r>
                            <w:rPr>
                              <w:lang w:val="en-US" w:eastAsia="zh-CN"/>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BeJKNIAAAADAQAADwAAAAAAAAABACAA&#10;AAAiAAAAZHJzL2Rvd25yZXYueG1sUEsBAhQAFAAAAAgAh07iQPTh+tETAgAABQQAAA4AAAAAAAAA&#10;AQAgAAAAIQEAAGRycy9lMm9Eb2MueG1sUEsFBgAAAAAGAAYAWQEAAKY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rPr>
                        <w:lang w:val="en-US" w:eastAsia="zh-CN"/>
                      </w:rP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66398668">
    <w:nsid w:val="27B86FCC"/>
    <w:multiLevelType w:val="multilevel"/>
    <w:tmpl w:val="27B86FCC"/>
    <w:lvl w:ilvl="0" w:tentative="1">
      <w:start w:val="1"/>
      <w:numFmt w:val="koreanDigital2"/>
      <w:pStyle w:val="2"/>
      <w:suff w:val="nothing"/>
      <w:lvlText w:val="%1、"/>
      <w:lvlJc w:val="left"/>
      <w:pPr>
        <w:ind w:left="0" w:firstLine="0"/>
      </w:pPr>
      <w:rPr>
        <w:rFonts w:hint="eastAsia" w:eastAsia="黑体"/>
        <w:b/>
        <w:i w:val="0"/>
        <w:sz w:val="32"/>
      </w:rPr>
    </w:lvl>
    <w:lvl w:ilvl="1" w:tentative="1">
      <w:start w:val="1"/>
      <w:numFmt w:val="koreanDigital2"/>
      <w:pStyle w:val="3"/>
      <w:suff w:val="nothing"/>
      <w:lvlText w:val="（%2）"/>
      <w:lvlJc w:val="left"/>
      <w:pPr>
        <w:ind w:left="5103" w:firstLine="0"/>
      </w:pPr>
      <w:rPr>
        <w:rFonts w:hint="eastAsia"/>
      </w:rPr>
    </w:lvl>
    <w:lvl w:ilvl="2" w:tentative="1">
      <w:start w:val="1"/>
      <w:numFmt w:val="decimal"/>
      <w:lvlText w:val="%3."/>
      <w:lvlJc w:val="left"/>
      <w:pPr>
        <w:tabs>
          <w:tab w:val="left" w:pos="2160"/>
        </w:tabs>
        <w:ind w:left="2160" w:hanging="720"/>
      </w:pPr>
      <w:rPr>
        <w:rFonts w:hint="eastAsia"/>
      </w:rPr>
    </w:lvl>
    <w:lvl w:ilvl="3" w:tentative="1">
      <w:start w:val="1"/>
      <w:numFmt w:val="decimal"/>
      <w:lvlText w:val="%4."/>
      <w:lvlJc w:val="left"/>
      <w:pPr>
        <w:tabs>
          <w:tab w:val="left" w:pos="2880"/>
        </w:tabs>
        <w:ind w:left="2880" w:hanging="720"/>
      </w:pPr>
      <w:rPr>
        <w:rFonts w:hint="eastAsia"/>
      </w:rPr>
    </w:lvl>
    <w:lvl w:ilvl="4" w:tentative="1">
      <w:start w:val="1"/>
      <w:numFmt w:val="decimal"/>
      <w:lvlText w:val="%5."/>
      <w:lvlJc w:val="left"/>
      <w:pPr>
        <w:tabs>
          <w:tab w:val="left" w:pos="3600"/>
        </w:tabs>
        <w:ind w:left="3600" w:hanging="720"/>
      </w:pPr>
      <w:rPr>
        <w:rFonts w:hint="eastAsia"/>
      </w:rPr>
    </w:lvl>
    <w:lvl w:ilvl="5" w:tentative="1">
      <w:start w:val="1"/>
      <w:numFmt w:val="decimal"/>
      <w:lvlText w:val="%6."/>
      <w:lvlJc w:val="left"/>
      <w:pPr>
        <w:tabs>
          <w:tab w:val="left" w:pos="4320"/>
        </w:tabs>
        <w:ind w:left="4320" w:hanging="720"/>
      </w:pPr>
      <w:rPr>
        <w:rFonts w:hint="eastAsia"/>
      </w:rPr>
    </w:lvl>
    <w:lvl w:ilvl="6" w:tentative="1">
      <w:start w:val="1"/>
      <w:numFmt w:val="decimal"/>
      <w:lvlText w:val="%7."/>
      <w:lvlJc w:val="left"/>
      <w:pPr>
        <w:tabs>
          <w:tab w:val="left" w:pos="5040"/>
        </w:tabs>
        <w:ind w:left="5040" w:hanging="720"/>
      </w:pPr>
      <w:rPr>
        <w:rFonts w:hint="eastAsia"/>
      </w:rPr>
    </w:lvl>
    <w:lvl w:ilvl="7" w:tentative="1">
      <w:start w:val="1"/>
      <w:numFmt w:val="decimal"/>
      <w:lvlText w:val="%8."/>
      <w:lvlJc w:val="left"/>
      <w:pPr>
        <w:tabs>
          <w:tab w:val="left" w:pos="5760"/>
        </w:tabs>
        <w:ind w:left="5760" w:hanging="720"/>
      </w:pPr>
      <w:rPr>
        <w:rFonts w:hint="eastAsia"/>
      </w:rPr>
    </w:lvl>
    <w:lvl w:ilvl="8" w:tentative="1">
      <w:start w:val="1"/>
      <w:numFmt w:val="decimal"/>
      <w:lvlText w:val="%9."/>
      <w:lvlJc w:val="left"/>
      <w:pPr>
        <w:tabs>
          <w:tab w:val="left" w:pos="6480"/>
        </w:tabs>
        <w:ind w:left="6480" w:hanging="720"/>
      </w:pPr>
      <w:rPr>
        <w:rFonts w:hint="eastAsia"/>
      </w:rPr>
    </w:lvl>
  </w:abstractNum>
  <w:abstractNum w:abstractNumId="800926969">
    <w:nsid w:val="2FBD2CF9"/>
    <w:multiLevelType w:val="multilevel"/>
    <w:tmpl w:val="2FBD2CF9"/>
    <w:lvl w:ilvl="0" w:tentative="1">
      <w:start w:val="1"/>
      <w:numFmt w:val="decimal"/>
      <w:pStyle w:val="4"/>
      <w:suff w:val="space"/>
      <w:lvlText w:val="%1."/>
      <w:lvlJc w:val="left"/>
      <w:pPr>
        <w:ind w:left="567" w:firstLine="0"/>
      </w:pPr>
      <w:rPr>
        <w:rFonts w:hint="eastAsia"/>
      </w:rPr>
    </w:lvl>
    <w:lvl w:ilvl="1" w:tentative="1">
      <w:start w:val="1"/>
      <w:numFmt w:val="lowerLetter"/>
      <w:lvlText w:val="%2)"/>
      <w:lvlJc w:val="left"/>
      <w:pPr>
        <w:ind w:left="1407" w:hanging="420"/>
      </w:pPr>
      <w:rPr>
        <w:rFonts w:hint="eastAsia"/>
      </w:rPr>
    </w:lvl>
    <w:lvl w:ilvl="2" w:tentative="1">
      <w:start w:val="1"/>
      <w:numFmt w:val="lowerRoman"/>
      <w:lvlText w:val="%3."/>
      <w:lvlJc w:val="right"/>
      <w:pPr>
        <w:ind w:left="1827" w:hanging="420"/>
      </w:pPr>
      <w:rPr>
        <w:rFonts w:hint="eastAsia"/>
      </w:rPr>
    </w:lvl>
    <w:lvl w:ilvl="3" w:tentative="1">
      <w:start w:val="1"/>
      <w:numFmt w:val="decimal"/>
      <w:lvlText w:val="%4."/>
      <w:lvlJc w:val="left"/>
      <w:pPr>
        <w:ind w:left="2247" w:hanging="420"/>
      </w:pPr>
      <w:rPr>
        <w:rFonts w:hint="eastAsia"/>
      </w:rPr>
    </w:lvl>
    <w:lvl w:ilvl="4" w:tentative="1">
      <w:start w:val="1"/>
      <w:numFmt w:val="lowerLetter"/>
      <w:lvlText w:val="%5)"/>
      <w:lvlJc w:val="left"/>
      <w:pPr>
        <w:ind w:left="2667" w:hanging="420"/>
      </w:pPr>
      <w:rPr>
        <w:rFonts w:hint="eastAsia"/>
      </w:rPr>
    </w:lvl>
    <w:lvl w:ilvl="5" w:tentative="1">
      <w:start w:val="1"/>
      <w:numFmt w:val="lowerRoman"/>
      <w:lvlText w:val="%6."/>
      <w:lvlJc w:val="right"/>
      <w:pPr>
        <w:ind w:left="3087" w:hanging="420"/>
      </w:pPr>
      <w:rPr>
        <w:rFonts w:hint="eastAsia"/>
      </w:rPr>
    </w:lvl>
    <w:lvl w:ilvl="6" w:tentative="1">
      <w:start w:val="1"/>
      <w:numFmt w:val="decimal"/>
      <w:lvlText w:val="%7."/>
      <w:lvlJc w:val="left"/>
      <w:pPr>
        <w:ind w:left="3507" w:hanging="420"/>
      </w:pPr>
      <w:rPr>
        <w:rFonts w:hint="eastAsia"/>
      </w:rPr>
    </w:lvl>
    <w:lvl w:ilvl="7" w:tentative="1">
      <w:start w:val="1"/>
      <w:numFmt w:val="lowerLetter"/>
      <w:lvlText w:val="%8)"/>
      <w:lvlJc w:val="left"/>
      <w:pPr>
        <w:ind w:left="3927" w:hanging="420"/>
      </w:pPr>
      <w:rPr>
        <w:rFonts w:hint="eastAsia"/>
      </w:rPr>
    </w:lvl>
    <w:lvl w:ilvl="8" w:tentative="1">
      <w:start w:val="1"/>
      <w:numFmt w:val="lowerRoman"/>
      <w:lvlText w:val="%9."/>
      <w:lvlJc w:val="right"/>
      <w:pPr>
        <w:ind w:left="4347" w:hanging="420"/>
      </w:pPr>
      <w:rPr>
        <w:rFonts w:hint="eastAsia"/>
      </w:rPr>
    </w:lvl>
  </w:abstractNum>
  <w:abstractNum w:abstractNumId="1075599360">
    <w:nsid w:val="401C5800"/>
    <w:multiLevelType w:val="multilevel"/>
    <w:tmpl w:val="401C5800"/>
    <w:lvl w:ilvl="0" w:tentative="1">
      <w:start w:val="1"/>
      <w:numFmt w:val="decimal"/>
      <w:pStyle w:val="30"/>
      <w:suff w:val="space"/>
      <w:lvlText w:val="图%1"/>
      <w:lvlJc w:val="left"/>
      <w:pPr>
        <w:tabs>
          <w:tab w:val="left" w:pos="0"/>
        </w:tabs>
        <w:ind w:left="0" w:firstLine="0"/>
      </w:pPr>
      <w:rPr>
        <w:rFonts w:hint="default" w:ascii="Times New Roman" w:hAnsi="Times New Roman" w:eastAsia="黑体" w:cs="Times New Roman"/>
        <w:b w:val="0"/>
        <w:sz w:val="28"/>
        <w:szCs w:val="28"/>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3656854975">
    <w:nsid w:val="D9F72DBF"/>
    <w:multiLevelType w:val="multilevel"/>
    <w:tmpl w:val="D9F72DBF"/>
    <w:lvl w:ilvl="0" w:tentative="1">
      <w:start w:val="1"/>
      <w:numFmt w:val="decimal"/>
      <w:pStyle w:val="31"/>
      <w:suff w:val="space"/>
      <w:lvlText w:val="表%1"/>
      <w:lvlJc w:val="center"/>
      <w:pPr>
        <w:tabs>
          <w:tab w:val="left" w:pos="2978"/>
        </w:tabs>
        <w:ind w:left="3432" w:hanging="454"/>
      </w:pPr>
      <w:rPr>
        <w:rFonts w:hint="default" w:ascii="Times New Roman Bold" w:hAnsi="Times New Roman Bold" w:eastAsia="仿宋_GB2312" w:cs="Times New Roman"/>
        <w:b/>
        <w:sz w:val="28"/>
        <w:szCs w:val="28"/>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3519577518">
    <w:nsid w:val="D1C87DAE"/>
    <w:multiLevelType w:val="singleLevel"/>
    <w:tmpl w:val="D1C87DAE"/>
    <w:lvl w:ilvl="0" w:tentative="1">
      <w:start w:val="1"/>
      <w:numFmt w:val="decimal"/>
      <w:lvlText w:val="(%1)"/>
      <w:lvlJc w:val="left"/>
      <w:pPr>
        <w:ind w:left="425" w:hanging="425"/>
      </w:pPr>
      <w:rPr>
        <w:rFonts w:hint="default"/>
      </w:rPr>
    </w:lvl>
  </w:abstractNum>
  <w:abstractNum w:abstractNumId="3513506361">
    <w:nsid w:val="D16BDA39"/>
    <w:multiLevelType w:val="singleLevel"/>
    <w:tmpl w:val="D16BDA39"/>
    <w:lvl w:ilvl="0" w:tentative="1">
      <w:start w:val="1"/>
      <w:numFmt w:val="decimal"/>
      <w:lvlText w:val="(%1)"/>
      <w:lvlJc w:val="left"/>
      <w:pPr>
        <w:ind w:left="425" w:hanging="425"/>
      </w:pPr>
      <w:rPr>
        <w:rFonts w:hint="default"/>
      </w:rPr>
    </w:lvl>
  </w:abstractNum>
  <w:num w:numId="1">
    <w:abstractNumId w:val="666398668"/>
  </w:num>
  <w:num w:numId="2">
    <w:abstractNumId w:val="800926969"/>
  </w:num>
  <w:num w:numId="3">
    <w:abstractNumId w:val="1075599360"/>
  </w:num>
  <w:num w:numId="4">
    <w:abstractNumId w:val="3656854975"/>
  </w:num>
  <w:num w:numId="5">
    <w:abstractNumId w:val="3519577518"/>
  </w:num>
  <w:num w:numId="6">
    <w:abstractNumId w:val="35135063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BB"/>
    <w:rsid w:val="00042F81"/>
    <w:rsid w:val="000928AD"/>
    <w:rsid w:val="000A2659"/>
    <w:rsid w:val="000B6AE3"/>
    <w:rsid w:val="000F2CDC"/>
    <w:rsid w:val="00110136"/>
    <w:rsid w:val="001379F4"/>
    <w:rsid w:val="0017012A"/>
    <w:rsid w:val="00170DF4"/>
    <w:rsid w:val="00182923"/>
    <w:rsid w:val="001954DF"/>
    <w:rsid w:val="001A0277"/>
    <w:rsid w:val="001F1D2C"/>
    <w:rsid w:val="00275624"/>
    <w:rsid w:val="00280395"/>
    <w:rsid w:val="002D34DF"/>
    <w:rsid w:val="003070F3"/>
    <w:rsid w:val="003803FB"/>
    <w:rsid w:val="003B1E5F"/>
    <w:rsid w:val="003D08F6"/>
    <w:rsid w:val="00402784"/>
    <w:rsid w:val="00425B12"/>
    <w:rsid w:val="00444962"/>
    <w:rsid w:val="00481168"/>
    <w:rsid w:val="00484353"/>
    <w:rsid w:val="004976F1"/>
    <w:rsid w:val="004A372B"/>
    <w:rsid w:val="004E0863"/>
    <w:rsid w:val="00570B27"/>
    <w:rsid w:val="00584CF8"/>
    <w:rsid w:val="005C3936"/>
    <w:rsid w:val="005C6C34"/>
    <w:rsid w:val="006A4404"/>
    <w:rsid w:val="006D703C"/>
    <w:rsid w:val="00752D08"/>
    <w:rsid w:val="00784CCB"/>
    <w:rsid w:val="007B0761"/>
    <w:rsid w:val="0082311F"/>
    <w:rsid w:val="00864CFD"/>
    <w:rsid w:val="008F561C"/>
    <w:rsid w:val="00900891"/>
    <w:rsid w:val="00921BE6"/>
    <w:rsid w:val="009265BB"/>
    <w:rsid w:val="009F7673"/>
    <w:rsid w:val="00A5741B"/>
    <w:rsid w:val="00AB5914"/>
    <w:rsid w:val="00AF3CE0"/>
    <w:rsid w:val="00B14206"/>
    <w:rsid w:val="00B22855"/>
    <w:rsid w:val="00B3640F"/>
    <w:rsid w:val="00B531E8"/>
    <w:rsid w:val="00B71E94"/>
    <w:rsid w:val="00BF2D24"/>
    <w:rsid w:val="00C970D6"/>
    <w:rsid w:val="00D63C71"/>
    <w:rsid w:val="00D6432B"/>
    <w:rsid w:val="00DE43B6"/>
    <w:rsid w:val="00E177AC"/>
    <w:rsid w:val="00E24C43"/>
    <w:rsid w:val="00E50E72"/>
    <w:rsid w:val="00E874E6"/>
    <w:rsid w:val="00EA4C89"/>
    <w:rsid w:val="00ED280C"/>
    <w:rsid w:val="00F03CCF"/>
    <w:rsid w:val="00F22E10"/>
    <w:rsid w:val="00F51AD6"/>
    <w:rsid w:val="00F94C08"/>
    <w:rsid w:val="00FB7DBC"/>
    <w:rsid w:val="00FD0DC9"/>
    <w:rsid w:val="01257CD8"/>
    <w:rsid w:val="01346E15"/>
    <w:rsid w:val="0173611A"/>
    <w:rsid w:val="03133B66"/>
    <w:rsid w:val="03541B9B"/>
    <w:rsid w:val="036F6B27"/>
    <w:rsid w:val="04803233"/>
    <w:rsid w:val="04D24839"/>
    <w:rsid w:val="05033A9F"/>
    <w:rsid w:val="05622AE0"/>
    <w:rsid w:val="062B05FE"/>
    <w:rsid w:val="062F07EF"/>
    <w:rsid w:val="067F1777"/>
    <w:rsid w:val="07324D00"/>
    <w:rsid w:val="080E3075"/>
    <w:rsid w:val="08703341"/>
    <w:rsid w:val="08E55667"/>
    <w:rsid w:val="08FE4543"/>
    <w:rsid w:val="0A2A37A7"/>
    <w:rsid w:val="0AB358D8"/>
    <w:rsid w:val="0AFB4C44"/>
    <w:rsid w:val="0BD5695A"/>
    <w:rsid w:val="0C925FB3"/>
    <w:rsid w:val="0CA83A24"/>
    <w:rsid w:val="0CBD72CE"/>
    <w:rsid w:val="0CCC0E1D"/>
    <w:rsid w:val="0CE7637B"/>
    <w:rsid w:val="0D3E1899"/>
    <w:rsid w:val="0D7B0568"/>
    <w:rsid w:val="0DD35F49"/>
    <w:rsid w:val="0F3D21CF"/>
    <w:rsid w:val="0F4E1603"/>
    <w:rsid w:val="0FB666DA"/>
    <w:rsid w:val="10995AB4"/>
    <w:rsid w:val="110B1994"/>
    <w:rsid w:val="11395E32"/>
    <w:rsid w:val="114356CC"/>
    <w:rsid w:val="1167228D"/>
    <w:rsid w:val="120E322F"/>
    <w:rsid w:val="123C051C"/>
    <w:rsid w:val="12C74AAE"/>
    <w:rsid w:val="13214A6E"/>
    <w:rsid w:val="13C90448"/>
    <w:rsid w:val="13D75580"/>
    <w:rsid w:val="13FC5994"/>
    <w:rsid w:val="14150A62"/>
    <w:rsid w:val="14906E1B"/>
    <w:rsid w:val="14E459A8"/>
    <w:rsid w:val="1537321C"/>
    <w:rsid w:val="15385C1D"/>
    <w:rsid w:val="15792275"/>
    <w:rsid w:val="15C42E84"/>
    <w:rsid w:val="15DB5911"/>
    <w:rsid w:val="16157671"/>
    <w:rsid w:val="165B4658"/>
    <w:rsid w:val="165B79D6"/>
    <w:rsid w:val="1698352D"/>
    <w:rsid w:val="17942F76"/>
    <w:rsid w:val="17E85EBF"/>
    <w:rsid w:val="1843779C"/>
    <w:rsid w:val="18B35FF9"/>
    <w:rsid w:val="19754F98"/>
    <w:rsid w:val="1A5B5BFF"/>
    <w:rsid w:val="1A757C39"/>
    <w:rsid w:val="1AAC06D0"/>
    <w:rsid w:val="1AC14339"/>
    <w:rsid w:val="1B3C6D83"/>
    <w:rsid w:val="1B601C8D"/>
    <w:rsid w:val="1C47688D"/>
    <w:rsid w:val="1E0D106A"/>
    <w:rsid w:val="1E2E14E0"/>
    <w:rsid w:val="1EFB3D91"/>
    <w:rsid w:val="1F211789"/>
    <w:rsid w:val="1F34207F"/>
    <w:rsid w:val="1F3E5D3B"/>
    <w:rsid w:val="1F5C469A"/>
    <w:rsid w:val="1F6B5AB1"/>
    <w:rsid w:val="1FAC0580"/>
    <w:rsid w:val="1FBD2CDB"/>
    <w:rsid w:val="201302EF"/>
    <w:rsid w:val="20D46017"/>
    <w:rsid w:val="22507A4F"/>
    <w:rsid w:val="22837AA1"/>
    <w:rsid w:val="22E22341"/>
    <w:rsid w:val="22E2366B"/>
    <w:rsid w:val="236464CD"/>
    <w:rsid w:val="23C05172"/>
    <w:rsid w:val="23D95080"/>
    <w:rsid w:val="23DB5058"/>
    <w:rsid w:val="24726A87"/>
    <w:rsid w:val="24C259BE"/>
    <w:rsid w:val="25076E4C"/>
    <w:rsid w:val="256502AC"/>
    <w:rsid w:val="25AB795A"/>
    <w:rsid w:val="25C260D1"/>
    <w:rsid w:val="25D36F91"/>
    <w:rsid w:val="262B0B7B"/>
    <w:rsid w:val="26ED0D51"/>
    <w:rsid w:val="2701762B"/>
    <w:rsid w:val="27336188"/>
    <w:rsid w:val="27961991"/>
    <w:rsid w:val="27E37F27"/>
    <w:rsid w:val="280136B2"/>
    <w:rsid w:val="29EA5224"/>
    <w:rsid w:val="29FD0FB0"/>
    <w:rsid w:val="2A1A0CEB"/>
    <w:rsid w:val="2A4569DC"/>
    <w:rsid w:val="2A711B88"/>
    <w:rsid w:val="2B79321F"/>
    <w:rsid w:val="2C210A56"/>
    <w:rsid w:val="2C640943"/>
    <w:rsid w:val="2C9C2E6B"/>
    <w:rsid w:val="2DB23ADB"/>
    <w:rsid w:val="2E563969"/>
    <w:rsid w:val="2E6F71BF"/>
    <w:rsid w:val="2E910A84"/>
    <w:rsid w:val="2F6B5583"/>
    <w:rsid w:val="30AB6CEE"/>
    <w:rsid w:val="30BF1DA1"/>
    <w:rsid w:val="30C2686A"/>
    <w:rsid w:val="30DB4EBA"/>
    <w:rsid w:val="30ED1565"/>
    <w:rsid w:val="31C777BF"/>
    <w:rsid w:val="32BE31E5"/>
    <w:rsid w:val="33044F9B"/>
    <w:rsid w:val="33407430"/>
    <w:rsid w:val="342F5CDB"/>
    <w:rsid w:val="346419A4"/>
    <w:rsid w:val="346B166A"/>
    <w:rsid w:val="34902BA6"/>
    <w:rsid w:val="349A02DB"/>
    <w:rsid w:val="3547029B"/>
    <w:rsid w:val="356B157C"/>
    <w:rsid w:val="358A5018"/>
    <w:rsid w:val="35E124F1"/>
    <w:rsid w:val="36456406"/>
    <w:rsid w:val="36554D5F"/>
    <w:rsid w:val="365E608A"/>
    <w:rsid w:val="36A91D74"/>
    <w:rsid w:val="36BF0643"/>
    <w:rsid w:val="36D03252"/>
    <w:rsid w:val="379E73FF"/>
    <w:rsid w:val="382C7BD3"/>
    <w:rsid w:val="38543F62"/>
    <w:rsid w:val="387D5D44"/>
    <w:rsid w:val="38932948"/>
    <w:rsid w:val="3982065B"/>
    <w:rsid w:val="39C914E5"/>
    <w:rsid w:val="39D56612"/>
    <w:rsid w:val="3A585CFF"/>
    <w:rsid w:val="3AB219B8"/>
    <w:rsid w:val="3B8F102F"/>
    <w:rsid w:val="3BC50E53"/>
    <w:rsid w:val="3C0E1EBD"/>
    <w:rsid w:val="3C8223B7"/>
    <w:rsid w:val="3C9A591B"/>
    <w:rsid w:val="3CAB12DC"/>
    <w:rsid w:val="3CBC5F56"/>
    <w:rsid w:val="3CE7406F"/>
    <w:rsid w:val="3D7B5AED"/>
    <w:rsid w:val="3D8F10C5"/>
    <w:rsid w:val="3E0D0549"/>
    <w:rsid w:val="3EB00DD3"/>
    <w:rsid w:val="3F565776"/>
    <w:rsid w:val="3FB76718"/>
    <w:rsid w:val="3FB90E32"/>
    <w:rsid w:val="3FCA24D1"/>
    <w:rsid w:val="404228F2"/>
    <w:rsid w:val="406B27CB"/>
    <w:rsid w:val="41132C03"/>
    <w:rsid w:val="413E753A"/>
    <w:rsid w:val="417F0CD2"/>
    <w:rsid w:val="41A23989"/>
    <w:rsid w:val="41AD1B11"/>
    <w:rsid w:val="424A4629"/>
    <w:rsid w:val="42786A9F"/>
    <w:rsid w:val="42A24496"/>
    <w:rsid w:val="43216366"/>
    <w:rsid w:val="433A3D54"/>
    <w:rsid w:val="43795002"/>
    <w:rsid w:val="4393235A"/>
    <w:rsid w:val="439A200F"/>
    <w:rsid w:val="441E3CCD"/>
    <w:rsid w:val="444F35D5"/>
    <w:rsid w:val="45992BD4"/>
    <w:rsid w:val="45BD3691"/>
    <w:rsid w:val="45FF7A66"/>
    <w:rsid w:val="46003033"/>
    <w:rsid w:val="460348D1"/>
    <w:rsid w:val="46A45F31"/>
    <w:rsid w:val="46E00242"/>
    <w:rsid w:val="47ED0BED"/>
    <w:rsid w:val="48167B4F"/>
    <w:rsid w:val="48AC20FD"/>
    <w:rsid w:val="4968786D"/>
    <w:rsid w:val="4A3F0EC3"/>
    <w:rsid w:val="4A7D44FD"/>
    <w:rsid w:val="4A83233B"/>
    <w:rsid w:val="4B9659BD"/>
    <w:rsid w:val="4C0F3B79"/>
    <w:rsid w:val="4C3001FF"/>
    <w:rsid w:val="4D557AD3"/>
    <w:rsid w:val="4D6E09E2"/>
    <w:rsid w:val="4D754306"/>
    <w:rsid w:val="4E074D86"/>
    <w:rsid w:val="4E2E708E"/>
    <w:rsid w:val="4EA76E1A"/>
    <w:rsid w:val="4EB044F2"/>
    <w:rsid w:val="4EB91B8E"/>
    <w:rsid w:val="4F344B5F"/>
    <w:rsid w:val="4FFA467F"/>
    <w:rsid w:val="500E23E4"/>
    <w:rsid w:val="505752B3"/>
    <w:rsid w:val="50D82277"/>
    <w:rsid w:val="50DC43E5"/>
    <w:rsid w:val="512D1B8D"/>
    <w:rsid w:val="52463689"/>
    <w:rsid w:val="52824B19"/>
    <w:rsid w:val="528F15E9"/>
    <w:rsid w:val="52B0326A"/>
    <w:rsid w:val="52E56EBA"/>
    <w:rsid w:val="536C235D"/>
    <w:rsid w:val="53A77C38"/>
    <w:rsid w:val="53C02C55"/>
    <w:rsid w:val="548E3F00"/>
    <w:rsid w:val="558E429D"/>
    <w:rsid w:val="559A6796"/>
    <w:rsid w:val="55F84612"/>
    <w:rsid w:val="55FA5737"/>
    <w:rsid w:val="560C332E"/>
    <w:rsid w:val="5619340C"/>
    <w:rsid w:val="56F61B8A"/>
    <w:rsid w:val="583628E4"/>
    <w:rsid w:val="583F5686"/>
    <w:rsid w:val="593058FE"/>
    <w:rsid w:val="59F470CA"/>
    <w:rsid w:val="5A97282E"/>
    <w:rsid w:val="5B102C90"/>
    <w:rsid w:val="5B500161"/>
    <w:rsid w:val="5C8A6769"/>
    <w:rsid w:val="5CAC1F18"/>
    <w:rsid w:val="5CE52F75"/>
    <w:rsid w:val="5D6323CD"/>
    <w:rsid w:val="5DA67488"/>
    <w:rsid w:val="5DCD2B84"/>
    <w:rsid w:val="5DD61040"/>
    <w:rsid w:val="5E1A672C"/>
    <w:rsid w:val="5E363E56"/>
    <w:rsid w:val="5E6564B1"/>
    <w:rsid w:val="5E713D99"/>
    <w:rsid w:val="5FA91853"/>
    <w:rsid w:val="60175BB8"/>
    <w:rsid w:val="604762E1"/>
    <w:rsid w:val="605F2DFA"/>
    <w:rsid w:val="60A0506E"/>
    <w:rsid w:val="60C0198F"/>
    <w:rsid w:val="615617B3"/>
    <w:rsid w:val="61573B46"/>
    <w:rsid w:val="615849C8"/>
    <w:rsid w:val="615A3454"/>
    <w:rsid w:val="61742D56"/>
    <w:rsid w:val="61B07789"/>
    <w:rsid w:val="61BA378E"/>
    <w:rsid w:val="631723F1"/>
    <w:rsid w:val="63636DBE"/>
    <w:rsid w:val="63A07E6A"/>
    <w:rsid w:val="63A32567"/>
    <w:rsid w:val="63AA79AE"/>
    <w:rsid w:val="646400CC"/>
    <w:rsid w:val="66147A3E"/>
    <w:rsid w:val="661974A0"/>
    <w:rsid w:val="66947A89"/>
    <w:rsid w:val="66BE2C26"/>
    <w:rsid w:val="66EB050D"/>
    <w:rsid w:val="66FB55DA"/>
    <w:rsid w:val="673B0626"/>
    <w:rsid w:val="674566A0"/>
    <w:rsid w:val="67C35476"/>
    <w:rsid w:val="67F82B9B"/>
    <w:rsid w:val="681305C4"/>
    <w:rsid w:val="68A23AFB"/>
    <w:rsid w:val="69586098"/>
    <w:rsid w:val="69BE5799"/>
    <w:rsid w:val="6A5332C0"/>
    <w:rsid w:val="6AF503DD"/>
    <w:rsid w:val="6C1D2F65"/>
    <w:rsid w:val="6C20148A"/>
    <w:rsid w:val="6CA710F6"/>
    <w:rsid w:val="6D2E0EB8"/>
    <w:rsid w:val="6D5A7D09"/>
    <w:rsid w:val="6E1D2151"/>
    <w:rsid w:val="6E9B5812"/>
    <w:rsid w:val="6F143527"/>
    <w:rsid w:val="6FED681D"/>
    <w:rsid w:val="6FED7240"/>
    <w:rsid w:val="70DE3255"/>
    <w:rsid w:val="70EA3A34"/>
    <w:rsid w:val="71506752"/>
    <w:rsid w:val="71734B98"/>
    <w:rsid w:val="71E470FC"/>
    <w:rsid w:val="725F4F66"/>
    <w:rsid w:val="728A3FDC"/>
    <w:rsid w:val="72A62040"/>
    <w:rsid w:val="72A93F87"/>
    <w:rsid w:val="72EA0E52"/>
    <w:rsid w:val="7309711B"/>
    <w:rsid w:val="73134A5B"/>
    <w:rsid w:val="73632824"/>
    <w:rsid w:val="73ED43E9"/>
    <w:rsid w:val="75250D99"/>
    <w:rsid w:val="75572263"/>
    <w:rsid w:val="75624D14"/>
    <w:rsid w:val="75C537CD"/>
    <w:rsid w:val="76120C3F"/>
    <w:rsid w:val="761F5D49"/>
    <w:rsid w:val="7657019E"/>
    <w:rsid w:val="76FF3032"/>
    <w:rsid w:val="77297CF9"/>
    <w:rsid w:val="779C055E"/>
    <w:rsid w:val="7801005E"/>
    <w:rsid w:val="788318BF"/>
    <w:rsid w:val="7A2A0ED3"/>
    <w:rsid w:val="7A35188D"/>
    <w:rsid w:val="7A753089"/>
    <w:rsid w:val="7A98312A"/>
    <w:rsid w:val="7AAB789A"/>
    <w:rsid w:val="7AB855E2"/>
    <w:rsid w:val="7B004C6A"/>
    <w:rsid w:val="7BC848CA"/>
    <w:rsid w:val="7C164162"/>
    <w:rsid w:val="7C4F751E"/>
    <w:rsid w:val="7C5162D1"/>
    <w:rsid w:val="7CCB5D5E"/>
    <w:rsid w:val="7CD03660"/>
    <w:rsid w:val="7CF17AEC"/>
    <w:rsid w:val="7E6C47D1"/>
    <w:rsid w:val="7E881EF9"/>
    <w:rsid w:val="7E901366"/>
    <w:rsid w:val="7EDF372A"/>
    <w:rsid w:val="7F346740"/>
    <w:rsid w:val="7FDD1714"/>
    <w:rsid w:val="7FDE45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156" w:beforeLines="50" w:after="156" w:afterLines="50"/>
      <w:outlineLvl w:val="0"/>
    </w:pPr>
    <w:rPr>
      <w:rFonts w:eastAsia="黑体"/>
      <w:b/>
      <w:bCs/>
      <w:kern w:val="44"/>
      <w:szCs w:val="44"/>
    </w:rPr>
  </w:style>
  <w:style w:type="paragraph" w:styleId="3">
    <w:name w:val="heading 2"/>
    <w:basedOn w:val="1"/>
    <w:next w:val="1"/>
    <w:qFormat/>
    <w:uiPriority w:val="9"/>
    <w:pPr>
      <w:keepNext/>
      <w:keepLines/>
      <w:numPr>
        <w:ilvl w:val="1"/>
        <w:numId w:val="1"/>
      </w:numPr>
      <w:spacing w:line="480" w:lineRule="auto"/>
      <w:ind w:right="100" w:rightChars="100"/>
      <w:jc w:val="left"/>
      <w:outlineLvl w:val="1"/>
    </w:pPr>
    <w:rPr>
      <w:rFonts w:ascii="Calibri Light" w:hAnsi="Calibri Light" w:eastAsia="楷体"/>
      <w:b/>
      <w:bCs/>
    </w:rPr>
  </w:style>
  <w:style w:type="paragraph" w:styleId="4">
    <w:name w:val="heading 3"/>
    <w:basedOn w:val="1"/>
    <w:next w:val="1"/>
    <w:link w:val="23"/>
    <w:qFormat/>
    <w:uiPriority w:val="9"/>
    <w:pPr>
      <w:keepNext/>
      <w:keepLines/>
      <w:numPr>
        <w:ilvl w:val="0"/>
        <w:numId w:val="2"/>
      </w:numPr>
      <w:spacing w:before="156" w:beforeLines="50" w:after="156" w:afterLines="50"/>
      <w:outlineLvl w:val="2"/>
    </w:pPr>
    <w:rPr>
      <w:b/>
      <w:bCs/>
      <w:color w:val="000000"/>
    </w:rPr>
  </w:style>
  <w:style w:type="paragraph" w:styleId="5">
    <w:name w:val="heading 4"/>
    <w:basedOn w:val="1"/>
    <w:next w:val="1"/>
    <w:qFormat/>
    <w:uiPriority w:val="0"/>
    <w:pPr>
      <w:spacing w:beforeAutospacing="1" w:afterAutospacing="1"/>
      <w:jc w:val="left"/>
      <w:outlineLvl w:val="3"/>
    </w:pPr>
    <w:rPr>
      <w:rFonts w:hint="eastAsia" w:ascii="宋体" w:hAnsi="宋体"/>
      <w:b/>
      <w:bCs/>
      <w:kern w:val="0"/>
      <w:sz w:val="24"/>
    </w:rPr>
  </w:style>
  <w:style w:type="character" w:default="1" w:styleId="17">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6">
    <w:name w:val="caption"/>
    <w:basedOn w:val="1"/>
    <w:next w:val="1"/>
    <w:qFormat/>
    <w:uiPriority w:val="35"/>
    <w:rPr>
      <w:rFonts w:ascii="Calibri Light" w:hAnsi="Calibri Light" w:eastAsia="黑体"/>
      <w:sz w:val="20"/>
      <w:szCs w:val="20"/>
    </w:rPr>
  </w:style>
  <w:style w:type="paragraph" w:styleId="7">
    <w:name w:val="annotation text"/>
    <w:basedOn w:val="1"/>
    <w:qFormat/>
    <w:uiPriority w:val="0"/>
    <w:pPr>
      <w:jc w:val="left"/>
    </w:pPr>
  </w:style>
  <w:style w:type="paragraph" w:styleId="8">
    <w:name w:val="Body Text"/>
    <w:basedOn w:val="1"/>
    <w:next w:val="9"/>
    <w:unhideWhenUsed/>
    <w:qFormat/>
    <w:uiPriority w:val="99"/>
    <w:pPr>
      <w:jc w:val="center"/>
    </w:pPr>
    <w:rPr>
      <w:rFonts w:ascii="仿宋_GB2312" w:cs="仿宋_GB2312"/>
      <w:b/>
      <w:bCs/>
      <w:sz w:val="36"/>
      <w:szCs w:val="36"/>
    </w:rPr>
  </w:style>
  <w:style w:type="paragraph" w:customStyle="1" w:styleId="9">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toc 3"/>
    <w:basedOn w:val="1"/>
    <w:next w:val="1"/>
    <w:qFormat/>
    <w:uiPriority w:val="39"/>
    <w:pPr>
      <w:ind w:left="840" w:leftChars="400"/>
    </w:p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qFormat/>
    <w:uiPriority w:val="99"/>
    <w:pPr>
      <w:spacing w:beforeAutospacing="1" w:afterAutospacing="1"/>
      <w:jc w:val="left"/>
    </w:pPr>
    <w:rPr>
      <w:kern w:val="0"/>
      <w:sz w:val="24"/>
    </w:rPr>
  </w:style>
  <w:style w:type="character" w:styleId="18">
    <w:name w:val="Strong"/>
    <w:qFormat/>
    <w:uiPriority w:val="0"/>
    <w:rPr>
      <w:b/>
    </w:rPr>
  </w:style>
  <w:style w:type="character" w:styleId="19">
    <w:name w:val="Emphasis"/>
    <w:qFormat/>
    <w:uiPriority w:val="0"/>
    <w:rPr>
      <w:i/>
    </w:rPr>
  </w:style>
  <w:style w:type="character" w:styleId="20">
    <w:name w:val="Hyperlink"/>
    <w:unhideWhenUsed/>
    <w:qFormat/>
    <w:uiPriority w:val="99"/>
    <w:rPr>
      <w:color w:val="0026E5"/>
      <w:u w:val="single"/>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标题 3 字符"/>
    <w:link w:val="4"/>
    <w:qFormat/>
    <w:uiPriority w:val="0"/>
    <w:rPr>
      <w:rFonts w:hint="default" w:ascii="Calibri" w:hAnsi="Calibri" w:cs="Calibri"/>
      <w:b/>
      <w:bCs/>
      <w:color w:val="000000"/>
      <w:kern w:val="2"/>
      <w:sz w:val="21"/>
      <w:szCs w:val="24"/>
    </w:rPr>
  </w:style>
  <w:style w:type="character" w:customStyle="1" w:styleId="24">
    <w:name w:val="批注框文本 字符"/>
    <w:link w:val="11"/>
    <w:qFormat/>
    <w:uiPriority w:val="0"/>
    <w:rPr>
      <w:rFonts w:ascii="Calibri" w:hAnsi="Calibri" w:eastAsia="宋体" w:cs="Times New Roman"/>
      <w:kern w:val="2"/>
      <w:sz w:val="18"/>
      <w:szCs w:val="18"/>
    </w:rPr>
  </w:style>
  <w:style w:type="paragraph" w:customStyle="1" w:styleId="25">
    <w:name w:val="图片标题"/>
    <w:basedOn w:val="6"/>
    <w:qFormat/>
    <w:uiPriority w:val="0"/>
    <w:pPr>
      <w:jc w:val="center"/>
    </w:pPr>
    <w:rPr>
      <w:rFonts w:ascii="Times New Roman" w:hAnsi="Times New Roman" w:eastAsia="仿宋_GB2312"/>
      <w:b/>
      <w:sz w:val="28"/>
      <w:szCs w:val="22"/>
    </w:rPr>
  </w:style>
  <w:style w:type="paragraph" w:customStyle="1" w:styleId="26">
    <w:name w:val="List Paragraph"/>
    <w:basedOn w:val="1"/>
    <w:qFormat/>
    <w:uiPriority w:val="34"/>
    <w:pPr>
      <w:ind w:firstLine="420"/>
    </w:p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0">
    <w:name w:val="可研 图注"/>
    <w:next w:val="1"/>
    <w:qFormat/>
    <w:uiPriority w:val="0"/>
    <w:pPr>
      <w:keepNext/>
      <w:widowControl w:val="0"/>
      <w:numPr>
        <w:ilvl w:val="0"/>
        <w:numId w:val="3"/>
      </w:numPr>
      <w:jc w:val="center"/>
    </w:pPr>
    <w:rPr>
      <w:rFonts w:ascii="宋体" w:hAnsi="宋体" w:eastAsia="黑体" w:cs="Times New Roman"/>
      <w:b/>
      <w:sz w:val="21"/>
      <w:szCs w:val="21"/>
      <w:lang w:val="en-US" w:eastAsia="zh-CN" w:bidi="ar-SA"/>
    </w:rPr>
  </w:style>
  <w:style w:type="paragraph" w:customStyle="1" w:styleId="31">
    <w:name w:val="可研 表注"/>
    <w:qFormat/>
    <w:uiPriority w:val="0"/>
    <w:pPr>
      <w:numPr>
        <w:ilvl w:val="0"/>
        <w:numId w:val="4"/>
      </w:numPr>
      <w:ind w:left="0" w:firstLine="0"/>
      <w:jc w:val="center"/>
    </w:pPr>
    <w:rPr>
      <w:rFonts w:ascii="黑体" w:hAnsi="黑体" w:eastAsia="仿宋_GB2312" w:cs="黑体"/>
      <w:b/>
      <w:bCs/>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3954</Words>
  <Characters>22539</Characters>
  <Lines>187</Lines>
  <Paragraphs>52</Paragraphs>
  <TotalTime>0</TotalTime>
  <ScaleCrop>false</ScaleCrop>
  <LinksUpToDate>false</LinksUpToDate>
  <CharactersWithSpaces>26441</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2025-07-25T00:40:00Z</dcterms:created>
  <dc:creator>Administrator</dc:creator>
  <cp:lastModifiedBy>bgs</cp:lastModifiedBy>
  <cp:lastPrinted>2024-12-18T17:28:00Z</cp:lastPrinted>
  <dcterms:modified xsi:type="dcterms:W3CDTF">2025-07-29T06:32:09Z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0B8A79C490B6445A95A919B55487A87B_13</vt:lpwstr>
  </property>
  <property fmtid="{D5CDD505-2E9C-101B-9397-08002B2CF9AE}" pid="4" name="KSOTemplateDocerSaveRecord">
    <vt:lpwstr>eyJoZGlkIjoiYmQzZWFiNDRjZTkzM2Y4MWNmZWM0NzVmODZhMzFhYzkiLCJ1c2VySWQiOiIxMTUxMDE4NzM1In0=</vt:lpwstr>
  </property>
</Properties>
</file>