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《北京未来数字空间创新试验区建设方案（征求意见稿）》的起草说明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现将《北京未来数字空间创新试验区建设方案（征求意见稿）》（以下简称《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》）制定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背景</w:t>
      </w:r>
      <w:r>
        <w:rPr>
          <w:rFonts w:hint="eastAsia" w:ascii="仿宋_GB2312" w:hAnsi="仿宋_GB2312" w:eastAsia="仿宋_GB2312" w:cs="仿宋_GB2312"/>
          <w:sz w:val="32"/>
          <w:szCs w:val="32"/>
        </w:rPr>
        <w:t>、制定过程和主要内容说明如下：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一、制定背景</w:t>
      </w:r>
    </w:p>
    <w:p>
      <w:pPr>
        <w:adjustRightInd w:val="0"/>
        <w:snapToGrid w:val="0"/>
        <w:spacing w:line="560" w:lineRule="exact"/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为深入贯彻落实党的二十届三中全会精神和中央经济工作会议精神，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落实北京国际科技创新中心建设部署，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突出文化科技融合产业特色，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聚焦发展科幻、游戏电竞、虚拟现实、空间智能等相关数字经济产业，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高质量建设北京未来数字空间创新试验区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打造“两园一河”产业发展和活力消费引擎，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提升京西地区产业发展能级，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编制过程</w:t>
      </w:r>
    </w:p>
    <w:p>
      <w:pPr>
        <w:adjustRightInd w:val="0"/>
        <w:snapToGrid w:val="0"/>
        <w:spacing w:line="560" w:lineRule="exact"/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结合北京市产业发展布局和“两园一河”联动发展需要，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对标研究全国典型数字经济和文化科技园区，深入分析创新试验区发展科幻、游戏电竞、虚拟现实、元宇宙产业基础和现状，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着力“延链、补链、强链”，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扩大部市合作资源优势、位势优势和先发优势，深入查找存在的问题与不足，针对性制定建设方案。先后组织多轮专家座谈和企业调研，把握产业发展趋势和特点，明确产业发展需求。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先后征求市委宣传部、市科委中关村管委会等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和首钢集团意见建议，根据相关意见逐条进行了修改完善，形成《建设方案》。</w:t>
      </w:r>
    </w:p>
    <w:p>
      <w:pPr>
        <w:adjustRightInd w:val="0"/>
        <w:snapToGrid w:val="0"/>
        <w:spacing w:line="560" w:lineRule="exact"/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三、主要内容</w:t>
      </w:r>
    </w:p>
    <w:p>
      <w:pPr>
        <w:adjustRightInd w:val="0"/>
        <w:snapToGrid w:val="0"/>
        <w:spacing w:line="560" w:lineRule="exact"/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为高质量建设试验区，推进文化和科技深度融合，打造“两园一河”产业发展和活力消费引擎，提升京西地区产业发展能级，编制《建设方案》，包括总体要求、重点任务和保障措施。</w:t>
      </w:r>
    </w:p>
    <w:p>
      <w:pPr>
        <w:adjustRightInd w:val="0"/>
        <w:snapToGrid w:val="0"/>
        <w:spacing w:line="560" w:lineRule="exact"/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要求明确试验区以石景山区首钢园为核心区，包含石景山区全域，着力构建特色鲜明、链条完整的数字空间产业矩阵，打造数字经济创新发展“试验田”，目标到2027年数字经济产业规模突破2000亿元，在核心区形成千亿级产业集群。</w:t>
      </w:r>
    </w:p>
    <w:p>
      <w:pPr>
        <w:adjustRightInd w:val="0"/>
        <w:snapToGrid w:val="0"/>
        <w:spacing w:line="560" w:lineRule="exact"/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任务共6个方面。一是繁荣数字内容创作生态，打造“3+X”产业矩阵。做强科幻产业特色品牌，支持优质科幻IP转化，加快科幻产业集聚区建设，办好中国科幻大会等活动。重点发展游戏电竞产业，建设孵化创新中心，搭建共性平台，支持赛事落地，提供全链条版权保护服务。加快布局元宇宙产业,创建先导区和育新基地，建设技术平台，构建互联网3.0技术高地，推进沉浸式技术应用。探索发展空间智能产业,建设空间智能产业基地集群，加快引进上下游企业，探索前沿场景应用。</w:t>
      </w:r>
    </w:p>
    <w:p>
      <w:pPr>
        <w:adjustRightInd w:val="0"/>
        <w:snapToGrid w:val="0"/>
        <w:spacing w:line="560" w:lineRule="exact"/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适度超前布局新型数字基础设施，构建智能感知网络。加快建设算力设施，布局三级算力体系，打造相关平台，推动技术创新。建设高速万物智联网络，部署下一代互联网等设施，加快工业互联网等行业应用型数字基础设施建设，建设6G开放实验室等。加快智能设备设施建设应用，布局新型智能终端，推动相关产品先行先试，培育智慧广电生态，建设平台及创新应用实验室等。</w:t>
      </w:r>
    </w:p>
    <w:p>
      <w:pPr>
        <w:adjustRightInd w:val="0"/>
        <w:snapToGrid w:val="0"/>
        <w:spacing w:line="560" w:lineRule="exact"/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推进数字技术创新应用，赋能文化科技融合发展。推动关键核心数字技术适配研发。落地重点实验室、创新平台，围绕重点数字技术领域开展适配性开发，推动人工智能辅助技术应用。加强数字技术赋能体验消费创新。开展智慧导览等数字化应用，探索动作捕捉、AI训练辅助等技术提升竞技、体验数智化水平。</w:t>
      </w:r>
    </w:p>
    <w:p>
      <w:pPr>
        <w:adjustRightInd w:val="0"/>
        <w:snapToGrid w:val="0"/>
        <w:spacing w:line="560" w:lineRule="exact"/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强化关键创新要素支撑，厚植协同共生产业生态。强化人才引进与配套服务支持。设立跨界人才社区，扩大人才支持范围，加大创新创业人才团队引进，提供配套服务。加大耐心资本支持力度。积极推动市区基金合作，设立联合基金和专项基金，助力试验区发展。建设产业发展平台。建设标杆孵化器、成果转化平台，开展科技成果转化专业化服务。加大惠企政策创新。设立综合服务平台窗口和数字版权服务中心，争取国际互联网数据专用通道。</w:t>
      </w:r>
    </w:p>
    <w:p>
      <w:pPr>
        <w:adjustRightInd w:val="0"/>
        <w:snapToGrid w:val="0"/>
        <w:spacing w:line="560" w:lineRule="exact"/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是打造数据要素流通体系，激活数字经济发展动能。推动数据资源开发利用。打造可信数据空间，发展数据服务产业等。建立数据要素高效流通体系。探索建立沙盒试验区，构建数据跨境流动运营能力体系等。推动数字贸易快速发展。建设交易促进平台，重点打造一批文化出海项目，培育出口重点企业等。</w:t>
      </w:r>
    </w:p>
    <w:p>
      <w:pPr>
        <w:adjustRightInd w:val="0"/>
        <w:snapToGrid w:val="0"/>
        <w:spacing w:line="560" w:lineRule="exact"/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是培育数字创新应用场景，持续提升区域品牌竞争力。着力打造会展小镇场景。采用便捷审批机制，支持新技术新产品应用，打造展会品牌和虚实结合展会。强化建设文体消费场景。举办大赛，推动项目成果集中布局，建设数字艺术街区等，推动影视和电竞赛事发展。打造“AI+”创新应用高地。建设应用基地，推动技术攻关和示范应用，加强协同创新。</w:t>
      </w:r>
    </w:p>
    <w:p>
      <w:pPr>
        <w:adjustRightInd w:val="0"/>
        <w:snapToGrid w:val="0"/>
        <w:spacing w:line="560" w:lineRule="exact"/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保障措施强调，强化组织实施,建立市级调度机制，强化政策保障，营造发展氛围。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-GB2312">
    <w:altName w:val="方正仿宋_GBK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D9488"/>
    <w:rsid w:val="1E9D9488"/>
    <w:rsid w:val="6FD9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2025-07-17T17:06:00Z</dcterms:created>
  <dc:creator>uos</dc:creator>
  <cp:lastModifiedBy>Jing</cp:lastModifiedBy>
  <dcterms:modified xsi:type="dcterms:W3CDTF">2025-07-17T11:12:24Z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1126C0E776A483CB186A7868E2180AA2_43</vt:lpwstr>
  </property>
</Properties>
</file>