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140" w:line="580" w:lineRule="exact"/>
        <w:jc w:val="center"/>
        <w:textAlignment w:val="baseline"/>
        <w:rPr>
          <w:rFonts w:hint="eastAsia" w:ascii="方正小标宋简体" w:hAnsi="仿宋_GB2312" w:eastAsia="方正小标宋简体" w:cs="仿宋_GB2312"/>
          <w:color w:val="auto"/>
          <w:sz w:val="44"/>
          <w:szCs w:val="44"/>
          <w:highlight w:val="none"/>
          <w:lang w:eastAsia="zh-CN"/>
        </w:rPr>
      </w:pPr>
      <w:bookmarkStart w:id="0" w:name="_GoBack"/>
      <w:r>
        <w:rPr>
          <w:rFonts w:hint="eastAsia" w:ascii="方正小标宋简体" w:hAnsi="仿宋_GB2312" w:eastAsia="方正小标宋简体" w:cs="仿宋_GB2312"/>
          <w:color w:val="auto"/>
          <w:spacing w:val="-4"/>
          <w:position w:val="2"/>
          <w:sz w:val="44"/>
          <w:szCs w:val="44"/>
          <w:highlight w:val="none"/>
          <w:lang w:val="en-US" w:eastAsia="zh-CN"/>
        </w:rPr>
        <w:t>北京市</w:t>
      </w:r>
      <w:r>
        <w:rPr>
          <w:rFonts w:hint="eastAsia" w:ascii="方正小标宋简体" w:hAnsi="仿宋_GB2312" w:eastAsia="方正小标宋简体" w:cs="仿宋_GB2312"/>
          <w:color w:val="auto"/>
          <w:spacing w:val="-4"/>
          <w:position w:val="2"/>
          <w:sz w:val="44"/>
          <w:szCs w:val="44"/>
          <w:highlight w:val="none"/>
          <w:lang w:eastAsia="zh-CN"/>
        </w:rPr>
        <w:t>通州区新型集体林场管理实施细则</w:t>
      </w:r>
    </w:p>
    <w:p>
      <w:pPr>
        <w:keepNext w:val="0"/>
        <w:keepLines w:val="0"/>
        <w:pageBreakBefore w:val="0"/>
        <w:widowControl/>
        <w:kinsoku/>
        <w:wordWrap/>
        <w:overflowPunct/>
        <w:topLinePunct w:val="0"/>
        <w:autoSpaceDE w:val="0"/>
        <w:autoSpaceDN w:val="0"/>
        <w:bidi w:val="0"/>
        <w:adjustRightInd w:val="0"/>
        <w:snapToGrid w:val="0"/>
        <w:spacing w:before="96" w:line="580" w:lineRule="exact"/>
        <w:jc w:val="center"/>
        <w:textAlignment w:val="baseline"/>
        <w:rPr>
          <w:rFonts w:hint="eastAsia" w:ascii="方正小标宋简体" w:hAnsi="仿宋_GB2312" w:eastAsia="方正小标宋简体" w:cs="仿宋_GB2312"/>
          <w:color w:val="auto"/>
          <w:sz w:val="44"/>
          <w:szCs w:val="44"/>
          <w:highlight w:val="none"/>
          <w:lang w:eastAsia="zh-CN"/>
        </w:rPr>
      </w:pPr>
      <w:r>
        <w:rPr>
          <w:rFonts w:hint="eastAsia" w:ascii="方正小标宋简体" w:hAnsi="仿宋_GB2312" w:eastAsia="方正小标宋简体" w:cs="仿宋_GB2312"/>
          <w:color w:val="auto"/>
          <w:sz w:val="44"/>
          <w:szCs w:val="44"/>
          <w:highlight w:val="none"/>
          <w:lang w:eastAsia="zh-CN"/>
        </w:rPr>
        <w:t>（征求意见稿）</w:t>
      </w:r>
    </w:p>
    <w:bookmarkEnd w:id="0"/>
    <w:p>
      <w:pPr>
        <w:keepNext w:val="0"/>
        <w:keepLines w:val="0"/>
        <w:pageBreakBefore w:val="0"/>
        <w:widowControl/>
        <w:tabs>
          <w:tab w:val="left" w:pos="6947"/>
        </w:tabs>
        <w:kinsoku/>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第一章 总  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为规范通州区新型集体林场管理工作，提高资金使用效益，进一步推进通州区平原生态林养护管理工作高效有序进行，根据《北京市人民政府办公厅关于本市发展新型集体林场的指导意见》（京政办发〔2021〕15号）《北京市新型集体林场建设和管理实施细则（试行）》（京绿办发〔2022〕79号）等有关管理制度的规定和相关政策要求，结合北京市通州区平原生态林养护工作的实际，特制定本细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本细则适用于北京市通州区新型集体林场组织管理、生产运营、督导检查等相关工作。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细则所指新型集体林场是指经市场监管部门登记注册，具有独立法人资格的集体所有制林业企业，除承担政府委托的公益性项目外，在做好生态林养护工作的前提下，可依托经营管理的林地、森林、林木资源自主开展相关营利性经营活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w:t>
      </w:r>
      <w:r>
        <w:rPr>
          <w:rFonts w:hint="eastAsia" w:ascii="仿宋_GB2312" w:hAnsi="仿宋_GB2312" w:eastAsia="仿宋_GB2312" w:cs="仿宋_GB2312"/>
          <w:b w:val="0"/>
          <w:bCs w:val="0"/>
          <w:color w:val="auto"/>
          <w:spacing w:val="0"/>
          <w:kern w:val="2"/>
          <w:sz w:val="32"/>
          <w:szCs w:val="32"/>
          <w:highlight w:val="none"/>
          <w:lang w:val="en-US" w:eastAsia="zh-CN" w:bidi="ar-SA"/>
        </w:rPr>
        <w:t>新型集体林场由属地政府主导建立并管理，</w:t>
      </w:r>
      <w:r>
        <w:rPr>
          <w:rFonts w:hint="eastAsia" w:ascii="仿宋_GB2312" w:hAnsi="仿宋_GB2312" w:eastAsia="仿宋_GB2312" w:cs="仿宋_GB2312"/>
          <w:color w:val="auto"/>
          <w:spacing w:val="0"/>
          <w:kern w:val="2"/>
          <w:sz w:val="32"/>
          <w:szCs w:val="32"/>
          <w:highlight w:val="none"/>
          <w:lang w:val="en-US" w:eastAsia="zh-CN" w:bidi="ar-SA"/>
        </w:rPr>
        <w:t>不属于政府下属机构，政企分开，自主经营，自负盈亏。</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是在集体林权“三权分置”基础上，受属地政府委托或经林地经营权依法流转，代表属地政府、农村集体经济组织及其成员，行使平原生态林地、森林、林木经营权的新型经营主体；不得以任何形式和名义转包、出租、转让、互换、入股、抵押等方式处置集体林地及林木资源；违反法律规定或者合同约定，造成森林、林木、林地严重毁坏的，相关主体有权收回林地经营权。通州区平原生态林林木资产归属地政府所有，依法流转的土地经营权归新型集体林场所有。</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本区新型集体林场建设应本着因地制宜，积极有序的原则推进。全区符合条件的生态林应全部纳入新型集体林场管理，并建立新型集体林场管理制度体系。</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新型集体林场的合法权益受法律保护，不得随意注销、兼并、转让和抵债。乡镇级新型集体林场的合并，须经过区园林绿化局组织专家进行论证。</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w:t>
      </w:r>
      <w:r>
        <w:rPr>
          <w:rFonts w:ascii="仿宋_GB2312" w:hAnsi="仿宋_GB2312" w:eastAsia="仿宋_GB2312" w:cs="仿宋_GB2312"/>
          <w:color w:val="auto"/>
          <w:spacing w:val="0"/>
          <w:kern w:val="2"/>
          <w:sz w:val="32"/>
          <w:szCs w:val="32"/>
          <w:highlight w:val="none"/>
          <w:lang w:val="en-US" w:eastAsia="zh-CN" w:bidi="ar-SA"/>
        </w:rPr>
        <w:t>新型集体林场</w:t>
      </w:r>
      <w:r>
        <w:rPr>
          <w:rFonts w:hint="eastAsia" w:ascii="仿宋_GB2312" w:hAnsi="仿宋_GB2312" w:eastAsia="仿宋_GB2312" w:cs="仿宋_GB2312"/>
          <w:color w:val="auto"/>
          <w:spacing w:val="0"/>
          <w:kern w:val="2"/>
          <w:sz w:val="32"/>
          <w:szCs w:val="32"/>
          <w:highlight w:val="none"/>
          <w:lang w:val="en-US" w:eastAsia="zh-CN" w:bidi="ar-SA"/>
        </w:rPr>
        <w:t>注册地址</w:t>
      </w:r>
      <w:r>
        <w:rPr>
          <w:rFonts w:ascii="仿宋_GB2312" w:hAnsi="仿宋_GB2312" w:eastAsia="仿宋_GB2312" w:cs="仿宋_GB2312"/>
          <w:color w:val="auto"/>
          <w:spacing w:val="0"/>
          <w:kern w:val="2"/>
          <w:sz w:val="32"/>
          <w:szCs w:val="32"/>
          <w:highlight w:val="none"/>
          <w:lang w:val="en-US" w:eastAsia="zh-CN" w:bidi="ar-SA"/>
        </w:rPr>
        <w:t>应为合法建筑租赁</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借用</w:t>
      </w:r>
      <w:r>
        <w:rPr>
          <w:rFonts w:hint="eastAsia" w:ascii="仿宋_GB2312" w:hAnsi="仿宋_GB2312" w:eastAsia="仿宋_GB2312" w:cs="仿宋_GB2312"/>
          <w:color w:val="auto"/>
          <w:spacing w:val="0"/>
          <w:kern w:val="2"/>
          <w:sz w:val="32"/>
          <w:szCs w:val="32"/>
          <w:highlight w:val="none"/>
          <w:lang w:val="en-US" w:eastAsia="zh-CN" w:bidi="ar-SA"/>
        </w:rPr>
        <w:t>）的</w:t>
      </w:r>
      <w:r>
        <w:rPr>
          <w:rFonts w:ascii="仿宋_GB2312" w:hAnsi="仿宋_GB2312" w:eastAsia="仿宋_GB2312" w:cs="仿宋_GB2312"/>
          <w:color w:val="auto"/>
          <w:spacing w:val="0"/>
          <w:kern w:val="2"/>
          <w:sz w:val="32"/>
          <w:szCs w:val="32"/>
          <w:highlight w:val="none"/>
          <w:lang w:val="en-US" w:eastAsia="zh-CN" w:bidi="ar-SA"/>
        </w:rPr>
        <w:t>房屋，</w:t>
      </w:r>
      <w:r>
        <w:rPr>
          <w:rFonts w:hint="eastAsia" w:ascii="仿宋_GB2312" w:hAnsi="仿宋_GB2312" w:eastAsia="仿宋_GB2312" w:cs="仿宋_GB2312"/>
          <w:color w:val="auto"/>
          <w:spacing w:val="0"/>
          <w:kern w:val="2"/>
          <w:sz w:val="32"/>
          <w:szCs w:val="32"/>
          <w:highlight w:val="none"/>
          <w:lang w:val="en-US" w:eastAsia="zh-CN" w:bidi="ar-SA"/>
        </w:rPr>
        <w:t>所用房屋</w:t>
      </w:r>
      <w:r>
        <w:rPr>
          <w:rFonts w:ascii="仿宋_GB2312" w:hAnsi="仿宋_GB2312" w:eastAsia="仿宋_GB2312" w:cs="仿宋_GB2312"/>
          <w:color w:val="auto"/>
          <w:spacing w:val="0"/>
          <w:kern w:val="2"/>
          <w:sz w:val="32"/>
          <w:szCs w:val="32"/>
          <w:highlight w:val="none"/>
          <w:lang w:val="en-US" w:eastAsia="zh-CN" w:bidi="ar-SA"/>
        </w:rPr>
        <w:t>需提交租赁</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借用</w:t>
      </w:r>
      <w:r>
        <w:rPr>
          <w:rFonts w:hint="eastAsia" w:ascii="仿宋_GB2312" w:hAnsi="仿宋_GB2312" w:eastAsia="仿宋_GB2312" w:cs="仿宋_GB2312"/>
          <w:color w:val="auto"/>
          <w:spacing w:val="0"/>
          <w:kern w:val="2"/>
          <w:sz w:val="32"/>
          <w:szCs w:val="32"/>
          <w:highlight w:val="none"/>
          <w:lang w:val="en-US" w:eastAsia="zh-CN" w:bidi="ar-SA"/>
        </w:rPr>
        <w:t>）</w:t>
      </w:r>
      <w:r>
        <w:rPr>
          <w:rFonts w:ascii="仿宋_GB2312" w:hAnsi="仿宋_GB2312" w:eastAsia="仿宋_GB2312" w:cs="仿宋_GB2312"/>
          <w:color w:val="auto"/>
          <w:spacing w:val="0"/>
          <w:kern w:val="2"/>
          <w:sz w:val="32"/>
          <w:szCs w:val="32"/>
          <w:highlight w:val="none"/>
          <w:lang w:val="en-US" w:eastAsia="zh-CN" w:bidi="ar-SA"/>
        </w:rPr>
        <w:t>合同和房屋权属证明。</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区级、乡镇级集体林场可根据实际情况，按照森林经营单元设立分场（部），分场（部）无需登记注册。</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第二章 组织管理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新型集体林场建设和管理的责任主体、实施主体是属地政府，按照属地主责、党政同责、部门协同原则，新型集体林场成立后，应当及时纳入属地党委、政府和同级林长制监管考评体系，层层夯实目标责任。</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新型集体林场重大事项决策、重要干部任免、重要项目安排、大额资金使用应当经新型集体林场民主决策后，由新型集体林场提请属地党委会议研究审议。</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属地政府要充分利用林长制工作制度，对新型集体林场承担的森林资源保护、经营、利用和农民绿岗就业等主要任务，对资金使用、资产运维、场长、副场长履职尽责、场务公开等事项进行监督指导。</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实行场长负责制，可设场长1名，主管行政、技术的副场长各1名，在职公职人员不得兼任。场长、副场长应具有高中（中专）以上学历或具有农、林及相关行业3年以上从业经历，技术副场长须具备农、林业中级职称或同等技术水平。</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新型集体林场应当按照《中国共产党农村基层组织工作条例》及城镇、乡村集体所有制企业管理条例等文件规定，经上级党组织批准，成立新型集体林场党支部，落实“一岗双责”责任制，发挥党建引领作用。</w:t>
      </w:r>
      <w:r>
        <w:rPr>
          <w:rFonts w:hint="eastAsia" w:ascii="仿宋_GB2312" w:hAnsi="仿宋_GB2312" w:eastAsia="仿宋_GB2312" w:cs="仿宋_GB2312"/>
          <w:color w:val="auto"/>
          <w:sz w:val="32"/>
          <w:szCs w:val="32"/>
          <w:highlight w:val="none"/>
          <w:lang w:eastAsia="zh-CN"/>
        </w:rPr>
        <w:t>新型集体林场</w:t>
      </w:r>
      <w:r>
        <w:rPr>
          <w:rFonts w:hint="eastAsia" w:ascii="仿宋_GB2312" w:hAnsi="仿宋_GB2312" w:eastAsia="仿宋_GB2312" w:cs="仿宋_GB2312"/>
          <w:color w:val="auto"/>
          <w:sz w:val="32"/>
          <w:szCs w:val="32"/>
          <w:highlight w:val="none"/>
          <w:lang w:val="en-US" w:eastAsia="zh-CN"/>
        </w:rPr>
        <w:t>要制定“三重一大”制度，制度需经属地党委会研究通过，</w:t>
      </w:r>
      <w:r>
        <w:rPr>
          <w:rFonts w:hint="eastAsia" w:ascii="仿宋_GB2312" w:hAnsi="仿宋_GB2312" w:eastAsia="仿宋_GB2312" w:cs="仿宋_GB2312"/>
          <w:color w:val="auto"/>
          <w:spacing w:val="0"/>
          <w:kern w:val="2"/>
          <w:sz w:val="32"/>
          <w:szCs w:val="32"/>
          <w:highlight w:val="none"/>
          <w:lang w:val="en-US" w:eastAsia="zh-CN" w:bidi="ar-SA"/>
        </w:rPr>
        <w:t>严格执行属地党委“三重一大”议事规则和决策程序的规定。</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新型集体林场场长、副场长等管理人员以公开招聘为主，管理人员占职工总数比例不高于5%，最多不超过8人。会计、出纳需单独设立。</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新型集体林场内部管理机构设综合部和生产经营部，每部2-3人。分场不设内部管理机构。</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根据工人培训教育程度、技术职称、岗位职责、工作业绩、林场效益等因素，逐步建立健全职工工资动态机制。新型集体林场职工的工资由基础工资和绩效工资组成。场长、副场长的基础工资不高于职工平均工资的2倍，属地政府应制定新型集体林场薪资管理制度及绩效工资考核办法，绩效考核由属地政府按照上述规定并结合实际情况，参照市、区园林绿化部门检查结果予以开展，严禁滥发津贴补贴。</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新型集体林场应当按照《中华人民共和国工会法》、《中华人民共和国城镇集体所有制企业条例》和《中华人民共和国乡村集体所有制企业条例》等相关规定，依法组织工会和职工代表大会，制定工会管理制度。</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新型集体林场用工以当地农村集体经济组织成员为主，不低于工人总数的80%。新型集体林场用工优先招用涉林本村（社区）、本乡镇（街道）、本区劳动力，不足时，可在全市范围内统筹解决。</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平原生态林平均每人经营管护面积不高于50亩，且不少于40亩。新型集体林场管理人员每人承担经营管护面积不少于20亩。</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新型集体林场职工优先招聘60岁以下、身体健康、有农、林业专业从业经历的人员，兼顾当地有就业意愿的零就业家庭、有工作能力的残障家庭、脱贫易返贫家庭人员等。</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新型集体林场应当与职工签订劳动合同并依法缴纳社会保险，工人工资不低于本市最低工资标准的1.2倍，财政年投入的</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用于支付职工工资的占比不高于65%。根据《中华人民共和国劳动法》及市、区相关“加班制度”执行。如因工作需要加班，由加班人提出申请，填报加班审批表，加班后采取倒休方式解决；法定节假日加值班，根据实际情况统筹安排。</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第三章 主要任务</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平原生态林养护安全生产工作实行一岗双责制度，属地政府对安全生产工作承担重要领导责任，新型集体林场法定代表人对安全生产工作负直接领导责任。新型集体林场应依法依规设置安全生产管理机构，</w:t>
      </w:r>
      <w:r>
        <w:rPr>
          <w:rFonts w:hint="eastAsia" w:ascii="仿宋_GB2312" w:hAnsi="仿宋_GB2312" w:eastAsia="仿宋_GB2312" w:cs="仿宋_GB2312"/>
          <w:color w:val="auto"/>
          <w:sz w:val="32"/>
          <w:szCs w:val="32"/>
          <w:highlight w:val="none"/>
        </w:rPr>
        <w:t>将防火安全工作纳入安全</w:t>
      </w:r>
      <w:r>
        <w:rPr>
          <w:rFonts w:hint="eastAsia" w:ascii="仿宋_GB2312" w:hAnsi="仿宋_GB2312" w:eastAsia="仿宋_GB2312" w:cs="仿宋_GB2312"/>
          <w:color w:val="auto"/>
          <w:sz w:val="32"/>
          <w:szCs w:val="32"/>
          <w:highlight w:val="none"/>
          <w:lang w:val="en-US" w:eastAsia="zh-CN"/>
        </w:rPr>
        <w:t>生产</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bidi="ar-SA"/>
        </w:rPr>
        <w:t>配足安全生产管理人员，</w:t>
      </w:r>
      <w:r>
        <w:rPr>
          <w:rFonts w:hint="eastAsia" w:ascii="仿宋_GB2312" w:hAnsi="仿宋_GB2312" w:eastAsia="仿宋_GB2312" w:cs="仿宋_GB2312"/>
          <w:color w:val="auto"/>
          <w:sz w:val="32"/>
          <w:szCs w:val="32"/>
          <w:highlight w:val="none"/>
          <w:lang w:val="en-US" w:eastAsia="zh-CN"/>
        </w:rPr>
        <w:t>逐步建立健全以新型集体林场为主导的森林消防队伍，</w:t>
      </w:r>
      <w:r>
        <w:rPr>
          <w:rFonts w:hint="eastAsia" w:ascii="仿宋_GB2312" w:hAnsi="仿宋_GB2312" w:eastAsia="仿宋_GB2312" w:cs="仿宋_GB2312"/>
          <w:color w:val="auto"/>
          <w:spacing w:val="0"/>
          <w:kern w:val="2"/>
          <w:sz w:val="32"/>
          <w:szCs w:val="32"/>
          <w:highlight w:val="none"/>
          <w:lang w:val="en-US" w:eastAsia="zh-CN" w:bidi="ar-SA"/>
        </w:rPr>
        <w:t>加大安全生产资金投入，建立健全自我约束、持续改进的内生机制。坚决防范遏制重特大林业生产安全事故的发生，进一步减少较大和一般事故，切实保护新型集体林场生命财产安全。对于不重视林业安全生产工作、工作措施落实不及时、长期存在重大安全隐患不整改等情况的新型集体林场，将予以通报批评、扣减平原生态林养护专项资金等处罚，</w:t>
      </w:r>
      <w:r>
        <w:rPr>
          <w:rFonts w:hint="eastAsia" w:ascii="仿宋_GB2312" w:hAnsi="仿宋_GB2312" w:eastAsia="仿宋_GB2312" w:cs="仿宋_GB2312"/>
          <w:color w:val="auto"/>
          <w:spacing w:val="0"/>
          <w:kern w:val="2"/>
          <w:sz w:val="32"/>
          <w:szCs w:val="32"/>
          <w:highlight w:val="none"/>
          <w:lang w:val="en" w:eastAsia="zh-CN" w:bidi="ar-SA"/>
        </w:rPr>
        <w:t>如存在不作为、慢作为、乱作为等涉嫌违纪违法的问题线索，应及时移送区纪委区监委，区纪委区监委将依规依纪依法进行处理</w:t>
      </w:r>
      <w:r>
        <w:rPr>
          <w:rFonts w:hint="eastAsia" w:ascii="仿宋_GB2312" w:hAnsi="仿宋_GB2312" w:eastAsia="仿宋_GB2312" w:cs="仿宋_GB2312"/>
          <w:color w:val="auto"/>
          <w:spacing w:val="0"/>
          <w:kern w:val="2"/>
          <w:sz w:val="32"/>
          <w:szCs w:val="32"/>
          <w:highlight w:val="none"/>
          <w:lang w:val="en-US" w:eastAsia="zh-CN" w:bidi="ar-SA"/>
        </w:rPr>
        <w:t>。</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开展林木管护、经营和利用等生产活动，应当遵循市园林绿化部门制定的相关技术规范。鼓励新型集体林场在不改变土地性质、不破坏原生地被、不影响林木正常生长的前提下，科学利用绿色资源，适度发展林下经济，依托森林经营所创造的经济收益，为平原生态林的养护工作提供资金保障，确保养护标准得到严格执行。具体要求参见市园林绿化局印发的《北京市林下经济高质量发展指南》、市园林绿化局及市农业农村局联合印发的《关于科学利用森林资源促进林下经济高质量发展的通知》及市、区林业部门对林下经济发展出具的相关政策性文件。</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新型集体林场应当按照林木分级分类经营原则，编制新型集体林场年度实施方案（作业设计）、中长期森林经营方案，并报区园林绿化局审批后实施。</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中长期森林经营方案规划期不少于5年，有技术实力的新型集体林场可自行编制，也可委托农林科研院所、相关专业社会组织、有林业从业经历和专业能力的行业企业等编制，经专家论证后报批实施。</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通州区平原生态林经营管护以5年为一个周期。栽植5年以内的以养护为主，重点提高苗木成活率和保存率；栽植5-10年的应当从养护向抚育经营过渡，合理调整林分密度和树种结构，促进林木健康生长；栽植10年以上的以抚育经营为主，促进群落自然演替，培育稳定健康的森林生态系统。抚育经营的核心技术措施为“调密度、补幼苗、沃土壤、防病虫、丰物种”。</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“调密度”是在保证目标树正常生长的情况下加大对过密林分的疏伐力度，将林分郁闭度控制在0.6-0.8，以确保林木有合理生长空间，促进林下植被天然更新、生态系统快速发育。</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补幼苗”是指在林下补植栎（阔）类等乡土实生彩叶树种，营造混交复层异龄林分结构。补植补种原则上不得降低森林质量，应采用良种壮苗，优先选用2-3年生全冠容器苗和优质种源。补植工作按照年度养护实施方案，经区园林绿化局批准后，新型集体林场按照相关技术要求补种。</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沃土壤”是通过施有机肥、菌根肥或园林绿化废弃物资源化利用等方式，提高土壤肥力。适用量应当根据树种、树龄、生长期、肥料种类以及土壤理化性质而定，一般每株施有机肥5-20千克。加强处理后的达标污泥产品在平原生态林等方向的应用。推动“绿废不出园”理念，积极鼓励园林绿化废弃物的循环再利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“防病虫”是指以无公害的物理、生物防治为主要措施，规范、精准、绿色、安全防控林木有害生物。防控过程中，应秉持交替使用不同药剂、减少喷药次数、有效降低农药使用量等原则。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2"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 xml:space="preserve"> </w:t>
      </w:r>
      <w:r>
        <w:rPr>
          <w:rFonts w:hint="eastAsia" w:ascii="仿宋_GB2312" w:hAnsi="仿宋_GB2312" w:eastAsia="仿宋_GB2312" w:cs="仿宋_GB2312"/>
          <w:color w:val="auto"/>
          <w:spacing w:val="0"/>
          <w:kern w:val="2"/>
          <w:sz w:val="32"/>
          <w:szCs w:val="32"/>
          <w:highlight w:val="none"/>
          <w:lang w:val="en-US" w:eastAsia="zh-CN" w:bidi="ar-SA"/>
        </w:rPr>
        <w:t>“丰物种”指通过建设生态保育小区，提高生物多样性丰度。每处生态保育小区不小于15亩。林地内每个保育小区内应建设1-2处小微湿地，面积不小于20平方米，中心区域深度80厘米以上；建设1-5个本杰士堆，其中小微湿地周边建设1-2个本杰士堆，体积不小于2*2*1立方米；设置5-10个人工鸟巢，2-5个昆虫旅馆；栽植林下灌木，灌木丛宜带状或团状栽植，带状宽度不少于3m，团状直径不小于5m；栽植浆果、坚果、荚果类食源、蜜源性乡土植物和具有一定高度的结籽草本植物。积极开展生物多样性监测，为野生动物保护提供参考依据。</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目标树应当选择寿命长、综合价值高、树干通直、树冠丰满、活力旺盛的树木，特殊规划目标或需要培育种源时可选择特殊目标树。通过目标树选育，高效促进其径级生长、生态功能提前发挥、提高碳汇能力。</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干扰树是指对目标树生长直接产生不利影响、或显著影响林分卫生条件需要进行采伐的林木。一般出现在目标树的同冠层、上冠层或上坡位。目标树下冠层特别是下坡位的树木，对目标树生长具有支撑和辅助作用，应作为辅助木予以保留。平原生态林林分结构调整工作中采伐的林木，由属地政府按照最大收益原则进行处理，所得收益只能用于生态林的经营管护，禁止挪作它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确定目标树，伐除干扰树后，应当适时进行林下补植和促进天然更新。林下补植应当选择栎（阔）类等乡土树种幼苗（种子）。人工促进天然更新后的林分应达到天然更新中等以上等级，目的树种幼苗幼树占幼苗幼树总株数的50%以上。</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第四章 资金管理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的管理和使用坚持“依法依规、科学分配、注重绩效、规范管理”的原则，全面实施预算绩效管理。属地政府负责属地内新型集体林场年度平原生态林养护资金的预算申报、资金使用计划的编制，并提交至区园林绿化局</w:t>
      </w:r>
      <w:r>
        <w:rPr>
          <w:rFonts w:hint="eastAsia" w:ascii="仿宋_GB2312" w:hAnsi="仿宋_GB2312" w:eastAsia="仿宋_GB2312" w:cs="仿宋_GB2312"/>
          <w:color w:val="auto"/>
          <w:spacing w:val="-6"/>
          <w:kern w:val="2"/>
          <w:sz w:val="32"/>
          <w:szCs w:val="32"/>
          <w:highlight w:val="none"/>
          <w:lang w:val="en-US" w:eastAsia="zh-CN" w:bidi="ar-SA"/>
        </w:rPr>
        <w:t>审核通过后实施，切实提高通州区平原生态林养护资金使用效益。</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来源于市财政和区财政拨款，用于平原生态林日常养护，包括两轮百万亩造林绿化工程营造的生态林、完善政策生态林等生态公益林。平原生态林养护资金补助标准按照市、区两级财政部门核定的资金标准执行。</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依法履行平原生态林养护资金的管理和监督职责，新型集体林场负责平原生态林养护资金的具体使用。属地政府要充分利用林长制工作制度，对平原生态林养护资金使用进行监督指导，完成市、区两级拨付资金的入库与向新型集体林场的资金拨付，对平原生态林养护资金使用的合规性、合理性、真实性和相关性负主要责任。新型集体林场是平原生态林养护资金使用的直接责任人，新型集体林场应按照要求设置专用账户、专账核算、专款专用，并按照属地财务管理相关规定出具正规票据。新型集体林场负责养护工作组织实施，按时开展资金核算及结算，配合属地政府做好资金使用绩效评价工作，将各项养护措施落实到位，切实提高平原生态林养护资金使用效率。</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全部用于日常养护工作及重点工作的实施，包括平原生态林养护经营、巡查看护、林地保洁、基础设施建设与维护、生物多样性保护恢复与监测、科普宣传、森林防火、林业有害生物监测与防治、自然灾害的应急处置、生产资料购置、方案编制、技术培训与咨询、相关技术研究与开发等支出。</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right="0" w:firstLine="640" w:firstLineChars="200"/>
        <w:jc w:val="left"/>
        <w:textAlignment w:val="baseline"/>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具备健全的财务管理、薪资管理和内控管理等相关制度，由专职的财务人员负责平原生态林养护资金的财务核算和管理工作，规范财务记账，留存支付回单、明细等原始凭证，同时配合接受区财政局、区园林绿化局、区审计局及属地政府等部门的监督管理。平原生态林养护资金应当实行信息化管理，详细记录资金到位与人工、机械、材料资金支出情况，分类归档各项支出原始凭证，健全资金使用内部管理监督制度，应加强财务数据的电子化建设，推动平原生态林养护资金管理的数字化，提高养护资金管理效率。</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第五章 政策保障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要加强辖区内涉林工程项目的政策集成、项目统筹，通过以工代赈方式，直接委托新型集体林场参与涉林工程项目建设，可不组织招投标。在平原生态林范围内实施的重点工程，符合条件的优先由新型集体林场进行实施，工程款纳入新型集体林场经营收入。</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新型集体林场职工技能提升培训可由有条件的集体林场自行组织开展，也可委托有培训资质的大专院校、科研院所、社会团体等机构承办。新型集体林场须按区园林绿化局要求参与市、区级培训，严禁无故缺席。</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新型集体林场或其委托的培训机构组织开展职工技能提升培训，培训前要有方案、有教材，培训中要有考勤、有记录、有影像资料，培训后要有评估、有总结。</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新型集体林场职工每年需轮训一次，累计学时不少于80学时或培训天数不少于10天。培训费可从新型集体林场</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中列支，不高于当年</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的3%。</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kern w:val="2"/>
          <w:sz w:val="32"/>
          <w:szCs w:val="32"/>
          <w:highlight w:val="none"/>
          <w:lang w:val="en-US" w:eastAsia="zh-CN" w:bidi="ar-SA"/>
        </w:rPr>
        <w:t xml:space="preserve"> 鼓励新型集体林场依托首都人才、智力资源优势，实施科技兴场、科技兴林战略，对长期下沉集体林场开展科学研究、科技推广、技术指导的专业技术人员，可根据其工作需要和工作量大小，为其提供必要的办公场所、设备、设施及适当的科技支撑费、生活补贴等。</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第六章 监督管理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新型集体林场可依法依规与其它法人主体开展互利共赢的项目合作，不得以项目合作名义将林木经营管护工程进行转包、将</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划转它用。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财政投入的平原生态林养护专项资金采用财政转移支付方式支付。区园林绿化局要充分发挥行业监管和技术指导职责，会同区财政部门做好预算安排、进度把控、资金拨付等相关工作。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财政投入的</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专款专户、专款专账、专款专用，严禁各级管理部门以各种理由提取管理费或截留、挪用资金。严禁新型集体林场以其经营管理的国有或集体资产为抵押申请贷款。严禁任何部门及非林项目借用新型集体林场人员和固定资产，挤占平原生态林养护专项资金。</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，可用于小型林机（具）、货用车辆的购置及其运维。每经营管护3000亩平原生态林可配置一辆货用车辆。</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集体林场的自有资金可购置必备的其它类型车辆，需经属地党委会研究通过。自有资金购置车辆的维修保养费、油费等严禁使用平原生态林</w:t>
      </w:r>
      <w:r>
        <w:rPr>
          <w:rFonts w:hint="eastAsia" w:ascii="仿宋_GB2312" w:hAnsi="仿宋_GB2312" w:eastAsia="仿宋_GB2312" w:cs="仿宋_GB2312"/>
          <w:color w:val="auto"/>
          <w:spacing w:val="0"/>
          <w:sz w:val="32"/>
          <w:szCs w:val="32"/>
          <w:highlight w:val="none"/>
          <w:lang w:val="en-US" w:eastAsia="zh-CN"/>
        </w:rPr>
        <w:t>养护</w:t>
      </w:r>
      <w:r>
        <w:rPr>
          <w:rFonts w:hint="eastAsia" w:ascii="仿宋_GB2312" w:hAnsi="仿宋_GB2312" w:eastAsia="仿宋_GB2312" w:cs="仿宋_GB2312"/>
          <w:color w:val="auto"/>
          <w:spacing w:val="0"/>
          <w:sz w:val="32"/>
          <w:szCs w:val="32"/>
          <w:highlight w:val="none"/>
          <w:lang w:eastAsia="zh-CN"/>
        </w:rPr>
        <w:t>专项资金支付。</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集体林场建设初期购置货用生产型车辆超额配备的，后续新增养护面积不得再进行车辆购置。经营管护面积较大的</w:t>
      </w:r>
      <w:r>
        <w:rPr>
          <w:rFonts w:hint="eastAsia" w:ascii="仿宋_GB2312" w:hAnsi="仿宋_GB2312" w:eastAsia="仿宋_GB2312" w:cs="仿宋_GB2312"/>
          <w:color w:val="auto"/>
          <w:spacing w:val="0"/>
          <w:sz w:val="32"/>
          <w:szCs w:val="32"/>
          <w:highlight w:val="none"/>
          <w:lang w:val="en-US" w:eastAsia="zh-CN"/>
        </w:rPr>
        <w:t>新型</w:t>
      </w:r>
      <w:r>
        <w:rPr>
          <w:rFonts w:hint="eastAsia" w:ascii="仿宋_GB2312" w:hAnsi="仿宋_GB2312" w:eastAsia="仿宋_GB2312" w:cs="仿宋_GB2312"/>
          <w:color w:val="auto"/>
          <w:spacing w:val="0"/>
          <w:sz w:val="32"/>
          <w:szCs w:val="32"/>
          <w:highlight w:val="none"/>
          <w:lang w:eastAsia="zh-CN"/>
        </w:rPr>
        <w:t>集体林场，应当分年度、分批次、有计划购置机械设备和货用车辆，以保证正常生产经营活动资金使用。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，可用于支付办公场所的租金和简单装修费用，严禁超标准配置办公室、豪华装修和用于“三公”经费支出。新型集体林场办公场所面积大小参照国有企业办公用房面积大小执行。</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，可用于公共服务导引、提示警示类标识标牌设置，科普宣传展示、森林康（疗）养、森林体验教育课程研发、培训，园林绿化废弃物处理、垃圾分类设备设施以及生态文化解说系统配置等林下经济发展设施。</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可用于职工技能培训，年度实施方案（作业设计）、中长期森林经营方案、应急预案等的编制，修建直接为林业生产经营服务的设施、本杰士堆、小微湿地、昆虫旅馆、鸟巢、蜂巢、野生动物栖息场所，以及良种繁育、生态定位监测评估、生物多样性监测评估、技术咨询等科技支撑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新型集体林场购置的林业机械、车辆、仪器等设备，修建的用于生产经营、科学研究、生态定位监测的设施等，应当按其资产类型分别造册登记和管理。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600" w:lineRule="exact"/>
        <w:ind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组织平原生态林养护资金季度自查工作，每个季度新型集体林场应整理平原生态林养护收支账目，附财务打印并盖章的平原生态林专项资金收支报表,提交至属地政府，属地政府对资金的拨付、使用情况进行审核，以备区级检查。</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区园林绿化局负责新型集体林场林木经营管护工作的技术指导、日常检查、</w:t>
      </w:r>
      <w:r>
        <w:rPr>
          <w:rFonts w:hint="eastAsia" w:ascii="仿宋_GB2312" w:hAnsi="仿宋_GB2312" w:eastAsia="仿宋_GB2312" w:cs="仿宋_GB2312"/>
          <w:color w:val="auto"/>
          <w:spacing w:val="0"/>
          <w:sz w:val="32"/>
          <w:szCs w:val="32"/>
          <w:highlight w:val="none"/>
          <w:lang w:val="en-US" w:eastAsia="zh-CN"/>
        </w:rPr>
        <w:t>检查督导</w:t>
      </w:r>
      <w:r>
        <w:rPr>
          <w:rFonts w:hint="eastAsia" w:ascii="仿宋_GB2312" w:hAnsi="仿宋_GB2312" w:eastAsia="仿宋_GB2312" w:cs="仿宋_GB2312"/>
          <w:color w:val="auto"/>
          <w:spacing w:val="0"/>
          <w:sz w:val="32"/>
          <w:szCs w:val="32"/>
          <w:highlight w:val="none"/>
          <w:lang w:eastAsia="zh-CN"/>
        </w:rPr>
        <w:t>、技术规范的制（修）定、技术培训以及森林资源、农民就业信息</w:t>
      </w:r>
      <w:r>
        <w:rPr>
          <w:rFonts w:hint="eastAsia" w:ascii="仿宋_GB2312" w:hAnsi="仿宋_GB2312" w:eastAsia="仿宋_GB2312" w:cs="仿宋_GB2312"/>
          <w:color w:val="auto"/>
          <w:spacing w:val="0"/>
          <w:sz w:val="32"/>
          <w:szCs w:val="32"/>
          <w:highlight w:val="none"/>
          <w:lang w:val="en-US" w:eastAsia="zh-CN"/>
        </w:rPr>
        <w:t>审核等</w:t>
      </w:r>
      <w:r>
        <w:rPr>
          <w:rFonts w:hint="eastAsia" w:ascii="仿宋_GB2312" w:hAnsi="仿宋_GB2312" w:eastAsia="仿宋_GB2312" w:cs="仿宋_GB2312"/>
          <w:color w:val="auto"/>
          <w:spacing w:val="0"/>
          <w:sz w:val="32"/>
          <w:szCs w:val="32"/>
          <w:highlight w:val="none"/>
          <w:lang w:eastAsia="zh-CN"/>
        </w:rPr>
        <w:t>工作，按季度撰写</w:t>
      </w:r>
      <w:r>
        <w:rPr>
          <w:rFonts w:hint="eastAsia" w:ascii="仿宋_GB2312" w:hAnsi="仿宋_GB2312" w:eastAsia="仿宋_GB2312" w:cs="仿宋_GB2312"/>
          <w:color w:val="auto"/>
          <w:spacing w:val="0"/>
          <w:sz w:val="32"/>
          <w:szCs w:val="32"/>
          <w:highlight w:val="none"/>
          <w:lang w:val="en-US" w:eastAsia="zh-CN"/>
        </w:rPr>
        <w:t>区级季度综合检查报告</w:t>
      </w:r>
      <w:r>
        <w:rPr>
          <w:rFonts w:hint="eastAsia" w:ascii="仿宋_GB2312" w:hAnsi="仿宋_GB2312" w:eastAsia="仿宋_GB2312" w:cs="仿宋_GB2312"/>
          <w:color w:val="auto"/>
          <w:spacing w:val="0"/>
          <w:sz w:val="32"/>
          <w:szCs w:val="32"/>
          <w:highlight w:val="none"/>
          <w:lang w:eastAsia="zh-CN"/>
        </w:rPr>
        <w:t>；每年1</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月底前完成第四季度</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lang w:eastAsia="zh-CN"/>
        </w:rPr>
        <w:t>工作</w:t>
      </w:r>
      <w:r>
        <w:rPr>
          <w:rFonts w:hint="eastAsia" w:ascii="仿宋_GB2312" w:hAnsi="仿宋_GB2312" w:eastAsia="仿宋_GB2312" w:cs="仿宋_GB2312"/>
          <w:color w:val="auto"/>
          <w:spacing w:val="0"/>
          <w:sz w:val="32"/>
          <w:szCs w:val="32"/>
          <w:highlight w:val="none"/>
          <w:lang w:val="en-US" w:eastAsia="zh-CN"/>
        </w:rPr>
        <w:t>，撰写区级年度综合检查情况通报</w:t>
      </w:r>
      <w:r>
        <w:rPr>
          <w:rFonts w:hint="eastAsia" w:ascii="仿宋_GB2312" w:hAnsi="仿宋_GB2312" w:eastAsia="仿宋_GB2312" w:cs="仿宋_GB2312"/>
          <w:color w:val="auto"/>
          <w:spacing w:val="0"/>
          <w:sz w:val="32"/>
          <w:szCs w:val="32"/>
          <w:highlight w:val="none"/>
          <w:lang w:eastAsia="zh-CN"/>
        </w:rPr>
        <w:t>，并提交区政府办审议后予以通报。</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lang w:eastAsia="zh-CN"/>
        </w:rPr>
        <w:t>结果与平原生态林养护资金分配挂钩，</w:t>
      </w:r>
      <w:r>
        <w:rPr>
          <w:rFonts w:hint="eastAsia" w:ascii="仿宋_GB2312" w:hAnsi="仿宋_GB2312" w:eastAsia="仿宋_GB2312" w:cs="仿宋_GB2312"/>
          <w:color w:val="auto"/>
          <w:spacing w:val="0"/>
          <w:sz w:val="32"/>
          <w:szCs w:val="32"/>
          <w:highlight w:val="none"/>
          <w:lang w:val="en-US" w:eastAsia="zh-CN"/>
        </w:rPr>
        <w:t>参照</w:t>
      </w:r>
      <w:r>
        <w:rPr>
          <w:rFonts w:hint="eastAsia" w:ascii="仿宋_GB2312" w:hAnsi="仿宋_GB2312" w:eastAsia="仿宋_GB2312" w:cs="仿宋_GB2312"/>
          <w:color w:val="auto"/>
          <w:spacing w:val="0"/>
          <w:sz w:val="32"/>
          <w:szCs w:val="32"/>
          <w:highlight w:val="none"/>
          <w:lang w:eastAsia="zh-CN"/>
        </w:rPr>
        <w:t>平原生态林养护</w:t>
      </w:r>
      <w:r>
        <w:rPr>
          <w:rFonts w:hint="eastAsia" w:ascii="仿宋_GB2312" w:hAnsi="仿宋_GB2312" w:eastAsia="仿宋_GB2312" w:cs="仿宋_GB2312"/>
          <w:color w:val="auto"/>
          <w:spacing w:val="0"/>
          <w:sz w:val="32"/>
          <w:szCs w:val="32"/>
          <w:highlight w:val="none"/>
          <w:lang w:val="en-US" w:eastAsia="zh-CN"/>
        </w:rPr>
        <w:t>区级</w:t>
      </w:r>
      <w:r>
        <w:rPr>
          <w:rFonts w:hint="eastAsia" w:ascii="仿宋_GB2312" w:hAnsi="仿宋_GB2312" w:eastAsia="仿宋_GB2312" w:cs="仿宋_GB2312"/>
          <w:color w:val="auto"/>
          <w:spacing w:val="0"/>
          <w:sz w:val="32"/>
          <w:szCs w:val="32"/>
          <w:highlight w:val="none"/>
          <w:lang w:eastAsia="zh-CN"/>
        </w:rPr>
        <w:t>资金调级调档办法（详见附件</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strike w:val="0"/>
          <w:dstrike w:val="0"/>
          <w:color w:val="auto"/>
          <w:spacing w:val="0"/>
          <w:sz w:val="32"/>
          <w:szCs w:val="32"/>
          <w:highlight w:val="none"/>
          <w:lang w:eastAsia="zh-CN"/>
        </w:rPr>
      </w:pPr>
      <w:r>
        <w:rPr>
          <w:rFonts w:hint="eastAsia" w:ascii="仿宋_GB2312" w:hAnsi="仿宋_GB2312" w:eastAsia="仿宋_GB2312" w:cs="仿宋_GB2312"/>
          <w:strike w:val="0"/>
          <w:dstrike w:val="0"/>
          <w:color w:val="auto"/>
          <w:spacing w:val="0"/>
          <w:sz w:val="32"/>
          <w:szCs w:val="32"/>
          <w:highlight w:val="none"/>
          <w:lang w:eastAsia="zh-CN"/>
        </w:rPr>
        <w:t xml:space="preserve"> </w:t>
      </w:r>
      <w:r>
        <w:rPr>
          <w:rFonts w:hint="eastAsia" w:ascii="仿宋_GB2312" w:hAnsi="仿宋_GB2312" w:eastAsia="仿宋_GB2312" w:cs="仿宋_GB2312"/>
          <w:color w:val="auto"/>
          <w:spacing w:val="0"/>
          <w:sz w:val="32"/>
          <w:szCs w:val="32"/>
          <w:highlight w:val="none"/>
          <w:lang w:val="en-US" w:eastAsia="zh-CN"/>
        </w:rPr>
        <w:t>属地政府应监督新型集体林场，遵循市、区园林绿化部门制定的相关技术规范进行生态林的养护经营管理；区园林绿化局按照林木分级分类经营原则，审核经属地政府确认的新型集体林场年度实施方案（作业设计）、中长期森林经营方案；在区级经费的保障下，组织开展检查、资源监测评估、方案编制、宣传培训、技术咨询、应急处置等综合管理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新型集体林场按照现代企业</w:t>
      </w:r>
      <w:r>
        <w:rPr>
          <w:rFonts w:hint="eastAsia" w:ascii="仿宋_GB2312" w:hAnsi="仿宋_GB2312" w:eastAsia="仿宋_GB2312" w:cs="仿宋_GB2312"/>
          <w:color w:val="auto"/>
          <w:spacing w:val="0"/>
          <w:sz w:val="32"/>
          <w:szCs w:val="32"/>
          <w:highlight w:val="none"/>
          <w:lang w:val="en-US" w:eastAsia="zh-CN"/>
        </w:rPr>
        <w:t>要求</w:t>
      </w:r>
      <w:r>
        <w:rPr>
          <w:rFonts w:hint="eastAsia" w:ascii="仿宋_GB2312" w:hAnsi="仿宋_GB2312" w:eastAsia="仿宋_GB2312" w:cs="仿宋_GB2312"/>
          <w:color w:val="auto"/>
          <w:spacing w:val="0"/>
          <w:sz w:val="32"/>
          <w:szCs w:val="32"/>
          <w:highlight w:val="none"/>
          <w:lang w:eastAsia="zh-CN"/>
        </w:rPr>
        <w:t>，逐步建立完备的财务管理、组织人事管理、资产管理、生产经营管理、合同管理、应急处置、档案管理等制度体系。</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新型集体林场应当加强对资产、负债、所有者权益、收入、费用、利润及利润分配、财务报表等会计要素的计量和管理。财政投入的</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应当全部用于当年林木经营管护工作，不得</w:t>
      </w:r>
      <w:r>
        <w:rPr>
          <w:rFonts w:hint="eastAsia" w:ascii="仿宋_GB2312" w:hAnsi="仿宋_GB2312" w:eastAsia="仿宋_GB2312" w:cs="仿宋_GB2312"/>
          <w:color w:val="auto"/>
          <w:spacing w:val="0"/>
          <w:sz w:val="32"/>
          <w:szCs w:val="32"/>
          <w:highlight w:val="none"/>
          <w:lang w:val="en-US" w:eastAsia="zh-CN"/>
        </w:rPr>
        <w:t>结</w:t>
      </w:r>
      <w:r>
        <w:rPr>
          <w:rFonts w:hint="eastAsia" w:ascii="仿宋_GB2312" w:hAnsi="仿宋_GB2312" w:eastAsia="仿宋_GB2312" w:cs="仿宋_GB2312"/>
          <w:color w:val="auto"/>
          <w:spacing w:val="0"/>
          <w:sz w:val="32"/>
          <w:szCs w:val="32"/>
          <w:highlight w:val="none"/>
          <w:lang w:eastAsia="zh-CN"/>
        </w:rPr>
        <w:t>余，不计入经营性收入，不作为利润进行分配。</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新型集体林场应当统筹兼顾</w:t>
      </w:r>
      <w:r>
        <w:rPr>
          <w:rFonts w:hint="eastAsia" w:ascii="仿宋_GB2312" w:hAnsi="仿宋_GB2312" w:eastAsia="仿宋_GB2312" w:cs="仿宋_GB2312"/>
          <w:color w:val="auto"/>
          <w:spacing w:val="0"/>
          <w:sz w:val="32"/>
          <w:szCs w:val="32"/>
          <w:highlight w:val="none"/>
          <w:lang w:val="en-US" w:eastAsia="zh-CN"/>
        </w:rPr>
        <w:t>属地</w:t>
      </w:r>
      <w:r>
        <w:rPr>
          <w:rFonts w:hint="eastAsia" w:ascii="仿宋_GB2312" w:hAnsi="仿宋_GB2312" w:eastAsia="仿宋_GB2312" w:cs="仿宋_GB2312"/>
          <w:color w:val="auto"/>
          <w:spacing w:val="0"/>
          <w:sz w:val="32"/>
          <w:szCs w:val="32"/>
          <w:highlight w:val="none"/>
          <w:lang w:eastAsia="zh-CN"/>
        </w:rPr>
        <w:t>政府、村委会、新型集体林场等多方利益需求，建立利益共享、风险共担、公平稳定长效的多方利益联结机制。新型集体林场</w:t>
      </w:r>
      <w:r>
        <w:rPr>
          <w:rFonts w:hint="eastAsia" w:ascii="仿宋_GB2312" w:hAnsi="仿宋_GB2312" w:eastAsia="仿宋_GB2312" w:cs="仿宋_GB2312"/>
          <w:color w:val="auto"/>
          <w:spacing w:val="0"/>
          <w:sz w:val="32"/>
          <w:szCs w:val="32"/>
          <w:highlight w:val="none"/>
          <w:lang w:val="en-US" w:eastAsia="zh-CN"/>
        </w:rPr>
        <w:t>林下经济</w:t>
      </w:r>
      <w:r>
        <w:rPr>
          <w:rFonts w:hint="eastAsia" w:ascii="仿宋_GB2312" w:hAnsi="仿宋_GB2312" w:eastAsia="仿宋_GB2312" w:cs="仿宋_GB2312"/>
          <w:color w:val="auto"/>
          <w:spacing w:val="0"/>
          <w:sz w:val="32"/>
          <w:szCs w:val="32"/>
          <w:highlight w:val="none"/>
          <w:lang w:eastAsia="zh-CN"/>
        </w:rPr>
        <w:t>取得的利润，</w:t>
      </w:r>
      <w:r>
        <w:rPr>
          <w:rFonts w:hint="eastAsia" w:ascii="仿宋_GB2312" w:hAnsi="仿宋_GB2312" w:eastAsia="仿宋_GB2312" w:cs="仿宋_GB2312"/>
          <w:color w:val="auto"/>
          <w:spacing w:val="0"/>
          <w:sz w:val="32"/>
          <w:szCs w:val="32"/>
          <w:highlight w:val="none"/>
          <w:lang w:val="en-US" w:eastAsia="zh-CN"/>
        </w:rPr>
        <w:t>除上交区财政的40%以外，剩余部分属地政府</w:t>
      </w:r>
      <w:r>
        <w:rPr>
          <w:rFonts w:hint="eastAsia" w:ascii="仿宋_GB2312" w:hAnsi="仿宋_GB2312" w:eastAsia="仿宋_GB2312" w:cs="仿宋_GB2312"/>
          <w:color w:val="auto"/>
          <w:spacing w:val="0"/>
          <w:sz w:val="32"/>
          <w:szCs w:val="32"/>
          <w:highlight w:val="none"/>
          <w:lang w:eastAsia="zh-CN"/>
        </w:rPr>
        <w:t>应当按照新型集体林场组织章程约定的方式进行分配，</w:t>
      </w:r>
      <w:r>
        <w:rPr>
          <w:rFonts w:hint="eastAsia" w:ascii="仿宋_GB2312" w:hAnsi="仿宋_GB2312" w:eastAsia="仿宋_GB2312" w:cs="仿宋_GB2312"/>
          <w:color w:val="auto"/>
          <w:spacing w:val="0"/>
          <w:sz w:val="32"/>
          <w:szCs w:val="32"/>
          <w:highlight w:val="none"/>
          <w:lang w:val="en-US" w:eastAsia="zh-CN"/>
        </w:rPr>
        <w:t>优先兑现新型集体林场绩效工资</w:t>
      </w:r>
      <w:r>
        <w:rPr>
          <w:rFonts w:hint="eastAsia" w:ascii="仿宋_GB2312" w:hAnsi="仿宋_GB2312" w:eastAsia="仿宋_GB2312" w:cs="仿宋_GB2312"/>
          <w:color w:val="auto"/>
          <w:spacing w:val="0"/>
          <w:sz w:val="32"/>
          <w:szCs w:val="32"/>
          <w:highlight w:val="none"/>
          <w:lang w:eastAsia="zh-CN"/>
        </w:rPr>
        <w:t>。分配方式、比例确需调整的，由属地政府召集利益相关方代表共同研究决定。</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第七章 附  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w:t>
      </w:r>
      <w:r>
        <w:rPr>
          <w:rFonts w:hint="eastAsia" w:ascii="仿宋_GB2312" w:hAnsi="仿宋_GB2312" w:eastAsia="仿宋_GB2312" w:cs="仿宋_GB2312"/>
          <w:color w:val="auto"/>
          <w:spacing w:val="6"/>
          <w:sz w:val="32"/>
          <w:szCs w:val="32"/>
          <w:highlight w:val="none"/>
          <w:lang w:eastAsia="zh-CN"/>
        </w:rPr>
        <w:t>本细则由北京市通州区园林绿化局制定并负责解释。</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本细则未列明事项参照《北京市新型集体林场建设和管理实施细则（试行）》（京绿办发〔2022〕79号）执行。</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本细则自发布之日起生效。</w:t>
      </w:r>
    </w:p>
    <w:p>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pacing w:val="7"/>
          <w:sz w:val="32"/>
          <w:szCs w:val="32"/>
          <w:highlight w:val="none"/>
          <w:lang w:eastAsia="zh-CN"/>
        </w:rPr>
        <w:br w:type="page"/>
      </w:r>
      <w:r>
        <w:rPr>
          <w:rFonts w:hint="eastAsia" w:ascii="黑体" w:hAnsi="黑体" w:eastAsia="黑体" w:cs="黑体"/>
          <w:b w:val="0"/>
          <w:bCs w:val="0"/>
          <w:color w:val="auto"/>
          <w:kern w:val="44"/>
          <w:sz w:val="32"/>
          <w:szCs w:val="32"/>
          <w:highlight w:val="none"/>
          <w:u w:val="none"/>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color w:val="auto"/>
          <w:kern w:val="44"/>
          <w:sz w:val="44"/>
          <w:szCs w:val="44"/>
          <w:highlight w:val="none"/>
          <w:u w:val="none"/>
          <w:lang w:val="en-US" w:eastAsia="zh-CN"/>
        </w:rPr>
      </w:pPr>
      <w:r>
        <w:rPr>
          <w:rFonts w:hint="eastAsia" w:ascii="方正小标宋简体" w:hAnsi="方正小标宋简体" w:eastAsia="方正小标宋简体" w:cs="方正小标宋简体"/>
          <w:color w:val="auto"/>
          <w:kern w:val="44"/>
          <w:sz w:val="44"/>
          <w:szCs w:val="44"/>
          <w:highlight w:val="none"/>
          <w:u w:val="none"/>
          <w:lang w:val="en-US" w:eastAsia="zh-CN"/>
        </w:rPr>
        <w:t>新型集体林场组织管理流程示意图</w:t>
      </w:r>
    </w:p>
    <w:p>
      <w:pPr>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595620" cy="4935220"/>
            <wp:effectExtent l="0" t="0" r="5080" b="8255"/>
            <wp:docPr id="3" name="图片 3" descr="bb965e765e548d5eac756482973175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bb965e765e548d5eac756482973175e1"/>
                    <pic:cNvPicPr>
                      <a:picLocks noChangeAspect="true"/>
                    </pic:cNvPicPr>
                  </pic:nvPicPr>
                  <pic:blipFill>
                    <a:blip r:embed="rId10"/>
                    <a:stretch>
                      <a:fillRect/>
                    </a:stretch>
                  </pic:blipFill>
                  <pic:spPr>
                    <a:xfrm>
                      <a:off x="0" y="0"/>
                      <a:ext cx="5595620" cy="493522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eastAsia="宋体" w:cs="Times New Roman"/>
          <w:color w:val="auto"/>
          <w:highlight w:val="none"/>
          <w:lang w:val="en-US" w:eastAsia="zh-CN"/>
        </w:rPr>
        <w:br w:type="page"/>
      </w:r>
      <w:r>
        <w:rPr>
          <w:rFonts w:hint="eastAsia" w:ascii="黑体" w:hAnsi="黑体" w:eastAsia="黑体" w:cs="黑体"/>
          <w:b w:val="0"/>
          <w:bCs w:val="0"/>
          <w:color w:val="auto"/>
          <w:kern w:val="44"/>
          <w:sz w:val="32"/>
          <w:szCs w:val="32"/>
          <w:highlight w:val="none"/>
          <w:u w:val="none"/>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color w:val="auto"/>
          <w:kern w:val="44"/>
          <w:sz w:val="44"/>
          <w:szCs w:val="44"/>
          <w:highlight w:val="none"/>
          <w:u w:val="none"/>
          <w:lang w:val="en-US" w:eastAsia="zh-CN"/>
        </w:rPr>
      </w:pPr>
      <w:r>
        <w:rPr>
          <w:rFonts w:hint="eastAsia" w:ascii="方正小标宋简体" w:hAnsi="方正小标宋简体" w:eastAsia="方正小标宋简体" w:cs="方正小标宋简体"/>
          <w:color w:val="auto"/>
          <w:kern w:val="44"/>
          <w:sz w:val="44"/>
          <w:szCs w:val="44"/>
          <w:highlight w:val="none"/>
          <w:u w:val="none"/>
          <w:lang w:val="en-US" w:eastAsia="zh-CN"/>
        </w:rPr>
        <w:t>林木资源管理示意图</w:t>
      </w:r>
    </w:p>
    <w:p>
      <w:pPr>
        <w:widowControl w:val="0"/>
        <w:ind w:left="0" w:leftChars="0" w:firstLine="0" w:firstLineChars="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anchor distT="0" distB="0" distL="114935" distR="114935" simplePos="0" relativeHeight="251661312" behindDoc="1" locked="0" layoutInCell="1" allowOverlap="1">
            <wp:simplePos x="0" y="0"/>
            <wp:positionH relativeFrom="column">
              <wp:posOffset>-280670</wp:posOffset>
            </wp:positionH>
            <wp:positionV relativeFrom="paragraph">
              <wp:posOffset>220980</wp:posOffset>
            </wp:positionV>
            <wp:extent cx="6130925" cy="3662045"/>
            <wp:effectExtent l="0" t="0" r="3175" b="14605"/>
            <wp:wrapNone/>
            <wp:docPr id="5" name="图片 2" descr="ff2e3007970c8a5678b24f0bd964b4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ff2e3007970c8a5678b24f0bd964b4f"/>
                    <pic:cNvPicPr>
                      <a:picLocks noChangeAspect="true"/>
                    </pic:cNvPicPr>
                  </pic:nvPicPr>
                  <pic:blipFill>
                    <a:blip r:embed="rId11"/>
                    <a:stretch>
                      <a:fillRect/>
                    </a:stretch>
                  </pic:blipFill>
                  <pic:spPr>
                    <a:xfrm>
                      <a:off x="0" y="0"/>
                      <a:ext cx="6130925" cy="366204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default"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br w:type="page"/>
      </w:r>
      <w:r>
        <w:rPr>
          <w:rFonts w:hint="eastAsia" w:ascii="黑体" w:hAnsi="黑体" w:eastAsia="黑体" w:cs="黑体"/>
          <w:b w:val="0"/>
          <w:bCs w:val="0"/>
          <w:color w:val="auto"/>
          <w:kern w:val="44"/>
          <w:sz w:val="32"/>
          <w:szCs w:val="32"/>
          <w:highlight w:val="none"/>
          <w:u w:val="none"/>
          <w:lang w:val="en-US" w:eastAsia="zh-CN"/>
        </w:rPr>
        <w:t>附件3</w:t>
      </w:r>
    </w:p>
    <w:p>
      <w:pPr>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u w:val="none"/>
          <w:lang w:val="en-US" w:eastAsia="zh-CN" w:bidi="ar-SA"/>
        </w:rPr>
      </w:pPr>
      <w:r>
        <w:rPr>
          <w:rFonts w:hint="eastAsia" w:ascii="方正小标宋简体" w:hAnsi="方正小标宋简体" w:eastAsia="方正小标宋简体" w:cs="方正小标宋简体"/>
          <w:bCs/>
          <w:snapToGrid w:val="0"/>
          <w:color w:val="auto"/>
          <w:kern w:val="0"/>
          <w:sz w:val="44"/>
          <w:szCs w:val="44"/>
          <w:highlight w:val="none"/>
          <w:u w:val="none"/>
          <w:lang w:val="en-US" w:eastAsia="zh-CN" w:bidi="ar-SA"/>
        </w:rPr>
        <w:t>平原生态林养护区级资金调级调档办法</w:t>
      </w:r>
    </w:p>
    <w:p>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Cs/>
          <w:color w:val="auto"/>
          <w:kern w:val="0"/>
          <w:sz w:val="32"/>
          <w:szCs w:val="32"/>
          <w:highlight w:val="none"/>
          <w:u w:val="none"/>
          <w:lang w:val="en-US" w:eastAsia="zh-CN" w:bidi="ar-SA"/>
        </w:rPr>
        <w:t>一、调级调档</w:t>
      </w:r>
      <w:r>
        <w:rPr>
          <w:rFonts w:hint="eastAsia" w:ascii="黑体" w:hAnsi="黑体" w:eastAsia="黑体" w:cs="黑体"/>
          <w:bCs/>
          <w:snapToGrid w:val="0"/>
          <w:color w:val="auto"/>
          <w:kern w:val="0"/>
          <w:sz w:val="32"/>
          <w:szCs w:val="32"/>
          <w:highlight w:val="none"/>
          <w:u w:val="none"/>
          <w:lang w:val="en-US" w:eastAsia="zh-CN" w:bidi="ar-SA"/>
        </w:rPr>
        <w:t>资金分配对象：</w:t>
      </w:r>
      <w:r>
        <w:rPr>
          <w:rFonts w:hint="eastAsia" w:ascii="仿宋_GB2312" w:hAnsi="仿宋_GB2312" w:eastAsia="仿宋_GB2312" w:cs="仿宋_GB2312"/>
          <w:color w:val="auto"/>
          <w:kern w:val="2"/>
          <w:sz w:val="32"/>
          <w:szCs w:val="32"/>
          <w:highlight w:val="none"/>
          <w:lang w:val="en-US" w:eastAsia="zh-CN" w:bidi="ar-SA"/>
        </w:rPr>
        <w:t>通州区各乡镇人民政府</w:t>
      </w:r>
    </w:p>
    <w:p>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Cs/>
          <w:snapToGrid w:val="0"/>
          <w:color w:val="auto"/>
          <w:kern w:val="0"/>
          <w:sz w:val="32"/>
          <w:szCs w:val="32"/>
          <w:highlight w:val="none"/>
          <w:u w:val="none"/>
          <w:lang w:val="en-US" w:eastAsia="zh-CN" w:bidi="ar-SA"/>
        </w:rPr>
        <w:t>二、调级</w:t>
      </w:r>
      <w:r>
        <w:rPr>
          <w:rFonts w:hint="eastAsia" w:ascii="黑体" w:hAnsi="黑体" w:eastAsia="黑体" w:cs="黑体"/>
          <w:bCs/>
          <w:color w:val="auto"/>
          <w:kern w:val="0"/>
          <w:sz w:val="32"/>
          <w:szCs w:val="32"/>
          <w:highlight w:val="none"/>
          <w:u w:val="none"/>
          <w:lang w:val="en-US" w:eastAsia="zh-CN" w:bidi="ar-SA"/>
        </w:rPr>
        <w:t>调档</w:t>
      </w:r>
      <w:r>
        <w:rPr>
          <w:rFonts w:hint="eastAsia" w:ascii="黑体" w:hAnsi="黑体" w:eastAsia="黑体" w:cs="黑体"/>
          <w:bCs/>
          <w:snapToGrid w:val="0"/>
          <w:color w:val="auto"/>
          <w:kern w:val="0"/>
          <w:sz w:val="32"/>
          <w:szCs w:val="32"/>
          <w:highlight w:val="none"/>
          <w:u w:val="none"/>
          <w:lang w:val="en-US" w:eastAsia="en-US" w:bidi="ar-SA"/>
        </w:rPr>
        <w:t>资金来源：</w:t>
      </w:r>
      <w:r>
        <w:rPr>
          <w:rFonts w:hint="eastAsia" w:ascii="仿宋_GB2312" w:hAnsi="仿宋_GB2312" w:eastAsia="仿宋_GB2312" w:cs="仿宋_GB2312"/>
          <w:color w:val="auto"/>
          <w:kern w:val="2"/>
          <w:sz w:val="32"/>
          <w:szCs w:val="32"/>
          <w:highlight w:val="none"/>
          <w:lang w:val="en-US" w:eastAsia="zh-CN" w:bidi="ar-SA"/>
        </w:rPr>
        <w:t>区级平原生态林养护专项资金12%。</w:t>
      </w:r>
    </w:p>
    <w:p>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黑体" w:hAnsi="黑体" w:eastAsia="黑体" w:cs="黑体"/>
          <w:bCs/>
          <w:snapToGrid w:val="0"/>
          <w:color w:val="auto"/>
          <w:kern w:val="0"/>
          <w:sz w:val="32"/>
          <w:szCs w:val="32"/>
          <w:highlight w:val="none"/>
          <w:u w:val="none"/>
          <w:lang w:val="en-US" w:eastAsia="zh-CN" w:bidi="ar-SA"/>
        </w:rPr>
      </w:pPr>
      <w:r>
        <w:rPr>
          <w:rFonts w:hint="eastAsia" w:ascii="黑体" w:hAnsi="黑体" w:eastAsia="黑体" w:cs="黑体"/>
          <w:bCs/>
          <w:snapToGrid w:val="0"/>
          <w:color w:val="auto"/>
          <w:kern w:val="0"/>
          <w:sz w:val="32"/>
          <w:szCs w:val="32"/>
          <w:highlight w:val="none"/>
          <w:u w:val="none"/>
          <w:lang w:val="en-US" w:eastAsia="zh-CN" w:bidi="ar-SA"/>
        </w:rPr>
        <w:t>三、调级</w:t>
      </w:r>
      <w:r>
        <w:rPr>
          <w:rFonts w:hint="eastAsia" w:ascii="黑体" w:hAnsi="黑体" w:eastAsia="黑体" w:cs="黑体"/>
          <w:bCs/>
          <w:color w:val="auto"/>
          <w:kern w:val="0"/>
          <w:sz w:val="32"/>
          <w:szCs w:val="32"/>
          <w:highlight w:val="none"/>
          <w:u w:val="none"/>
          <w:lang w:val="en-US" w:eastAsia="zh-CN" w:bidi="ar-SA"/>
        </w:rPr>
        <w:t>调档</w:t>
      </w:r>
      <w:r>
        <w:rPr>
          <w:rFonts w:hint="eastAsia" w:ascii="黑体" w:hAnsi="黑体" w:eastAsia="黑体" w:cs="黑体"/>
          <w:bCs/>
          <w:snapToGrid w:val="0"/>
          <w:color w:val="auto"/>
          <w:kern w:val="0"/>
          <w:sz w:val="32"/>
          <w:szCs w:val="32"/>
          <w:highlight w:val="none"/>
          <w:u w:val="none"/>
          <w:lang w:val="en-US" w:eastAsia="zh-CN" w:bidi="ar-SA"/>
        </w:rPr>
        <w:t>资金分配金额：</w:t>
      </w:r>
    </w:p>
    <w:p>
      <w:pPr>
        <w:keepNext w:val="0"/>
        <w:keepLines w:val="0"/>
        <w:pageBreakBefore w:val="0"/>
        <w:widowControl w:val="0"/>
        <w:kinsoku/>
        <w:wordWrap/>
        <w:overflowPunct/>
        <w:topLinePunct w:val="0"/>
        <w:autoSpaceDE w:val="0"/>
        <w:autoSpaceDN w:val="0"/>
        <w:bidi w:val="0"/>
        <w:adjustRightInd w:val="0"/>
        <w:snapToGrid w:val="0"/>
        <w:spacing w:after="120" w:line="60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调级调档资金分配按照区园林绿化局季度平原生态林养护管理综合检查情况进行分配，每季度占全年调整资金的25%，资金分配见下表。（参照《北京市通州区平原生态林养护经营检查管理办法》）</w:t>
      </w:r>
    </w:p>
    <w:tbl>
      <w:tblPr>
        <w:tblStyle w:val="20"/>
        <w:tblpPr w:leftFromText="180" w:rightFromText="180" w:vertAnchor="text" w:horzAnchor="page" w:tblpXSpec="center" w:tblpY="146"/>
        <w:tblOverlap w:val="never"/>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38"/>
        <w:gridCol w:w="819"/>
        <w:gridCol w:w="848"/>
        <w:gridCol w:w="823"/>
        <w:gridCol w:w="823"/>
        <w:gridCol w:w="873"/>
        <w:gridCol w:w="722"/>
        <w:gridCol w:w="74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乡镇排名</w:t>
            </w:r>
          </w:p>
        </w:tc>
        <w:tc>
          <w:tcPr>
            <w:tcW w:w="73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第一</w:t>
            </w:r>
          </w:p>
        </w:tc>
        <w:tc>
          <w:tcPr>
            <w:tcW w:w="81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第二</w:t>
            </w:r>
          </w:p>
        </w:tc>
        <w:tc>
          <w:tcPr>
            <w:tcW w:w="848"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第三</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第四</w:t>
            </w:r>
          </w:p>
        </w:tc>
        <w:tc>
          <w:tcPr>
            <w:tcW w:w="82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第五</w:t>
            </w:r>
          </w:p>
        </w:tc>
        <w:tc>
          <w:tcPr>
            <w:tcW w:w="873"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第六</w:t>
            </w:r>
          </w:p>
        </w:tc>
        <w:tc>
          <w:tcPr>
            <w:tcW w:w="72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第七</w:t>
            </w:r>
          </w:p>
        </w:tc>
        <w:tc>
          <w:tcPr>
            <w:tcW w:w="74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第八</w:t>
            </w:r>
          </w:p>
        </w:tc>
        <w:tc>
          <w:tcPr>
            <w:tcW w:w="72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第九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2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每季度调级调档比例</w:t>
            </w:r>
          </w:p>
        </w:tc>
        <w:tc>
          <w:tcPr>
            <w:tcW w:w="738"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1/3</w:t>
            </w:r>
          </w:p>
        </w:tc>
        <w:tc>
          <w:tcPr>
            <w:tcW w:w="819"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2/9</w:t>
            </w:r>
          </w:p>
        </w:tc>
        <w:tc>
          <w:tcPr>
            <w:tcW w:w="848"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1/6</w:t>
            </w:r>
          </w:p>
        </w:tc>
        <w:tc>
          <w:tcPr>
            <w:tcW w:w="823"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1/9</w:t>
            </w:r>
          </w:p>
        </w:tc>
        <w:tc>
          <w:tcPr>
            <w:tcW w:w="823"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1/18</w:t>
            </w:r>
          </w:p>
        </w:tc>
        <w:tc>
          <w:tcPr>
            <w:tcW w:w="873"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2/45</w:t>
            </w:r>
          </w:p>
        </w:tc>
        <w:tc>
          <w:tcPr>
            <w:tcW w:w="722"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1/30</w:t>
            </w:r>
          </w:p>
        </w:tc>
        <w:tc>
          <w:tcPr>
            <w:tcW w:w="747" w:type="dxa"/>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1/45</w:t>
            </w:r>
          </w:p>
        </w:tc>
        <w:tc>
          <w:tcPr>
            <w:tcW w:w="722" w:type="dxa"/>
            <w:noWrap w:val="0"/>
            <w:vAlign w:val="center"/>
          </w:tcPr>
          <w:p>
            <w:pPr>
              <w:keepNext w:val="0"/>
              <w:keepLines w:val="0"/>
              <w:pageBreakBefore w:val="0"/>
              <w:widowControl/>
              <w:suppressLineNumbers w:val="0"/>
              <w:kinsoku/>
              <w:wordWrap/>
              <w:overflowPunct/>
              <w:topLinePunct w:val="0"/>
              <w:bidi w:val="0"/>
              <w:jc w:val="center"/>
              <w:textAlignment w:val="bottom"/>
              <w:rPr>
                <w:rFonts w:hint="default"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29" w:type="dxa"/>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例如：区级平原生态林养护专项资金为1.22元/平方米</w:t>
            </w:r>
          </w:p>
        </w:tc>
        <w:tc>
          <w:tcPr>
            <w:tcW w:w="738"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240</w:t>
            </w: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19"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160</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48"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120</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23"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80</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23"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40</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873"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Arial" w:eastAsia="仿宋_GB2312" w:cs="仿宋_GB2312"/>
                <w:i w:val="0"/>
                <w:iCs w:val="0"/>
                <w:snapToGrid w:val="0"/>
                <w:color w:val="auto"/>
                <w:kern w:val="0"/>
                <w:sz w:val="24"/>
                <w:szCs w:val="24"/>
                <w:highlight w:val="none"/>
                <w:u w:val="none"/>
                <w:lang w:val="en-US" w:eastAsia="zh-CN" w:bidi="ar"/>
              </w:rPr>
            </w:pPr>
            <w:r>
              <w:rPr>
                <w:rFonts w:hint="eastAsia" w:ascii="仿宋_GB2312" w:hAnsi="Arial" w:eastAsia="仿宋_GB2312" w:cs="仿宋_GB2312"/>
                <w:i w:val="0"/>
                <w:iCs w:val="0"/>
                <w:snapToGrid w:val="0"/>
                <w:color w:val="auto"/>
                <w:kern w:val="0"/>
                <w:sz w:val="24"/>
                <w:szCs w:val="24"/>
                <w:highlight w:val="none"/>
                <w:u w:val="none"/>
                <w:lang w:val="en-US" w:eastAsia="zh-CN" w:bidi="ar"/>
              </w:rPr>
              <w:t>32</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22"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Arial" w:eastAsia="仿宋_GB2312" w:cs="仿宋_GB2312"/>
                <w:i w:val="0"/>
                <w:iCs w:val="0"/>
                <w:snapToGrid w:val="0"/>
                <w:color w:val="auto"/>
                <w:kern w:val="0"/>
                <w:sz w:val="24"/>
                <w:szCs w:val="24"/>
                <w:highlight w:val="none"/>
                <w:u w:val="none"/>
                <w:lang w:val="en-US" w:eastAsia="zh-CN" w:bidi="ar"/>
              </w:rPr>
              <w:t>24</w:t>
            </w: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47" w:type="dxa"/>
            <w:noWrap w:val="0"/>
            <w:vAlign w:val="center"/>
          </w:tcPr>
          <w:p>
            <w:pPr>
              <w:keepNext w:val="0"/>
              <w:keepLines w:val="0"/>
              <w:pageBreakBefore w:val="0"/>
              <w:widowControl/>
              <w:suppressLineNumbers w:val="0"/>
              <w:kinsoku/>
              <w:wordWrap/>
              <w:overflowPunct/>
              <w:topLinePunct w:val="0"/>
              <w:bidi w:val="0"/>
              <w:jc w:val="center"/>
              <w:textAlignment w:val="bottom"/>
              <w:rPr>
                <w:rFonts w:hint="eastAsia" w:ascii="仿宋_GB2312" w:eastAsia="仿宋_GB2312" w:cs="仿宋_GB2312"/>
                <w:i w:val="0"/>
                <w:iCs w:val="0"/>
                <w:snapToGrid w:val="0"/>
                <w:color w:val="auto"/>
                <w:kern w:val="0"/>
                <w:sz w:val="24"/>
                <w:szCs w:val="24"/>
                <w:highlight w:val="none"/>
                <w:u w:val="none"/>
                <w:lang w:val="en-US" w:eastAsia="zh-CN" w:bidi="ar"/>
              </w:rPr>
            </w:pPr>
            <w:r>
              <w:rPr>
                <w:rFonts w:hint="eastAsia" w:ascii="仿宋_GB2312" w:eastAsia="仿宋_GB2312" w:cs="仿宋_GB2312"/>
                <w:i w:val="0"/>
                <w:iCs w:val="0"/>
                <w:snapToGrid w:val="0"/>
                <w:color w:val="auto"/>
                <w:kern w:val="0"/>
                <w:sz w:val="24"/>
                <w:szCs w:val="24"/>
                <w:highlight w:val="none"/>
                <w:u w:val="none"/>
                <w:lang w:val="en-US" w:eastAsia="zh-CN" w:bidi="ar"/>
              </w:rPr>
              <w:t>16</w:t>
            </w:r>
          </w:p>
          <w:p>
            <w:pPr>
              <w:keepNext w:val="0"/>
              <w:keepLines w:val="0"/>
              <w:pageBreakBefore w:val="0"/>
              <w:widowControl/>
              <w:suppressLineNumbers w:val="0"/>
              <w:kinsoku/>
              <w:wordWrap/>
              <w:overflowPunct/>
              <w:topLinePunct w:val="0"/>
              <w:bidi w:val="0"/>
              <w:jc w:val="center"/>
              <w:textAlignment w:val="bottom"/>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eastAsia="仿宋_GB2312" w:cs="仿宋_GB2312"/>
                <w:i w:val="0"/>
                <w:iCs w:val="0"/>
                <w:snapToGrid w:val="0"/>
                <w:color w:val="auto"/>
                <w:kern w:val="0"/>
                <w:sz w:val="24"/>
                <w:szCs w:val="24"/>
                <w:highlight w:val="none"/>
                <w:u w:val="none"/>
                <w:lang w:val="en-US" w:eastAsia="zh-CN" w:bidi="ar"/>
              </w:rPr>
              <w:t>万元</w:t>
            </w:r>
          </w:p>
        </w:tc>
        <w:tc>
          <w:tcPr>
            <w:tcW w:w="72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9"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baseline"/>
              <w:rPr>
                <w:rFonts w:hint="eastAsia" w:ascii="仿宋_GB2312" w:hAnsi="仿宋_GB2312" w:eastAsia="仿宋_GB2312" w:cs="仿宋_GB2312"/>
                <w:color w:val="auto"/>
                <w:kern w:val="2"/>
                <w:sz w:val="24"/>
                <w:szCs w:val="24"/>
                <w:highlight w:val="none"/>
                <w:vertAlign w:val="baseline"/>
                <w:lang w:val="en-US" w:eastAsia="zh-CN" w:bidi="ar-SA"/>
              </w:rPr>
            </w:pPr>
          </w:p>
        </w:tc>
        <w:tc>
          <w:tcPr>
            <w:tcW w:w="7115"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center"/>
              <w:textAlignment w:val="baseline"/>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永顺镇达到95分（含）以上，季度发放调级调档资金7万元。</w:t>
            </w:r>
          </w:p>
        </w:tc>
      </w:tr>
    </w:tbl>
    <w:p>
      <w:pPr>
        <w:widowControl w:val="0"/>
        <w:ind w:left="0" w:leftChars="0" w:firstLine="0" w:firstLineChars="0"/>
        <w:jc w:val="both"/>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本办法由通州区园林绿化局负责解释。</w:t>
      </w:r>
    </w:p>
    <w:p>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0"/>
        <w:rPr>
          <w:rFonts w:hint="eastAsia" w:ascii="仿宋_GB2312" w:hAnsi="仿宋_GB2312" w:eastAsia="仿宋_GB2312" w:cs="仿宋_GB2312"/>
          <w:b w:val="0"/>
          <w:bCs w:val="0"/>
          <w:color w:val="auto"/>
          <w:kern w:val="44"/>
          <w:sz w:val="32"/>
          <w:szCs w:val="32"/>
          <w:highlight w:val="none"/>
          <w:u w:val="none"/>
          <w:lang w:val="en-US" w:eastAsia="zh-CN"/>
        </w:rPr>
      </w:pPr>
      <w:r>
        <w:rPr>
          <w:rFonts w:hint="eastAsia" w:ascii="仿宋_GB2312" w:hAnsi="仿宋_GB2312" w:eastAsia="仿宋_GB2312" w:cs="仿宋_GB2312"/>
          <w:color w:val="auto"/>
          <w:sz w:val="38"/>
          <w:szCs w:val="38"/>
          <w:highlight w:val="none"/>
          <w:u w:val="none"/>
        </w:rPr>
        <w:br w:type="page"/>
      </w:r>
      <w:r>
        <w:rPr>
          <w:rFonts w:hint="eastAsia" w:ascii="黑体" w:hAnsi="黑体" w:eastAsia="黑体" w:cs="黑体"/>
          <w:b w:val="0"/>
          <w:bCs w:val="0"/>
          <w:color w:val="auto"/>
          <w:kern w:val="44"/>
          <w:sz w:val="32"/>
          <w:szCs w:val="32"/>
          <w:highlight w:val="none"/>
          <w:u w:val="none"/>
          <w:lang w:val="en-US" w:eastAsia="zh-CN"/>
        </w:rPr>
        <w:t>附件4</w:t>
      </w:r>
    </w:p>
    <w:p>
      <w:pPr>
        <w:spacing w:line="256" w:lineRule="auto"/>
        <w:rPr>
          <w:rFonts w:ascii="Arial" w:eastAsia="宋体" w:cs="Times New Roman"/>
          <w:color w:val="auto"/>
          <w:sz w:val="21"/>
          <w:highlight w:val="none"/>
        </w:rPr>
      </w:pPr>
    </w:p>
    <w:p>
      <w:pPr>
        <w:widowControl/>
        <w:kinsoku w:val="0"/>
        <w:autoSpaceDE w:val="0"/>
        <w:autoSpaceDN w:val="0"/>
        <w:adjustRightInd w:val="0"/>
        <w:snapToGrid w:val="0"/>
        <w:spacing w:before="331" w:line="219" w:lineRule="auto"/>
        <w:jc w:val="distribute"/>
        <w:textAlignment w:val="baseline"/>
        <w:rPr>
          <w:rFonts w:ascii="宋体" w:hAnsi="宋体" w:eastAsia="宋体" w:cs="宋体"/>
          <w:b/>
          <w:bCs/>
          <w:snapToGrid w:val="0"/>
          <w:color w:val="FF0000"/>
          <w:spacing w:val="-82"/>
          <w:w w:val="76"/>
          <w:kern w:val="0"/>
          <w:sz w:val="102"/>
          <w:szCs w:val="102"/>
          <w:highlight w:val="none"/>
          <w:lang w:eastAsia="en-US"/>
        </w:rPr>
      </w:pPr>
      <w:r>
        <w:rPr>
          <w:rFonts w:ascii="宋体" w:hAnsi="宋体" w:eastAsia="宋体" w:cs="宋体"/>
          <w:b/>
          <w:bCs/>
          <w:snapToGrid w:val="0"/>
          <w:color w:val="FF0000"/>
          <w:spacing w:val="-82"/>
          <w:w w:val="76"/>
          <w:kern w:val="0"/>
          <w:sz w:val="102"/>
          <w:szCs w:val="102"/>
          <w:highlight w:val="none"/>
          <w:lang w:eastAsia="en-US"/>
        </w:rPr>
        <w:t>北京市通州区园林绿化局</w:t>
      </w:r>
    </w:p>
    <w:p>
      <w:pPr>
        <w:keepNext w:val="0"/>
        <w:keepLines w:val="0"/>
        <w:pageBreakBefore w:val="0"/>
        <w:widowControl/>
        <w:kinsoku w:val="0"/>
        <w:wordWrap/>
        <w:overflowPunct/>
        <w:topLinePunct w:val="0"/>
        <w:autoSpaceDE w:val="0"/>
        <w:autoSpaceDN w:val="0"/>
        <w:bidi w:val="0"/>
        <w:adjustRightInd w:val="0"/>
        <w:snapToGrid w:val="0"/>
        <w:spacing w:line="60" w:lineRule="exact"/>
        <w:ind w:left="19" w:leftChars="9" w:right="645" w:rightChars="307" w:firstLine="252" w:firstLineChars="0"/>
        <w:textAlignment w:val="baseline"/>
        <w:rPr>
          <w:rFonts w:eastAsia="宋体" w:cs="Times New Roman"/>
          <w:color w:val="auto"/>
          <w:highlight w:val="none"/>
        </w:rPr>
      </w:pPr>
      <w:r>
        <w:rPr>
          <w:rFonts w:eastAsia="宋体" w:cs="Times New Roman"/>
          <w:color w:val="auto"/>
          <w:position w:val="-1"/>
          <w:highlight w:val="none"/>
        </w:rPr>
        <w:drawing>
          <wp:inline distT="0" distB="0" distL="114300" distR="114300">
            <wp:extent cx="5502275" cy="76200"/>
            <wp:effectExtent l="0" t="0" r="3175" b="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2"/>
                    <a:stretch>
                      <a:fillRect/>
                    </a:stretch>
                  </pic:blipFill>
                  <pic:spPr>
                    <a:xfrm flipV="true">
                      <a:off x="0" y="0"/>
                      <a:ext cx="5502275" cy="76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43" w:line="600" w:lineRule="exact"/>
        <w:ind w:left="0" w:right="0" w:firstLine="0"/>
        <w:jc w:val="center"/>
        <w:textAlignment w:val="auto"/>
        <w:rPr>
          <w:rFonts w:hint="eastAsia" w:ascii="方正小标宋简体" w:hAnsi="方正小标宋简体" w:eastAsia="方正小标宋简体" w:cs="方正小标宋简体"/>
          <w:b w:val="0"/>
          <w:bCs w:val="0"/>
          <w:color w:val="auto"/>
          <w:spacing w:val="0"/>
          <w:sz w:val="44"/>
          <w:szCs w:val="44"/>
          <w:highlight w:val="none"/>
        </w:rPr>
      </w:pPr>
      <w:r>
        <w:rPr>
          <w:rFonts w:hint="eastAsia" w:ascii="方正小标宋简体" w:hAnsi="方正小标宋简体" w:eastAsia="方正小标宋简体" w:cs="方正小标宋简体"/>
          <w:b w:val="0"/>
          <w:bCs w:val="0"/>
          <w:color w:val="auto"/>
          <w:spacing w:val="0"/>
          <w:sz w:val="44"/>
          <w:szCs w:val="44"/>
          <w:highlight w:val="none"/>
        </w:rPr>
        <w:t>北京市通州区平原生态林养护经营</w:t>
      </w:r>
    </w:p>
    <w:p>
      <w:pPr>
        <w:keepNext w:val="0"/>
        <w:keepLines w:val="0"/>
        <w:pageBreakBefore w:val="0"/>
        <w:widowControl w:val="0"/>
        <w:kinsoku/>
        <w:wordWrap/>
        <w:overflowPunct/>
        <w:topLinePunct w:val="0"/>
        <w:autoSpaceDE/>
        <w:autoSpaceDN/>
        <w:bidi w:val="0"/>
        <w:adjustRightInd/>
        <w:snapToGrid/>
        <w:spacing w:before="143" w:line="600" w:lineRule="exact"/>
        <w:ind w:left="0" w:right="0" w:firstLine="0"/>
        <w:jc w:val="center"/>
        <w:textAlignment w:val="auto"/>
        <w:rPr>
          <w:rFonts w:hint="default"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检查管理办法</w:t>
      </w:r>
    </w:p>
    <w:p>
      <w:pPr>
        <w:widowControl w:val="0"/>
        <w:spacing w:before="147" w:after="120" w:line="222" w:lineRule="auto"/>
        <w:ind w:left="3293"/>
        <w:jc w:val="both"/>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（2025修订）</w:t>
      </w:r>
    </w:p>
    <w:p>
      <w:pPr>
        <w:widowControl w:val="0"/>
        <w:spacing w:before="147" w:after="120" w:line="222" w:lineRule="auto"/>
        <w:ind w:left="3293"/>
        <w:jc w:val="both"/>
        <w:rPr>
          <w:rFonts w:hint="eastAsia" w:ascii="仿宋_GB2312" w:hAnsi="仿宋_GB2312" w:eastAsia="仿宋_GB2312" w:cs="仿宋_GB2312"/>
          <w:color w:val="auto"/>
          <w:spacing w:val="6"/>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第一章</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rPr>
        <w:t>总则</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第一条</w:t>
      </w:r>
      <w:r>
        <w:rPr>
          <w:rFonts w:hint="eastAsia" w:ascii="仿宋_GB2312" w:hAnsi="仿宋_GB2312" w:eastAsia="仿宋_GB2312" w:cs="仿宋_GB2312"/>
          <w:color w:val="auto"/>
          <w:spacing w:val="0"/>
          <w:kern w:val="2"/>
          <w:sz w:val="32"/>
          <w:szCs w:val="32"/>
          <w:highlight w:val="none"/>
          <w:lang w:val="en-US" w:eastAsia="zh-CN" w:bidi="ar-SA"/>
        </w:rPr>
        <w:t xml:space="preserve"> 为进一步贯彻落实平原生态林高质量发展新要求，不断完善专业管理机制，规范检查管理体系，分级分类落实养护经营各项措施，推动养护管理高标准、高质量开展，依据《北京市人民政府办公厅关于本市发展新型集体林场的指导意见》(京政办发〔2021〕15号)、《北京市园林绿化局关于进一步加强本市生态公益林经营管护工作的通知》(京绿办发〔2022〕25号)等市、区平原生态林相关政策要求，制定本细则。</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第二条</w:t>
      </w:r>
      <w:r>
        <w:rPr>
          <w:rFonts w:hint="eastAsia" w:ascii="仿宋_GB2312" w:hAnsi="仿宋_GB2312" w:eastAsia="仿宋_GB2312" w:cs="仿宋_GB2312"/>
          <w:color w:val="auto"/>
          <w:spacing w:val="0"/>
          <w:kern w:val="2"/>
          <w:sz w:val="32"/>
          <w:szCs w:val="32"/>
          <w:highlight w:val="none"/>
          <w:lang w:val="en-US" w:eastAsia="zh-CN" w:bidi="ar-SA"/>
        </w:rPr>
        <w:t xml:space="preserve"> 本细则适用于纳入财政管护补助范围内的平原生态林，包括完善政策生态林、第一轮百万亩造林、新一轮百万亩造林等。</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第三条</w:t>
      </w: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经营坚持分级分类原则，突出重点、定向培育。建立区域资金统筹机制，实行平原生态林差异化管理。贯彻新发展理念，通过稳步推进林分结构调整、加强有害生物绿色防控、改良土壤质量、合理利用野生地被、保护与恢复生物多样性等措施，推动森林质量精准提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第二章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主体及对象</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第四条</w:t>
      </w: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区园林绿化局行业管理部门为平原生态林养护检查主体。</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第五条</w:t>
      </w: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平原生态林养护检查对象为各乡镇政府。</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黑体"/>
          <w:b w:val="0"/>
          <w:bCs w:val="0"/>
          <w:snapToGrid w:val="0"/>
          <w:color w:val="auto"/>
          <w:spacing w:val="0"/>
          <w:kern w:val="2"/>
          <w:sz w:val="32"/>
          <w:szCs w:val="32"/>
          <w:highlight w:val="none"/>
          <w:lang w:val="en-US" w:eastAsia="en-US" w:bidi="ar-SA"/>
        </w:rPr>
        <w:t>第三章</w:t>
      </w:r>
      <w:r>
        <w:rPr>
          <w:rFonts w:hint="eastAsia" w:ascii="黑体" w:hAnsi="黑体" w:eastAsia="黑体" w:cs="黑体"/>
          <w:b w:val="0"/>
          <w:bCs w:val="0"/>
          <w:snapToGrid w:val="0"/>
          <w:color w:val="auto"/>
          <w:spacing w:val="0"/>
          <w:kern w:val="2"/>
          <w:sz w:val="32"/>
          <w:szCs w:val="32"/>
          <w:highlight w:val="none"/>
          <w:lang w:val="en-US" w:eastAsia="zh-CN" w:bidi="ar-SA"/>
        </w:rPr>
        <w:t xml:space="preserve"> 检查</w:t>
      </w:r>
      <w:r>
        <w:rPr>
          <w:rFonts w:hint="eastAsia" w:ascii="黑体" w:hAnsi="黑体" w:eastAsia="黑体" w:cs="黑体"/>
          <w:b w:val="0"/>
          <w:bCs w:val="0"/>
          <w:snapToGrid w:val="0"/>
          <w:color w:val="auto"/>
          <w:spacing w:val="0"/>
          <w:kern w:val="2"/>
          <w:sz w:val="32"/>
          <w:szCs w:val="32"/>
          <w:highlight w:val="none"/>
          <w:lang w:val="en-US" w:eastAsia="en-US" w:bidi="ar-SA"/>
        </w:rPr>
        <w:t>内容</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第六条</w:t>
      </w:r>
      <w:r>
        <w:rPr>
          <w:rFonts w:hint="eastAsia" w:ascii="仿宋_GB2312" w:hAnsi="仿宋_GB2312" w:eastAsia="仿宋_GB2312" w:cs="仿宋_GB2312"/>
          <w:color w:val="auto"/>
          <w:spacing w:val="0"/>
          <w:kern w:val="2"/>
          <w:sz w:val="32"/>
          <w:szCs w:val="32"/>
          <w:highlight w:val="none"/>
          <w:lang w:val="en-US" w:eastAsia="zh-CN" w:bidi="ar-SA"/>
        </w:rPr>
        <w:t xml:space="preserve"> 林地资源保护。为做好平原生态林环境资源保障工作，应加强林地日常巡查，杜绝私圈乱占、私搭乱建、私栽乱种、乱砍滥伐、乱堆坟头、林地用火、冬春旋耕、违禁农药、土壤污染等危害林地行为。</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第七条</w:t>
      </w:r>
      <w:r>
        <w:rPr>
          <w:rFonts w:hint="eastAsia" w:ascii="仿宋_GB2312" w:hAnsi="仿宋_GB2312" w:eastAsia="仿宋_GB2312" w:cs="仿宋_GB2312"/>
          <w:color w:val="auto"/>
          <w:spacing w:val="0"/>
          <w:kern w:val="2"/>
          <w:sz w:val="32"/>
          <w:szCs w:val="32"/>
          <w:highlight w:val="none"/>
          <w:lang w:val="en-US" w:eastAsia="zh-CN" w:bidi="ar-SA"/>
        </w:rPr>
        <w:t xml:space="preserve"> 常规措施落实。为确保平原生态林发挥正常生态功能，应落实科学的养护措施，主要包括有害生物防治、补植补造、整形修剪、抹芽除蘖、松土浇水、施肥追肥、地被种植、灌草控制、设施维护、废弃物循环利用、节水管理等。</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第八条</w:t>
      </w:r>
      <w:r>
        <w:rPr>
          <w:rFonts w:hint="eastAsia" w:ascii="仿宋_GB2312" w:hAnsi="仿宋_GB2312" w:eastAsia="仿宋_GB2312" w:cs="仿宋_GB2312"/>
          <w:color w:val="auto"/>
          <w:spacing w:val="0"/>
          <w:kern w:val="2"/>
          <w:sz w:val="32"/>
          <w:szCs w:val="32"/>
          <w:highlight w:val="none"/>
          <w:lang w:val="en-US" w:eastAsia="zh-CN" w:bidi="ar-SA"/>
        </w:rPr>
        <w:t xml:space="preserve"> 抚育管理推进。为提升平原生态林质量与效益，按照“调密度、补幼苗、沃土壤、防病虫、丰物种”高质量发展要求，应稳步开展抚育经营工作，主要包括林分结构调整、大树培育、村头微型公园建设、保育小区建设、林下补栎（阔）、林下种草、整形修剪、施肥追肥、绿化废弃物利用等。</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第九条</w:t>
      </w:r>
      <w:r>
        <w:rPr>
          <w:rFonts w:hint="eastAsia" w:ascii="仿宋_GB2312" w:hAnsi="仿宋_GB2312" w:eastAsia="仿宋_GB2312" w:cs="仿宋_GB2312"/>
          <w:color w:val="auto"/>
          <w:spacing w:val="0"/>
          <w:kern w:val="2"/>
          <w:sz w:val="32"/>
          <w:szCs w:val="32"/>
          <w:highlight w:val="none"/>
          <w:lang w:val="en-US" w:eastAsia="zh-CN" w:bidi="ar-SA"/>
        </w:rPr>
        <w:t xml:space="preserve"> 档案管理情况。为确保养护经营管理工作规范有序开展，需加强内业资料报送的及时性和规范性。主要包括养护管理地块台账与信息库、管护合同、中长期森林经营方案、年度实施方案、应急预案、养护日志、巡查记录、自查与整改报告、应急处置记录、工作总结、宣传培训、本地农民用工台账、物资购置及使用记录、农药采购及使用记录、资金管理台账等。</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第十条</w:t>
      </w:r>
      <w:r>
        <w:rPr>
          <w:rFonts w:hint="eastAsia" w:ascii="仿宋_GB2312" w:hAnsi="仿宋_GB2312" w:eastAsia="仿宋_GB2312" w:cs="仿宋_GB2312"/>
          <w:color w:val="auto"/>
          <w:spacing w:val="0"/>
          <w:kern w:val="2"/>
          <w:sz w:val="32"/>
          <w:szCs w:val="32"/>
          <w:highlight w:val="none"/>
          <w:lang w:val="en-US" w:eastAsia="zh-CN" w:bidi="ar-SA"/>
        </w:rPr>
        <w:t xml:space="preserve"> 运行效能情况。为进一步优化管理流程和管理机制，各乡镇应组织集体林场加强统筹管理，推动绿岗就业，提高本地农民就业比例，充分利用北京市平原生态林巡护管理系统进行人员管理。强化从业人员技能培训，逐步建立以本地农民工为主体的专业经营管护队伍。为有效应对突发事件，妥善处理安全生产事故，应建立应急抢险队伍，积极组织实地演练，强化应急处置能力。要提高经营管护资金使用效率，提高经营管护覆盖面的精准性和科学性，严防失管失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第四章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方法</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第十一条</w:t>
      </w:r>
      <w:r>
        <w:rPr>
          <w:rFonts w:hint="eastAsia" w:ascii="仿宋_GB2312" w:hAnsi="仿宋_GB2312" w:eastAsia="仿宋_GB2312" w:cs="仿宋_GB2312"/>
          <w:color w:val="auto"/>
          <w:spacing w:val="0"/>
          <w:kern w:val="2"/>
          <w:sz w:val="32"/>
          <w:szCs w:val="32"/>
          <w:highlight w:val="none"/>
          <w:lang w:val="en-US" w:eastAsia="zh-CN" w:bidi="ar-SA"/>
        </w:rPr>
        <w:t xml:space="preserve"> 乡镇自查。各乡镇政府对集体林场落实乡镇部署的平原生态林养护经营工作完成情况进行评分。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第十二条</w:t>
      </w:r>
      <w:r>
        <w:rPr>
          <w:rFonts w:hint="eastAsia" w:ascii="仿宋_GB2312" w:hAnsi="仿宋_GB2312" w:eastAsia="仿宋_GB2312" w:cs="仿宋_GB2312"/>
          <w:color w:val="auto"/>
          <w:spacing w:val="0"/>
          <w:kern w:val="2"/>
          <w:sz w:val="32"/>
          <w:szCs w:val="32"/>
          <w:highlight w:val="none"/>
          <w:lang w:val="en-US" w:eastAsia="zh-CN" w:bidi="ar-SA"/>
        </w:rPr>
        <w:t xml:space="preserve"> 日常检查。区园林绿化局行业管理部门组织开展日常巡查和督导检查。每日对全区平原生态林地块进行不间断巡查，每月全覆盖检查一次，对督导检查问题进行跟踪督促整改及复查。如无特殊原因，发生延期未完成整改的，将汇总形成生态林管护经营情况报告，发送至各乡镇政府；如遇特殊原因确实无法按时完成整改的，需乡镇政府说明情况，并承诺完成整改时限，书面报送至区园林绿化局行业管理部门。</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第十三条</w:t>
      </w:r>
      <w:r>
        <w:rPr>
          <w:rFonts w:hint="eastAsia" w:ascii="仿宋_GB2312" w:hAnsi="仿宋_GB2312" w:eastAsia="仿宋_GB2312" w:cs="仿宋_GB2312"/>
          <w:color w:val="auto"/>
          <w:spacing w:val="0"/>
          <w:kern w:val="2"/>
          <w:sz w:val="32"/>
          <w:szCs w:val="32"/>
          <w:highlight w:val="none"/>
          <w:lang w:val="en-US" w:eastAsia="zh-CN" w:bidi="ar-SA"/>
        </w:rPr>
        <w:t xml:space="preserve"> 重点任务专项检查。组织人员对各乡镇专项任务完成的时效性和质量进行过程监督，并纳入季度评价成绩。</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第十四条</w:t>
      </w:r>
      <w:r>
        <w:rPr>
          <w:rFonts w:hint="eastAsia" w:ascii="仿宋_GB2312" w:hAnsi="仿宋_GB2312" w:eastAsia="仿宋_GB2312" w:cs="仿宋_GB2312"/>
          <w:color w:val="auto"/>
          <w:spacing w:val="0"/>
          <w:kern w:val="2"/>
          <w:sz w:val="32"/>
          <w:szCs w:val="32"/>
          <w:highlight w:val="none"/>
          <w:lang w:val="en-US" w:eastAsia="zh-CN" w:bidi="ar-SA"/>
        </w:rPr>
        <w:t xml:space="preserve"> 季度综合检查。采取抽查的方式每季度对各乡镇养护管理情况进行综合检查评分，按统一标准有针对性或随机的方式抽取一定数量的地块进行检查、评分。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第十五条</w:t>
      </w:r>
      <w:r>
        <w:rPr>
          <w:rFonts w:hint="eastAsia" w:ascii="仿宋_GB2312" w:hAnsi="仿宋_GB2312" w:eastAsia="仿宋_GB2312" w:cs="仿宋_GB2312"/>
          <w:color w:val="auto"/>
          <w:spacing w:val="0"/>
          <w:kern w:val="2"/>
          <w:sz w:val="32"/>
          <w:szCs w:val="32"/>
          <w:highlight w:val="none"/>
          <w:lang w:val="en-US" w:eastAsia="zh-CN" w:bidi="ar-SA"/>
        </w:rPr>
        <w:t xml:space="preserve"> 社会全面监督。综合市、区相关执法部门、行业管理部门、非紧急救助电话、各类网络媒体等信息资源，对各乡镇政府进行全面监督。</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第十六条</w:t>
      </w:r>
      <w:r>
        <w:rPr>
          <w:rFonts w:hint="eastAsia" w:ascii="仿宋_GB2312" w:hAnsi="仿宋_GB2312" w:eastAsia="仿宋_GB2312" w:cs="仿宋_GB2312"/>
          <w:color w:val="auto"/>
          <w:spacing w:val="0"/>
          <w:kern w:val="2"/>
          <w:sz w:val="32"/>
          <w:szCs w:val="32"/>
          <w:highlight w:val="none"/>
          <w:lang w:val="en-US" w:eastAsia="zh-CN" w:bidi="ar-SA"/>
        </w:rPr>
        <w:t xml:space="preserve"> 由区园林绿化局行业管理部门利用全区平原生态林养护精细化管理信息系统，梳理检查的过程资料及台帐，明确责任，强化监督，督促整改。通过信息系统，实现对全区平原生态林管护日常检查、重点专项任务检查、季度综合检查、社会全面监督的综合管理，提升管理检查的工作效率，提高全区平原生态林精细化管理水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第五章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标准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第十七条</w:t>
      </w:r>
      <w:r>
        <w:rPr>
          <w:rFonts w:hint="eastAsia" w:ascii="仿宋_GB2312" w:hAnsi="仿宋_GB2312" w:eastAsia="仿宋_GB2312" w:cs="仿宋_GB2312"/>
          <w:color w:val="auto"/>
          <w:spacing w:val="0"/>
          <w:kern w:val="2"/>
          <w:sz w:val="32"/>
          <w:szCs w:val="32"/>
          <w:highlight w:val="none"/>
          <w:lang w:val="en-US" w:eastAsia="zh-CN" w:bidi="ar-SA"/>
        </w:rPr>
        <w:t xml:space="preserve"> 按照乡镇自查、日常检查、重点专项任务检查、季度综合检查及社会全面监督情况，每季度对各乡镇政府进行汇总评价，总分上限100分。季度检查成绩=乡镇自查成绩（10分）+日常检查成绩（30分）+重点任务专项检查成绩（20分）+季度综合检查成绩（40分）±社会全面监督成绩（±5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第十八条</w:t>
      </w:r>
      <w:r>
        <w:rPr>
          <w:rFonts w:hint="eastAsia" w:ascii="仿宋_GB2312" w:hAnsi="仿宋_GB2312" w:eastAsia="仿宋_GB2312" w:cs="仿宋_GB2312"/>
          <w:color w:val="auto"/>
          <w:spacing w:val="0"/>
          <w:kern w:val="2"/>
          <w:sz w:val="32"/>
          <w:szCs w:val="32"/>
          <w:highlight w:val="none"/>
          <w:lang w:val="en-US" w:eastAsia="zh-CN" w:bidi="ar-SA"/>
        </w:rPr>
        <w:t xml:space="preserve"> 乡镇自查分值为10分。各乡镇政府对集体林场落实乡镇部署的平原生态林养护经营工作完成情况进行评分，按照部署任务的完成情况和完成质量进行评分。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firstLineChars="200"/>
        <w:jc w:val="both"/>
        <w:textAlignment w:val="baseline"/>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rPr>
        <w:t>第十</w:t>
      </w:r>
      <w:r>
        <w:rPr>
          <w:rFonts w:hint="eastAsia" w:ascii="仿宋_GB2312" w:hAnsi="仿宋_GB2312" w:eastAsia="仿宋_GB2312" w:cs="仿宋_GB2312"/>
          <w:b/>
          <w:bCs/>
          <w:color w:val="auto"/>
          <w:spacing w:val="0"/>
          <w:sz w:val="32"/>
          <w:szCs w:val="32"/>
          <w:highlight w:val="none"/>
          <w:lang w:eastAsia="zh-CN"/>
        </w:rPr>
        <w:t>九</w:t>
      </w:r>
      <w:r>
        <w:rPr>
          <w:rFonts w:hint="eastAsia" w:ascii="仿宋_GB2312" w:hAnsi="仿宋_GB2312" w:eastAsia="仿宋_GB2312" w:cs="仿宋_GB2312"/>
          <w:b/>
          <w:bCs/>
          <w:color w:val="auto"/>
          <w:spacing w:val="0"/>
          <w:sz w:val="32"/>
          <w:szCs w:val="32"/>
          <w:highlight w:val="none"/>
        </w:rPr>
        <w:t>条</w:t>
      </w:r>
      <w:r>
        <w:rPr>
          <w:rFonts w:hint="eastAsia" w:ascii="仿宋_GB2312" w:hAnsi="仿宋_GB2312" w:eastAsia="仿宋_GB2312" w:cs="仿宋_GB2312"/>
          <w:color w:val="auto"/>
          <w:spacing w:val="0"/>
          <w:sz w:val="32"/>
          <w:szCs w:val="32"/>
          <w:highlight w:val="none"/>
        </w:rPr>
        <w:t xml:space="preserve"> 日常检查按季度进行汇总评分，各乡镇政府每季度日常检查分值为</w:t>
      </w:r>
      <w:r>
        <w:rPr>
          <w:rFonts w:hint="eastAsia" w:ascii="仿宋_GB2312" w:hAnsi="仿宋_GB2312" w:eastAsia="仿宋_GB2312" w:cs="仿宋_GB2312"/>
          <w:color w:val="auto"/>
          <w:spacing w:val="0"/>
          <w:sz w:val="32"/>
          <w:szCs w:val="32"/>
          <w:highlight w:val="none"/>
          <w:lang w:val="en-US" w:eastAsia="zh-CN"/>
        </w:rPr>
        <w:t>30分</w:t>
      </w:r>
      <w:r>
        <w:rPr>
          <w:rFonts w:hint="eastAsia" w:ascii="仿宋_GB2312" w:hAnsi="仿宋_GB2312" w:eastAsia="仿宋_GB2312" w:cs="仿宋_GB2312"/>
          <w:color w:val="auto"/>
          <w:spacing w:val="0"/>
          <w:sz w:val="32"/>
          <w:szCs w:val="32"/>
          <w:highlight w:val="none"/>
        </w:rPr>
        <w:t>，其中内业</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rPr>
        <w:t>占20</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，外业</w:t>
      </w:r>
      <w:r>
        <w:rPr>
          <w:rFonts w:hint="eastAsia" w:ascii="仿宋_GB2312" w:hAnsi="仿宋_GB2312" w:eastAsia="仿宋_GB2312" w:cs="仿宋_GB2312"/>
          <w:color w:val="auto"/>
          <w:spacing w:val="0"/>
          <w:sz w:val="32"/>
          <w:szCs w:val="32"/>
          <w:highlight w:val="none"/>
          <w:lang w:val="en-US" w:eastAsia="zh-CN"/>
        </w:rPr>
        <w:t>检查</w:t>
      </w:r>
      <w:r>
        <w:rPr>
          <w:rFonts w:hint="eastAsia" w:ascii="仿宋_GB2312" w:hAnsi="仿宋_GB2312" w:eastAsia="仿宋_GB2312" w:cs="仿宋_GB2312"/>
          <w:color w:val="auto"/>
          <w:spacing w:val="0"/>
          <w:sz w:val="32"/>
          <w:szCs w:val="32"/>
          <w:highlight w:val="none"/>
        </w:rPr>
        <w:t>占80</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(一)内业检查包括日常上报材料的时效性和质量。季度内每发生一次延迟，扣减该项分值0.15分。上报质量依据材料的规范性、准确性、专业性等进行综合检查。</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(二)外业检查包括季度日常检查、问题按时整改率和重点问题整改单。</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季度日常检查按照检查指标类别评分，日常养护类中如垃圾清理不及时、整形修剪不到位等行为，如同一指标问题发现10个及以下，每个问题扣减该项分值0.03分；同一指标问题发生10个以上，超出10个问题部分，每个问题扣减该项分值0.06分。林地保护类中如新增林地毁损、林地用火、违禁农药、乱砍滥伐等严重行为扣减该项分值1分；如新增私搭乱建、私圈乱占等行为扣减该项分值0.15分；如新增私栽乱种、堆物堆料等行为扣减该项分值0.09分。日常巡查中，市级文件要求各集体林场每300-500亩配备一名巡护员，每季度以每500亩出现的问题数量作为一项综合指标，对集体林场自身的巡查质量进行评价，分数占日常监督检查总分的50%。</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问题按时整改率依据整改限定期限评分。无特殊原因，发生三次以内未按时整改，该项不扣分；发生三次以上未按时完成整改的，超出三次部分，每发生一次扣减该项分值0.06分。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重点问题整改单包括市级、区级生态林管护经营重点问题整改单，每下发一个问题扣减该项分值0.06分，当季未整改的再扣减该项分值0.06分。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第二十条</w:t>
      </w:r>
      <w:r>
        <w:rPr>
          <w:rFonts w:hint="eastAsia" w:ascii="仿宋_GB2312" w:hAnsi="仿宋_GB2312" w:eastAsia="仿宋_GB2312" w:cs="仿宋_GB2312"/>
          <w:color w:val="auto"/>
          <w:spacing w:val="0"/>
          <w:kern w:val="2"/>
          <w:sz w:val="32"/>
          <w:szCs w:val="32"/>
          <w:highlight w:val="none"/>
          <w:lang w:val="en-US" w:eastAsia="zh-CN" w:bidi="ar-SA"/>
        </w:rPr>
        <w:t xml:space="preserve"> 重点任务专项检查成绩按照每个乡镇的专项任务完成情况进行评分，每季度专项任务总分值为20分，其中进度检查占50%，质量检查占30%，档案资料检查占20%。</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第二十一条</w:t>
      </w:r>
      <w:r>
        <w:rPr>
          <w:rFonts w:hint="eastAsia" w:ascii="仿宋_GB2312" w:hAnsi="仿宋_GB2312" w:eastAsia="仿宋_GB2312" w:cs="仿宋_GB2312"/>
          <w:color w:val="auto"/>
          <w:spacing w:val="0"/>
          <w:kern w:val="2"/>
          <w:sz w:val="32"/>
          <w:szCs w:val="32"/>
          <w:highlight w:val="none"/>
          <w:lang w:val="en-US" w:eastAsia="zh-CN" w:bidi="ar-SA"/>
        </w:rPr>
        <w:t xml:space="preserve"> 季度综合检查总分值为40分，包括内业检查和外业检查，由区园林绿化局行业管理部门按照每季度养护经营管理内容制定差异化季度综合检查评分标准。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第二十二条</w:t>
      </w:r>
      <w:r>
        <w:rPr>
          <w:rFonts w:hint="eastAsia" w:ascii="仿宋_GB2312" w:hAnsi="仿宋_GB2312" w:eastAsia="仿宋_GB2312" w:cs="仿宋_GB2312"/>
          <w:color w:val="auto"/>
          <w:spacing w:val="0"/>
          <w:kern w:val="2"/>
          <w:sz w:val="32"/>
          <w:szCs w:val="32"/>
          <w:highlight w:val="none"/>
          <w:lang w:val="en-US" w:eastAsia="zh-CN" w:bidi="ar-SA"/>
        </w:rPr>
        <w:t xml:space="preserve"> 社会全面监督为加减分项。</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一)加分项。各乡镇应加强平原生态林养护经营宣传工作，营造良好社会氛围，通过相关官方媒体、市区党政内刊、通报、专刊等进行正面报道宣传的当季进行相应的加分。各乡镇自行上报并进行正面报道宣传的0.2分/次，经区园林绿化局行业管理部门采纳进行正面报道宣传的0.5分/次，每季度1分上限。通过中央电视台《新闻联播》《人民日报》、北京电视台《北京新闻》《北京日报》专题报道的1分/次，每季度加分项总分上限为5分。</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二)减分项。每收到其他监督部门督办件一件或受区级及以上媒体负面报道一次，核实确认后，扣减当季得分1分，未按要求及时整改反馈的，再次扣减当季得分1分；如被市级领导点名批评，直接扣减当季得分2分；当季每发生一起重大安全生产事故，核实确认后，扣减当季得分3分。减分项下限为5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第六章</w:t>
      </w:r>
      <w:r>
        <w:rPr>
          <w:rFonts w:hint="eastAsia" w:ascii="黑体" w:hAnsi="黑体" w:eastAsia="黑体" w:cs="黑体"/>
          <w:b w:val="0"/>
          <w:bCs w:val="0"/>
          <w:color w:val="auto"/>
          <w:spacing w:val="0"/>
          <w:sz w:val="32"/>
          <w:szCs w:val="32"/>
          <w:highlight w:val="none"/>
          <w:lang w:val="en-US" w:eastAsia="zh-CN"/>
        </w:rPr>
        <w:t xml:space="preserve"> 检查</w:t>
      </w:r>
      <w:r>
        <w:rPr>
          <w:rFonts w:hint="eastAsia" w:ascii="黑体" w:hAnsi="黑体" w:eastAsia="黑体" w:cs="黑体"/>
          <w:b w:val="0"/>
          <w:bCs w:val="0"/>
          <w:color w:val="auto"/>
          <w:spacing w:val="0"/>
          <w:sz w:val="32"/>
          <w:szCs w:val="32"/>
          <w:highlight w:val="none"/>
        </w:rPr>
        <w:t>结果</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第二十三条</w:t>
      </w: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区园林绿化局行业管理部门将季度检查结果告知各乡镇政府，检查结果作为区级资金</w:t>
      </w:r>
      <w:r>
        <w:rPr>
          <w:rFonts w:hint="eastAsia" w:ascii="仿宋_GB2312" w:hAnsi="仿宋_GB2312" w:eastAsia="仿宋_GB2312" w:cs="仿宋_GB2312"/>
          <w:color w:val="auto"/>
          <w:kern w:val="2"/>
          <w:sz w:val="32"/>
          <w:szCs w:val="32"/>
          <w:highlight w:val="none"/>
          <w:lang w:val="en-US" w:eastAsia="zh-CN" w:bidi="ar-SA"/>
        </w:rPr>
        <w:t>调级调档分配参考依据，每年度检查结果提交区政府办审议后予以通报。</w:t>
      </w:r>
      <w:r>
        <w:rPr>
          <w:rFonts w:hint="eastAsia" w:ascii="仿宋_GB2312" w:hAnsi="仿宋_GB2312" w:eastAsia="仿宋_GB2312" w:cs="仿宋_GB2312"/>
          <w:color w:val="auto"/>
          <w:spacing w:val="0"/>
          <w:kern w:val="2"/>
          <w:sz w:val="32"/>
          <w:szCs w:val="32"/>
          <w:highlight w:val="none"/>
          <w:lang w:val="en-US" w:eastAsia="zh-CN" w:bidi="ar-SA"/>
        </w:rPr>
        <w:t>可作为区委、区政府对各乡镇政府进行年度绩效考评的参考依据。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黑体" w:hAnsi="黑体" w:eastAsia="黑体" w:cs="黑体"/>
          <w:b w:val="0"/>
          <w:bCs w:val="0"/>
          <w:color w:val="auto"/>
          <w:spacing w:val="0"/>
          <w:sz w:val="32"/>
          <w:szCs w:val="32"/>
          <w:highlight w:val="none"/>
        </w:rPr>
      </w:pPr>
      <w:r>
        <w:rPr>
          <w:rFonts w:hint="eastAsia" w:ascii="黑体" w:hAnsi="黑体" w:eastAsia="黑体" w:cs="黑体"/>
          <w:b w:val="0"/>
          <w:bCs w:val="0"/>
          <w:color w:val="auto"/>
          <w:spacing w:val="0"/>
          <w:sz w:val="32"/>
          <w:szCs w:val="32"/>
          <w:highlight w:val="none"/>
        </w:rPr>
        <w:t>第七章 附则</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2" w:firstLineChars="200"/>
        <w:jc w:val="both"/>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第二十四条</w:t>
      </w:r>
      <w:r>
        <w:rPr>
          <w:rFonts w:hint="eastAsia" w:ascii="仿宋_GB2312" w:hAnsi="仿宋_GB2312" w:eastAsia="仿宋_GB2312" w:cs="仿宋_GB2312"/>
          <w:color w:val="auto"/>
          <w:spacing w:val="0"/>
          <w:kern w:val="2"/>
          <w:sz w:val="32"/>
          <w:szCs w:val="32"/>
          <w:highlight w:val="none"/>
          <w:lang w:val="en-US" w:eastAsia="zh-CN" w:bidi="ar-SA"/>
        </w:rPr>
        <w:t xml:space="preserve"> 本办法自印发之日起执行，区园林绿化局负责解释。</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right"/>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北京市通州区园林绿化局</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72" w:firstLineChars="200"/>
        <w:jc w:val="center"/>
        <w:textAlignment w:val="baseline"/>
        <w:outlineLvl w:val="9"/>
        <w:rPr>
          <w:rFonts w:hint="eastAsia" w:ascii="仿宋_GB2312" w:hAnsi="仿宋_GB2312" w:eastAsia="仿宋_GB2312" w:cs="仿宋_GB2312"/>
          <w:color w:val="auto"/>
          <w:spacing w:val="0"/>
          <w:w w:val="105"/>
          <w:kern w:val="2"/>
          <w:sz w:val="32"/>
          <w:szCs w:val="32"/>
          <w:highlight w:val="none"/>
          <w:lang w:val="en-US" w:eastAsia="zh-CN" w:bidi="ar-SA"/>
        </w:rPr>
      </w:pPr>
      <w:r>
        <w:rPr>
          <w:rFonts w:hint="eastAsia" w:ascii="仿宋_GB2312" w:hAnsi="仿宋_GB2312" w:eastAsia="仿宋_GB2312" w:cs="仿宋_GB2312"/>
          <w:color w:val="auto"/>
          <w:spacing w:val="0"/>
          <w:w w:val="105"/>
          <w:kern w:val="2"/>
          <w:sz w:val="32"/>
          <w:szCs w:val="32"/>
          <w:highlight w:val="none"/>
          <w:lang w:val="en-US" w:eastAsia="zh-CN" w:bidi="ar-SA"/>
        </w:rPr>
        <w:t xml:space="preserve">                        2025年2月20日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98" w:firstLineChars="200"/>
        <w:jc w:val="center"/>
        <w:textAlignment w:val="baseline"/>
        <w:outlineLvl w:val="9"/>
        <w:rPr>
          <w:rFonts w:hint="eastAsia" w:ascii="仿宋_GB2312" w:hAnsi="仿宋_GB2312" w:eastAsia="仿宋_GB2312" w:cs="仿宋_GB2312"/>
          <w:color w:val="auto"/>
          <w:spacing w:val="0"/>
          <w:w w:val="105"/>
          <w:sz w:val="38"/>
          <w:szCs w:val="38"/>
          <w:highlight w:val="none"/>
        </w:rPr>
        <w:sectPr>
          <w:footerReference r:id="rId6" w:type="first"/>
          <w:footerReference r:id="rId4" w:type="default"/>
          <w:headerReference r:id="rId3" w:type="even"/>
          <w:footerReference r:id="rId5" w:type="even"/>
          <w:pgSz w:w="11906" w:h="16838"/>
          <w:pgMar w:top="2098" w:right="1474" w:bottom="1984" w:left="1587" w:header="851" w:footer="992" w:gutter="0"/>
          <w:pgNumType w:fmt="numberInDash"/>
          <w:cols w:space="720" w:num="1"/>
          <w:titlePg/>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845"/>
        <w:gridCol w:w="904"/>
        <w:gridCol w:w="904"/>
        <w:gridCol w:w="955"/>
        <w:gridCol w:w="881"/>
        <w:gridCol w:w="712"/>
        <w:gridCol w:w="824"/>
        <w:gridCol w:w="900"/>
        <w:gridCol w:w="825"/>
        <w:gridCol w:w="660"/>
        <w:gridCol w:w="75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1" w:type="dxa"/>
            <w:gridSpan w:val="12"/>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1"/>
                <w:szCs w:val="21"/>
                <w:highlight w:val="none"/>
                <w:vertAlign w:val="baseli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通州区平原生态林养护管理季度综合检查评分表</w:t>
            </w:r>
          </w:p>
        </w:tc>
        <w:tc>
          <w:tcPr>
            <w:tcW w:w="87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乡镇</w:t>
            </w:r>
          </w:p>
        </w:tc>
        <w:tc>
          <w:tcPr>
            <w:tcW w:w="284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乡镇自评成绩</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10分</w:t>
            </w:r>
          </w:p>
        </w:tc>
        <w:tc>
          <w:tcPr>
            <w:tcW w:w="0" w:type="auto"/>
            <w:gridSpan w:val="3"/>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日常检查</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30分</w:t>
            </w:r>
          </w:p>
        </w:tc>
        <w:tc>
          <w:tcPr>
            <w:tcW w:w="2444" w:type="dxa"/>
            <w:gridSpan w:val="3"/>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重点任务专项检查成绩20分</w:t>
            </w:r>
          </w:p>
        </w:tc>
        <w:tc>
          <w:tcPr>
            <w:tcW w:w="1725"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季度综合检查成绩40分</w:t>
            </w:r>
          </w:p>
        </w:tc>
        <w:tc>
          <w:tcPr>
            <w:tcW w:w="1410" w:type="dxa"/>
            <w:gridSpan w:val="2"/>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社会全面监督成绩±5分</w:t>
            </w:r>
          </w:p>
        </w:tc>
        <w:tc>
          <w:tcPr>
            <w:tcW w:w="871"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284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集体林场落实乡镇部署的平原生态林养护经营工作完成情况</w:t>
            </w: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内业检查</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20%</w:t>
            </w: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外业检查</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kern w:val="2"/>
                <w:sz w:val="28"/>
                <w:szCs w:val="28"/>
                <w:highlight w:val="none"/>
                <w:lang w:val="en-US" w:eastAsia="zh-CN" w:bidi="ar-SA"/>
              </w:rPr>
              <w:t>80%</w:t>
            </w: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整改单扣分</w:t>
            </w: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进度50%</w:t>
            </w: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质量</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30%</w:t>
            </w:r>
          </w:p>
        </w:tc>
        <w:tc>
          <w:tcPr>
            <w:tcW w:w="82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档案资料20%</w:t>
            </w:r>
          </w:p>
        </w:tc>
        <w:tc>
          <w:tcPr>
            <w:tcW w:w="90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default"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内业检查</w:t>
            </w:r>
          </w:p>
        </w:tc>
        <w:tc>
          <w:tcPr>
            <w:tcW w:w="8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rightChars="0"/>
              <w:jc w:val="center"/>
              <w:textAlignment w:val="baseline"/>
              <w:outlineLvl w:val="9"/>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外业检查</w:t>
            </w:r>
          </w:p>
        </w:tc>
        <w:tc>
          <w:tcPr>
            <w:tcW w:w="6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加分项</w:t>
            </w:r>
          </w:p>
        </w:tc>
        <w:tc>
          <w:tcPr>
            <w:tcW w:w="75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r>
              <w:rPr>
                <w:rFonts w:hint="eastAsia" w:ascii="仿宋_GB2312" w:hAnsi="仿宋_GB2312" w:eastAsia="仿宋_GB2312" w:cs="仿宋_GB2312"/>
                <w:color w:val="auto"/>
                <w:spacing w:val="0"/>
                <w:w w:val="105"/>
                <w:kern w:val="2"/>
                <w:sz w:val="28"/>
                <w:szCs w:val="28"/>
                <w:highlight w:val="none"/>
                <w:vertAlign w:val="baseline"/>
                <w:lang w:val="en-US" w:eastAsia="zh-CN" w:bidi="ar-SA"/>
              </w:rPr>
              <w:t>减分项</w:t>
            </w:r>
          </w:p>
        </w:tc>
        <w:tc>
          <w:tcPr>
            <w:tcW w:w="871"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4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113" w:right="113"/>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284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0" w:type="auto"/>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2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90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6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75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c>
          <w:tcPr>
            <w:tcW w:w="8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baseline"/>
              <w:outlineLvl w:val="9"/>
              <w:rPr>
                <w:rFonts w:hint="eastAsia" w:ascii="仿宋_GB2312" w:hAnsi="仿宋_GB2312" w:eastAsia="仿宋_GB2312" w:cs="仿宋_GB2312"/>
                <w:color w:val="auto"/>
                <w:spacing w:val="0"/>
                <w:w w:val="105"/>
                <w:kern w:val="2"/>
                <w:sz w:val="28"/>
                <w:szCs w:val="28"/>
                <w:highlight w:val="none"/>
                <w:vertAlign w:val="baseline"/>
                <w:lang w:val="en-US" w:eastAsia="zh-CN" w:bidi="ar-SA"/>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98" w:firstLineChars="200"/>
        <w:jc w:val="center"/>
        <w:textAlignment w:val="baseline"/>
        <w:outlineLvl w:val="9"/>
        <w:rPr>
          <w:rFonts w:hint="eastAsia" w:ascii="仿宋_GB2312" w:hAnsi="仿宋_GB2312" w:eastAsia="仿宋_GB2312" w:cs="仿宋_GB2312"/>
          <w:color w:val="auto"/>
          <w:spacing w:val="0"/>
          <w:w w:val="105"/>
          <w:sz w:val="38"/>
          <w:szCs w:val="38"/>
          <w:highlight w:val="none"/>
        </w:rPr>
        <w:sectPr>
          <w:pgSz w:w="16838" w:h="11906" w:orient="landscape"/>
          <w:pgMar w:top="1587" w:right="2098" w:bottom="1474" w:left="1984" w:header="851" w:footer="992" w:gutter="0"/>
          <w:pgNumType w:fmt="numberInDash"/>
          <w:cols w:space="720" w:num="1"/>
          <w:titlePg/>
          <w:docGrid w:type="lines" w:linePitch="312" w:charSpace="0"/>
        </w:sectPr>
      </w:pPr>
    </w:p>
    <w:p>
      <w:pPr>
        <w:widowControl w:val="0"/>
        <w:spacing w:after="120"/>
        <w:jc w:val="both"/>
        <w:rPr>
          <w:rFonts w:hint="default" w:ascii="黑体" w:hAnsi="黑体" w:eastAsia="黑体" w:cs="黑体"/>
          <w:i w:val="0"/>
          <w:caps w:val="0"/>
          <w:color w:val="auto"/>
          <w:spacing w:val="0"/>
          <w:w w:val="100"/>
          <w:sz w:val="32"/>
          <w:szCs w:val="32"/>
          <w:highlight w:val="none"/>
          <w:shd w:val="clear" w:color="auto" w:fill="auto"/>
          <w:lang w:val="en-US" w:eastAsia="zh-CN"/>
        </w:rPr>
      </w:pPr>
    </w:p>
    <w:sectPr>
      <w:headerReference r:id="rId7" w:type="default"/>
      <w:footerReference r:id="rId8"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ED469"/>
    <w:multiLevelType w:val="singleLevel"/>
    <w:tmpl w:val="3C5ED469"/>
    <w:lvl w:ilvl="0" w:tentative="0">
      <w:start w:val="1"/>
      <w:numFmt w:val="chineseCounting"/>
      <w:suff w:val="nothing"/>
      <w:lvlText w:val="第%1条"/>
      <w:lvlJc w:val="left"/>
      <w:pPr>
        <w:ind w:left="0" w:firstLine="0"/>
      </w:pPr>
      <w:rPr>
        <w:rFonts w:hint="eastAsia" w:ascii="宋体" w:hAnsi="宋体" w:eastAsia="仿宋_GB2312" w:cs="宋体"/>
        <w:b/>
        <w:sz w:val="32"/>
        <w:szCs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jRlMTU3ZTIyYWYxM2IwYzdmODMzZWU5ZmM2NWMifQ=="/>
  </w:docVars>
  <w:rsids>
    <w:rsidRoot w:val="00876F99"/>
    <w:rsid w:val="000033C5"/>
    <w:rsid w:val="00003FBC"/>
    <w:rsid w:val="00005653"/>
    <w:rsid w:val="00022DC7"/>
    <w:rsid w:val="00024943"/>
    <w:rsid w:val="00026F23"/>
    <w:rsid w:val="00027427"/>
    <w:rsid w:val="00031D66"/>
    <w:rsid w:val="0003364A"/>
    <w:rsid w:val="000337B4"/>
    <w:rsid w:val="00034F3C"/>
    <w:rsid w:val="000370AF"/>
    <w:rsid w:val="00044A2D"/>
    <w:rsid w:val="000527E4"/>
    <w:rsid w:val="0005325F"/>
    <w:rsid w:val="000565E2"/>
    <w:rsid w:val="00060A81"/>
    <w:rsid w:val="00061BBE"/>
    <w:rsid w:val="000627DF"/>
    <w:rsid w:val="0006422D"/>
    <w:rsid w:val="00065989"/>
    <w:rsid w:val="00070A54"/>
    <w:rsid w:val="00071847"/>
    <w:rsid w:val="00072E01"/>
    <w:rsid w:val="0007563E"/>
    <w:rsid w:val="00077AA9"/>
    <w:rsid w:val="00080FAA"/>
    <w:rsid w:val="00083A58"/>
    <w:rsid w:val="00083BB6"/>
    <w:rsid w:val="000841C2"/>
    <w:rsid w:val="00085F09"/>
    <w:rsid w:val="000861FF"/>
    <w:rsid w:val="00087D29"/>
    <w:rsid w:val="000911A0"/>
    <w:rsid w:val="000953E1"/>
    <w:rsid w:val="000959D4"/>
    <w:rsid w:val="00097116"/>
    <w:rsid w:val="000A1AAB"/>
    <w:rsid w:val="000A6730"/>
    <w:rsid w:val="000A754C"/>
    <w:rsid w:val="000A7BE6"/>
    <w:rsid w:val="000B08E3"/>
    <w:rsid w:val="000B4CB8"/>
    <w:rsid w:val="000B55FD"/>
    <w:rsid w:val="000B6F4E"/>
    <w:rsid w:val="000C1E90"/>
    <w:rsid w:val="000C3683"/>
    <w:rsid w:val="000C5B1F"/>
    <w:rsid w:val="000C5CAE"/>
    <w:rsid w:val="000C6A4B"/>
    <w:rsid w:val="000D196D"/>
    <w:rsid w:val="000D1D57"/>
    <w:rsid w:val="000D359D"/>
    <w:rsid w:val="000D36CB"/>
    <w:rsid w:val="000D5DA8"/>
    <w:rsid w:val="000D5DFB"/>
    <w:rsid w:val="000D78F4"/>
    <w:rsid w:val="000E00FC"/>
    <w:rsid w:val="000E0A90"/>
    <w:rsid w:val="000E1833"/>
    <w:rsid w:val="000E39DE"/>
    <w:rsid w:val="000E42B4"/>
    <w:rsid w:val="000E546F"/>
    <w:rsid w:val="000E69EE"/>
    <w:rsid w:val="000F2551"/>
    <w:rsid w:val="000F2C5E"/>
    <w:rsid w:val="000F3A69"/>
    <w:rsid w:val="000F4951"/>
    <w:rsid w:val="000F5411"/>
    <w:rsid w:val="000F5DB1"/>
    <w:rsid w:val="00101097"/>
    <w:rsid w:val="00101EE5"/>
    <w:rsid w:val="00102A28"/>
    <w:rsid w:val="0010593E"/>
    <w:rsid w:val="00106A02"/>
    <w:rsid w:val="00106A3F"/>
    <w:rsid w:val="00107468"/>
    <w:rsid w:val="00116A57"/>
    <w:rsid w:val="00120007"/>
    <w:rsid w:val="00120A19"/>
    <w:rsid w:val="00120CFE"/>
    <w:rsid w:val="0012127C"/>
    <w:rsid w:val="00130A9C"/>
    <w:rsid w:val="001340B9"/>
    <w:rsid w:val="00135CFC"/>
    <w:rsid w:val="0013750E"/>
    <w:rsid w:val="00137D89"/>
    <w:rsid w:val="001439D9"/>
    <w:rsid w:val="00150C06"/>
    <w:rsid w:val="0015125C"/>
    <w:rsid w:val="00153D2C"/>
    <w:rsid w:val="00160E50"/>
    <w:rsid w:val="001640E5"/>
    <w:rsid w:val="00164A5B"/>
    <w:rsid w:val="00165F74"/>
    <w:rsid w:val="0016702D"/>
    <w:rsid w:val="001739F5"/>
    <w:rsid w:val="00174A5D"/>
    <w:rsid w:val="00174A78"/>
    <w:rsid w:val="00182FDF"/>
    <w:rsid w:val="00183068"/>
    <w:rsid w:val="00183A0F"/>
    <w:rsid w:val="00186581"/>
    <w:rsid w:val="0019005F"/>
    <w:rsid w:val="00196A1A"/>
    <w:rsid w:val="001975AD"/>
    <w:rsid w:val="0019761C"/>
    <w:rsid w:val="00197877"/>
    <w:rsid w:val="001A1EB9"/>
    <w:rsid w:val="001A1FA0"/>
    <w:rsid w:val="001A2DF4"/>
    <w:rsid w:val="001A3DA9"/>
    <w:rsid w:val="001A42DE"/>
    <w:rsid w:val="001A5D96"/>
    <w:rsid w:val="001B2B3E"/>
    <w:rsid w:val="001B2D29"/>
    <w:rsid w:val="001B3199"/>
    <w:rsid w:val="001B57E6"/>
    <w:rsid w:val="001B5890"/>
    <w:rsid w:val="001B7758"/>
    <w:rsid w:val="001C098B"/>
    <w:rsid w:val="001C4465"/>
    <w:rsid w:val="001C4D0D"/>
    <w:rsid w:val="001C5ED9"/>
    <w:rsid w:val="001C64B6"/>
    <w:rsid w:val="001C7FAB"/>
    <w:rsid w:val="001D2322"/>
    <w:rsid w:val="001D7A5A"/>
    <w:rsid w:val="001E3F10"/>
    <w:rsid w:val="001E4C74"/>
    <w:rsid w:val="001E773B"/>
    <w:rsid w:val="001F33C8"/>
    <w:rsid w:val="001F40AD"/>
    <w:rsid w:val="001F50C4"/>
    <w:rsid w:val="001F675E"/>
    <w:rsid w:val="00200C44"/>
    <w:rsid w:val="002033C5"/>
    <w:rsid w:val="002041E0"/>
    <w:rsid w:val="00204382"/>
    <w:rsid w:val="00205CE6"/>
    <w:rsid w:val="00206B9A"/>
    <w:rsid w:val="002137E6"/>
    <w:rsid w:val="00214DAF"/>
    <w:rsid w:val="00215D5D"/>
    <w:rsid w:val="00216C69"/>
    <w:rsid w:val="00220D0F"/>
    <w:rsid w:val="002215CF"/>
    <w:rsid w:val="00221FEE"/>
    <w:rsid w:val="00222A50"/>
    <w:rsid w:val="00222E44"/>
    <w:rsid w:val="00223EBC"/>
    <w:rsid w:val="00224A6C"/>
    <w:rsid w:val="002255DF"/>
    <w:rsid w:val="00225C72"/>
    <w:rsid w:val="00227DBE"/>
    <w:rsid w:val="00231A37"/>
    <w:rsid w:val="00234AB9"/>
    <w:rsid w:val="00235061"/>
    <w:rsid w:val="002372EB"/>
    <w:rsid w:val="00237549"/>
    <w:rsid w:val="0024317F"/>
    <w:rsid w:val="00243FF1"/>
    <w:rsid w:val="002442EE"/>
    <w:rsid w:val="002554C9"/>
    <w:rsid w:val="00255C1A"/>
    <w:rsid w:val="00256862"/>
    <w:rsid w:val="00257F28"/>
    <w:rsid w:val="00264D07"/>
    <w:rsid w:val="00265019"/>
    <w:rsid w:val="0026529E"/>
    <w:rsid w:val="00272E4C"/>
    <w:rsid w:val="002748FF"/>
    <w:rsid w:val="00276A49"/>
    <w:rsid w:val="002801D5"/>
    <w:rsid w:val="00295460"/>
    <w:rsid w:val="002A7C9F"/>
    <w:rsid w:val="002B021F"/>
    <w:rsid w:val="002B0492"/>
    <w:rsid w:val="002B0917"/>
    <w:rsid w:val="002B19D5"/>
    <w:rsid w:val="002B6A76"/>
    <w:rsid w:val="002B6B19"/>
    <w:rsid w:val="002B785E"/>
    <w:rsid w:val="002B7F2D"/>
    <w:rsid w:val="002C70AD"/>
    <w:rsid w:val="002C7C96"/>
    <w:rsid w:val="002D0734"/>
    <w:rsid w:val="002D1E7B"/>
    <w:rsid w:val="002D1FBE"/>
    <w:rsid w:val="002D3368"/>
    <w:rsid w:val="002D6C6B"/>
    <w:rsid w:val="002E2E83"/>
    <w:rsid w:val="002E3CDF"/>
    <w:rsid w:val="002E3E00"/>
    <w:rsid w:val="002E5381"/>
    <w:rsid w:val="002F16C1"/>
    <w:rsid w:val="002F16C8"/>
    <w:rsid w:val="002F1D8B"/>
    <w:rsid w:val="002F2019"/>
    <w:rsid w:val="002F23B2"/>
    <w:rsid w:val="002F2CDB"/>
    <w:rsid w:val="002F4629"/>
    <w:rsid w:val="002F5FDC"/>
    <w:rsid w:val="0030075E"/>
    <w:rsid w:val="0030108C"/>
    <w:rsid w:val="003030B0"/>
    <w:rsid w:val="003065E8"/>
    <w:rsid w:val="0031310D"/>
    <w:rsid w:val="003148F3"/>
    <w:rsid w:val="00320538"/>
    <w:rsid w:val="00324B29"/>
    <w:rsid w:val="00324E99"/>
    <w:rsid w:val="0032534D"/>
    <w:rsid w:val="003272AA"/>
    <w:rsid w:val="00330FCD"/>
    <w:rsid w:val="0033295E"/>
    <w:rsid w:val="003337C3"/>
    <w:rsid w:val="003369A0"/>
    <w:rsid w:val="00337E53"/>
    <w:rsid w:val="0034078F"/>
    <w:rsid w:val="00342D0A"/>
    <w:rsid w:val="00342EEC"/>
    <w:rsid w:val="00343B5C"/>
    <w:rsid w:val="003459FE"/>
    <w:rsid w:val="00347CDD"/>
    <w:rsid w:val="003531BA"/>
    <w:rsid w:val="003568CD"/>
    <w:rsid w:val="00356FD9"/>
    <w:rsid w:val="0036088A"/>
    <w:rsid w:val="00361BFF"/>
    <w:rsid w:val="00362561"/>
    <w:rsid w:val="003626E2"/>
    <w:rsid w:val="00363378"/>
    <w:rsid w:val="00363F89"/>
    <w:rsid w:val="0036575D"/>
    <w:rsid w:val="00366DA5"/>
    <w:rsid w:val="00367AEA"/>
    <w:rsid w:val="00371E41"/>
    <w:rsid w:val="00371F53"/>
    <w:rsid w:val="00372E6F"/>
    <w:rsid w:val="00375EF7"/>
    <w:rsid w:val="00382684"/>
    <w:rsid w:val="003852F9"/>
    <w:rsid w:val="0038538C"/>
    <w:rsid w:val="00385BD7"/>
    <w:rsid w:val="0039002F"/>
    <w:rsid w:val="00396B85"/>
    <w:rsid w:val="00397780"/>
    <w:rsid w:val="003A1D93"/>
    <w:rsid w:val="003A4A46"/>
    <w:rsid w:val="003A5386"/>
    <w:rsid w:val="003A5BD5"/>
    <w:rsid w:val="003B5656"/>
    <w:rsid w:val="003C4198"/>
    <w:rsid w:val="003D04FD"/>
    <w:rsid w:val="003D0A81"/>
    <w:rsid w:val="003D3ABC"/>
    <w:rsid w:val="003D6B82"/>
    <w:rsid w:val="003D6BC9"/>
    <w:rsid w:val="003E7B5D"/>
    <w:rsid w:val="003F01A7"/>
    <w:rsid w:val="003F14E6"/>
    <w:rsid w:val="003F3D70"/>
    <w:rsid w:val="003F5E0B"/>
    <w:rsid w:val="003F5F12"/>
    <w:rsid w:val="00401706"/>
    <w:rsid w:val="00403176"/>
    <w:rsid w:val="00407C86"/>
    <w:rsid w:val="004100DF"/>
    <w:rsid w:val="00411074"/>
    <w:rsid w:val="00412E65"/>
    <w:rsid w:val="004131F4"/>
    <w:rsid w:val="00413C16"/>
    <w:rsid w:val="004148C4"/>
    <w:rsid w:val="0041558B"/>
    <w:rsid w:val="00423A3C"/>
    <w:rsid w:val="00424F5D"/>
    <w:rsid w:val="00425129"/>
    <w:rsid w:val="00425915"/>
    <w:rsid w:val="0042616F"/>
    <w:rsid w:val="00426D6C"/>
    <w:rsid w:val="004318FC"/>
    <w:rsid w:val="00431E3B"/>
    <w:rsid w:val="00432826"/>
    <w:rsid w:val="00433EAC"/>
    <w:rsid w:val="00436712"/>
    <w:rsid w:val="00436C7A"/>
    <w:rsid w:val="004418CE"/>
    <w:rsid w:val="0044424C"/>
    <w:rsid w:val="0044429C"/>
    <w:rsid w:val="00445E47"/>
    <w:rsid w:val="004549BF"/>
    <w:rsid w:val="00462067"/>
    <w:rsid w:val="00462695"/>
    <w:rsid w:val="00462B41"/>
    <w:rsid w:val="00464B20"/>
    <w:rsid w:val="00464B9A"/>
    <w:rsid w:val="00464EE2"/>
    <w:rsid w:val="0046532A"/>
    <w:rsid w:val="004656DD"/>
    <w:rsid w:val="004666D1"/>
    <w:rsid w:val="004666E9"/>
    <w:rsid w:val="00466C86"/>
    <w:rsid w:val="004805D3"/>
    <w:rsid w:val="0048430B"/>
    <w:rsid w:val="0048620A"/>
    <w:rsid w:val="00487203"/>
    <w:rsid w:val="004873F2"/>
    <w:rsid w:val="00497CF1"/>
    <w:rsid w:val="004A0583"/>
    <w:rsid w:val="004A1E0C"/>
    <w:rsid w:val="004A433E"/>
    <w:rsid w:val="004A48FB"/>
    <w:rsid w:val="004A6B8E"/>
    <w:rsid w:val="004A6C44"/>
    <w:rsid w:val="004A7AE4"/>
    <w:rsid w:val="004A7CBB"/>
    <w:rsid w:val="004B1DC2"/>
    <w:rsid w:val="004B5CDF"/>
    <w:rsid w:val="004B6948"/>
    <w:rsid w:val="004B7E3A"/>
    <w:rsid w:val="004C2DEF"/>
    <w:rsid w:val="004C3332"/>
    <w:rsid w:val="004C67E7"/>
    <w:rsid w:val="004D0AE6"/>
    <w:rsid w:val="004D2B36"/>
    <w:rsid w:val="004D2CF5"/>
    <w:rsid w:val="004D2E86"/>
    <w:rsid w:val="004D6A1C"/>
    <w:rsid w:val="004D7B33"/>
    <w:rsid w:val="004F1639"/>
    <w:rsid w:val="004F37B2"/>
    <w:rsid w:val="004F4ABD"/>
    <w:rsid w:val="004F5830"/>
    <w:rsid w:val="004F61A1"/>
    <w:rsid w:val="004F634E"/>
    <w:rsid w:val="004F7909"/>
    <w:rsid w:val="004F7A68"/>
    <w:rsid w:val="005006DF"/>
    <w:rsid w:val="005011B4"/>
    <w:rsid w:val="00502720"/>
    <w:rsid w:val="00503826"/>
    <w:rsid w:val="00503B08"/>
    <w:rsid w:val="005053F2"/>
    <w:rsid w:val="00511FD1"/>
    <w:rsid w:val="00512E2A"/>
    <w:rsid w:val="0051322F"/>
    <w:rsid w:val="0052596E"/>
    <w:rsid w:val="00525F2F"/>
    <w:rsid w:val="00526289"/>
    <w:rsid w:val="00531C86"/>
    <w:rsid w:val="00532770"/>
    <w:rsid w:val="005347BD"/>
    <w:rsid w:val="0053551A"/>
    <w:rsid w:val="00535976"/>
    <w:rsid w:val="00535E88"/>
    <w:rsid w:val="00535E96"/>
    <w:rsid w:val="00535EC8"/>
    <w:rsid w:val="00540A17"/>
    <w:rsid w:val="00540FDF"/>
    <w:rsid w:val="00545505"/>
    <w:rsid w:val="00546FC2"/>
    <w:rsid w:val="0055006F"/>
    <w:rsid w:val="00550F8D"/>
    <w:rsid w:val="00551E79"/>
    <w:rsid w:val="00555023"/>
    <w:rsid w:val="00555A75"/>
    <w:rsid w:val="00560A20"/>
    <w:rsid w:val="005612F0"/>
    <w:rsid w:val="00561DA0"/>
    <w:rsid w:val="00561E57"/>
    <w:rsid w:val="00563EF1"/>
    <w:rsid w:val="00564566"/>
    <w:rsid w:val="00564A5D"/>
    <w:rsid w:val="00566D65"/>
    <w:rsid w:val="005679B0"/>
    <w:rsid w:val="00570030"/>
    <w:rsid w:val="00571576"/>
    <w:rsid w:val="00573096"/>
    <w:rsid w:val="00573DA7"/>
    <w:rsid w:val="00575390"/>
    <w:rsid w:val="0058269E"/>
    <w:rsid w:val="00584B50"/>
    <w:rsid w:val="00586192"/>
    <w:rsid w:val="005870A1"/>
    <w:rsid w:val="00591DBC"/>
    <w:rsid w:val="005928F7"/>
    <w:rsid w:val="00593F8F"/>
    <w:rsid w:val="005B0651"/>
    <w:rsid w:val="005B113E"/>
    <w:rsid w:val="005B2542"/>
    <w:rsid w:val="005B4B31"/>
    <w:rsid w:val="005B788B"/>
    <w:rsid w:val="005C2BFB"/>
    <w:rsid w:val="005C44A8"/>
    <w:rsid w:val="005C7A07"/>
    <w:rsid w:val="005D176B"/>
    <w:rsid w:val="005D1F52"/>
    <w:rsid w:val="005D232B"/>
    <w:rsid w:val="005D2FAD"/>
    <w:rsid w:val="005D589C"/>
    <w:rsid w:val="005D5F11"/>
    <w:rsid w:val="005E024C"/>
    <w:rsid w:val="005E1CD0"/>
    <w:rsid w:val="005E2623"/>
    <w:rsid w:val="005E2A83"/>
    <w:rsid w:val="005E54BC"/>
    <w:rsid w:val="005E5DA8"/>
    <w:rsid w:val="005E6389"/>
    <w:rsid w:val="005F212E"/>
    <w:rsid w:val="005F28AE"/>
    <w:rsid w:val="00600B8B"/>
    <w:rsid w:val="00602401"/>
    <w:rsid w:val="006024FB"/>
    <w:rsid w:val="00603A63"/>
    <w:rsid w:val="006045F7"/>
    <w:rsid w:val="00605EB5"/>
    <w:rsid w:val="00620F2C"/>
    <w:rsid w:val="006227C2"/>
    <w:rsid w:val="00623B98"/>
    <w:rsid w:val="00625E9B"/>
    <w:rsid w:val="00625EA9"/>
    <w:rsid w:val="00630A64"/>
    <w:rsid w:val="00633FDD"/>
    <w:rsid w:val="006356AB"/>
    <w:rsid w:val="00642FD1"/>
    <w:rsid w:val="00643444"/>
    <w:rsid w:val="00647775"/>
    <w:rsid w:val="00654384"/>
    <w:rsid w:val="006558E0"/>
    <w:rsid w:val="00656AF6"/>
    <w:rsid w:val="00661161"/>
    <w:rsid w:val="006613FC"/>
    <w:rsid w:val="00664C52"/>
    <w:rsid w:val="00664D48"/>
    <w:rsid w:val="006660D9"/>
    <w:rsid w:val="00666788"/>
    <w:rsid w:val="006670D8"/>
    <w:rsid w:val="00670DB3"/>
    <w:rsid w:val="006723F8"/>
    <w:rsid w:val="0067498D"/>
    <w:rsid w:val="00674D70"/>
    <w:rsid w:val="0067504A"/>
    <w:rsid w:val="006751BA"/>
    <w:rsid w:val="0068159F"/>
    <w:rsid w:val="00682EBC"/>
    <w:rsid w:val="00684C40"/>
    <w:rsid w:val="00684C87"/>
    <w:rsid w:val="006856B3"/>
    <w:rsid w:val="006863EA"/>
    <w:rsid w:val="00693F6A"/>
    <w:rsid w:val="006951F2"/>
    <w:rsid w:val="006A431F"/>
    <w:rsid w:val="006A522C"/>
    <w:rsid w:val="006A711E"/>
    <w:rsid w:val="006A7CD8"/>
    <w:rsid w:val="006B06FE"/>
    <w:rsid w:val="006B4A03"/>
    <w:rsid w:val="006C4BB5"/>
    <w:rsid w:val="006C67E3"/>
    <w:rsid w:val="006D5498"/>
    <w:rsid w:val="006D7F28"/>
    <w:rsid w:val="006E165C"/>
    <w:rsid w:val="006E42CC"/>
    <w:rsid w:val="006E71A9"/>
    <w:rsid w:val="006E79E0"/>
    <w:rsid w:val="006F251D"/>
    <w:rsid w:val="006F2AEB"/>
    <w:rsid w:val="006F5512"/>
    <w:rsid w:val="0070217A"/>
    <w:rsid w:val="0070299A"/>
    <w:rsid w:val="00706341"/>
    <w:rsid w:val="007105CD"/>
    <w:rsid w:val="0071167C"/>
    <w:rsid w:val="00720E10"/>
    <w:rsid w:val="0072305D"/>
    <w:rsid w:val="00723DE4"/>
    <w:rsid w:val="00727B5B"/>
    <w:rsid w:val="00732E74"/>
    <w:rsid w:val="00734E26"/>
    <w:rsid w:val="007358F3"/>
    <w:rsid w:val="007401D7"/>
    <w:rsid w:val="00741594"/>
    <w:rsid w:val="00744CAB"/>
    <w:rsid w:val="00744CFD"/>
    <w:rsid w:val="0074660C"/>
    <w:rsid w:val="00746661"/>
    <w:rsid w:val="00750A8F"/>
    <w:rsid w:val="00750BD4"/>
    <w:rsid w:val="0075102B"/>
    <w:rsid w:val="0075102D"/>
    <w:rsid w:val="00754E81"/>
    <w:rsid w:val="00755008"/>
    <w:rsid w:val="0075602C"/>
    <w:rsid w:val="00756085"/>
    <w:rsid w:val="00761E12"/>
    <w:rsid w:val="00762CCE"/>
    <w:rsid w:val="00766DBB"/>
    <w:rsid w:val="00766E45"/>
    <w:rsid w:val="007801B4"/>
    <w:rsid w:val="00780F65"/>
    <w:rsid w:val="0078256D"/>
    <w:rsid w:val="00782E57"/>
    <w:rsid w:val="00783167"/>
    <w:rsid w:val="00783EDE"/>
    <w:rsid w:val="00784CED"/>
    <w:rsid w:val="00785600"/>
    <w:rsid w:val="00785F4A"/>
    <w:rsid w:val="00790423"/>
    <w:rsid w:val="00791FE5"/>
    <w:rsid w:val="007943D3"/>
    <w:rsid w:val="0079765C"/>
    <w:rsid w:val="007A00CB"/>
    <w:rsid w:val="007A491F"/>
    <w:rsid w:val="007A52EB"/>
    <w:rsid w:val="007A578D"/>
    <w:rsid w:val="007A72EF"/>
    <w:rsid w:val="007B03D6"/>
    <w:rsid w:val="007B5D72"/>
    <w:rsid w:val="007C24C4"/>
    <w:rsid w:val="007C62B9"/>
    <w:rsid w:val="007C749D"/>
    <w:rsid w:val="007D102F"/>
    <w:rsid w:val="007D13FA"/>
    <w:rsid w:val="007D16FF"/>
    <w:rsid w:val="007D2B5C"/>
    <w:rsid w:val="007D3176"/>
    <w:rsid w:val="007D56B9"/>
    <w:rsid w:val="007E40C4"/>
    <w:rsid w:val="007E53B4"/>
    <w:rsid w:val="007E66A5"/>
    <w:rsid w:val="007E7836"/>
    <w:rsid w:val="007E7CD5"/>
    <w:rsid w:val="007F64F7"/>
    <w:rsid w:val="008015C1"/>
    <w:rsid w:val="00804EAB"/>
    <w:rsid w:val="00807479"/>
    <w:rsid w:val="00812863"/>
    <w:rsid w:val="00813F8A"/>
    <w:rsid w:val="00820D1F"/>
    <w:rsid w:val="0082350D"/>
    <w:rsid w:val="00823F39"/>
    <w:rsid w:val="00825103"/>
    <w:rsid w:val="00825442"/>
    <w:rsid w:val="00826487"/>
    <w:rsid w:val="00832111"/>
    <w:rsid w:val="00832ABC"/>
    <w:rsid w:val="00833421"/>
    <w:rsid w:val="00834333"/>
    <w:rsid w:val="0083502E"/>
    <w:rsid w:val="00835858"/>
    <w:rsid w:val="00835ACA"/>
    <w:rsid w:val="00836EC3"/>
    <w:rsid w:val="00840E9E"/>
    <w:rsid w:val="00841D41"/>
    <w:rsid w:val="00843A62"/>
    <w:rsid w:val="00845B51"/>
    <w:rsid w:val="00845C9A"/>
    <w:rsid w:val="0084632B"/>
    <w:rsid w:val="00850218"/>
    <w:rsid w:val="0085326D"/>
    <w:rsid w:val="00854E4B"/>
    <w:rsid w:val="00856F05"/>
    <w:rsid w:val="00862C36"/>
    <w:rsid w:val="008737B1"/>
    <w:rsid w:val="00875CB3"/>
    <w:rsid w:val="00876F99"/>
    <w:rsid w:val="0088217E"/>
    <w:rsid w:val="00882F12"/>
    <w:rsid w:val="008849E5"/>
    <w:rsid w:val="00887D28"/>
    <w:rsid w:val="00893173"/>
    <w:rsid w:val="00896F96"/>
    <w:rsid w:val="008A13B1"/>
    <w:rsid w:val="008A1A35"/>
    <w:rsid w:val="008A47A9"/>
    <w:rsid w:val="008A50D5"/>
    <w:rsid w:val="008B197C"/>
    <w:rsid w:val="008B2943"/>
    <w:rsid w:val="008B3501"/>
    <w:rsid w:val="008B603B"/>
    <w:rsid w:val="008B7E11"/>
    <w:rsid w:val="008C545A"/>
    <w:rsid w:val="008C631D"/>
    <w:rsid w:val="008C635F"/>
    <w:rsid w:val="008C6C1D"/>
    <w:rsid w:val="008D2D95"/>
    <w:rsid w:val="008D31DB"/>
    <w:rsid w:val="008D5698"/>
    <w:rsid w:val="008E0BDE"/>
    <w:rsid w:val="008E17E6"/>
    <w:rsid w:val="008E2E86"/>
    <w:rsid w:val="008E3588"/>
    <w:rsid w:val="008F08ED"/>
    <w:rsid w:val="008F1406"/>
    <w:rsid w:val="008F1FF4"/>
    <w:rsid w:val="008F2C84"/>
    <w:rsid w:val="008F50D5"/>
    <w:rsid w:val="008F631D"/>
    <w:rsid w:val="0090085F"/>
    <w:rsid w:val="00902134"/>
    <w:rsid w:val="00902AF5"/>
    <w:rsid w:val="009035AF"/>
    <w:rsid w:val="00904205"/>
    <w:rsid w:val="00904ECD"/>
    <w:rsid w:val="00905977"/>
    <w:rsid w:val="00906414"/>
    <w:rsid w:val="0091012B"/>
    <w:rsid w:val="0091189A"/>
    <w:rsid w:val="0091334A"/>
    <w:rsid w:val="00914EE4"/>
    <w:rsid w:val="00922D6D"/>
    <w:rsid w:val="00923672"/>
    <w:rsid w:val="00926BDA"/>
    <w:rsid w:val="00927D41"/>
    <w:rsid w:val="0093073E"/>
    <w:rsid w:val="00931072"/>
    <w:rsid w:val="00931182"/>
    <w:rsid w:val="009316DA"/>
    <w:rsid w:val="00932B1F"/>
    <w:rsid w:val="00935218"/>
    <w:rsid w:val="00940AD5"/>
    <w:rsid w:val="00941BB7"/>
    <w:rsid w:val="009429BE"/>
    <w:rsid w:val="0095175E"/>
    <w:rsid w:val="00952CAE"/>
    <w:rsid w:val="00957257"/>
    <w:rsid w:val="0096279C"/>
    <w:rsid w:val="009631E8"/>
    <w:rsid w:val="009675BE"/>
    <w:rsid w:val="00970FC7"/>
    <w:rsid w:val="00972DC1"/>
    <w:rsid w:val="00974225"/>
    <w:rsid w:val="0097613B"/>
    <w:rsid w:val="00976F4F"/>
    <w:rsid w:val="00980A8E"/>
    <w:rsid w:val="00983B0C"/>
    <w:rsid w:val="00985602"/>
    <w:rsid w:val="00990752"/>
    <w:rsid w:val="009910B5"/>
    <w:rsid w:val="00991FD1"/>
    <w:rsid w:val="00994EF0"/>
    <w:rsid w:val="009969E0"/>
    <w:rsid w:val="009A0B38"/>
    <w:rsid w:val="009A1DB0"/>
    <w:rsid w:val="009A4439"/>
    <w:rsid w:val="009A54F1"/>
    <w:rsid w:val="009A555F"/>
    <w:rsid w:val="009A77CB"/>
    <w:rsid w:val="009B50D6"/>
    <w:rsid w:val="009B672D"/>
    <w:rsid w:val="009B7F4E"/>
    <w:rsid w:val="009C0820"/>
    <w:rsid w:val="009C0DD3"/>
    <w:rsid w:val="009C1F71"/>
    <w:rsid w:val="009C2CB2"/>
    <w:rsid w:val="009C4E11"/>
    <w:rsid w:val="009C6E14"/>
    <w:rsid w:val="009C7751"/>
    <w:rsid w:val="009C7764"/>
    <w:rsid w:val="009C7E7F"/>
    <w:rsid w:val="009D14F9"/>
    <w:rsid w:val="009D1506"/>
    <w:rsid w:val="009D1F55"/>
    <w:rsid w:val="009D28D7"/>
    <w:rsid w:val="009D3CD8"/>
    <w:rsid w:val="009D441E"/>
    <w:rsid w:val="009D645B"/>
    <w:rsid w:val="009E31CE"/>
    <w:rsid w:val="009E5360"/>
    <w:rsid w:val="009E57B3"/>
    <w:rsid w:val="009E62C3"/>
    <w:rsid w:val="009E7045"/>
    <w:rsid w:val="009E78C8"/>
    <w:rsid w:val="009F1BEB"/>
    <w:rsid w:val="009F5D90"/>
    <w:rsid w:val="00A0004F"/>
    <w:rsid w:val="00A016E9"/>
    <w:rsid w:val="00A03298"/>
    <w:rsid w:val="00A0654E"/>
    <w:rsid w:val="00A07428"/>
    <w:rsid w:val="00A108A6"/>
    <w:rsid w:val="00A11BFB"/>
    <w:rsid w:val="00A13365"/>
    <w:rsid w:val="00A13F49"/>
    <w:rsid w:val="00A15297"/>
    <w:rsid w:val="00A17BDC"/>
    <w:rsid w:val="00A2065B"/>
    <w:rsid w:val="00A23B2C"/>
    <w:rsid w:val="00A26418"/>
    <w:rsid w:val="00A343D4"/>
    <w:rsid w:val="00A34DB1"/>
    <w:rsid w:val="00A34DD4"/>
    <w:rsid w:val="00A416AA"/>
    <w:rsid w:val="00A42B13"/>
    <w:rsid w:val="00A44FEF"/>
    <w:rsid w:val="00A527E3"/>
    <w:rsid w:val="00A55BE0"/>
    <w:rsid w:val="00A5735F"/>
    <w:rsid w:val="00A60DF1"/>
    <w:rsid w:val="00A637CD"/>
    <w:rsid w:val="00A63C94"/>
    <w:rsid w:val="00A64B37"/>
    <w:rsid w:val="00A65C8B"/>
    <w:rsid w:val="00A73386"/>
    <w:rsid w:val="00A76C87"/>
    <w:rsid w:val="00A77554"/>
    <w:rsid w:val="00A80A8E"/>
    <w:rsid w:val="00A81AF0"/>
    <w:rsid w:val="00A829AD"/>
    <w:rsid w:val="00A82CFD"/>
    <w:rsid w:val="00A86207"/>
    <w:rsid w:val="00A906FD"/>
    <w:rsid w:val="00A90F84"/>
    <w:rsid w:val="00A939C8"/>
    <w:rsid w:val="00A93A85"/>
    <w:rsid w:val="00A96D35"/>
    <w:rsid w:val="00AB0C2B"/>
    <w:rsid w:val="00AB16E3"/>
    <w:rsid w:val="00AC1135"/>
    <w:rsid w:val="00AC1C10"/>
    <w:rsid w:val="00AC4716"/>
    <w:rsid w:val="00AD0492"/>
    <w:rsid w:val="00AD07ED"/>
    <w:rsid w:val="00AE03A5"/>
    <w:rsid w:val="00AE0FC3"/>
    <w:rsid w:val="00AE2218"/>
    <w:rsid w:val="00AE479F"/>
    <w:rsid w:val="00AE4F72"/>
    <w:rsid w:val="00AE61BF"/>
    <w:rsid w:val="00AE6332"/>
    <w:rsid w:val="00AF0601"/>
    <w:rsid w:val="00AF13D9"/>
    <w:rsid w:val="00AF3323"/>
    <w:rsid w:val="00AF3B1E"/>
    <w:rsid w:val="00AF7BE8"/>
    <w:rsid w:val="00B01381"/>
    <w:rsid w:val="00B01C02"/>
    <w:rsid w:val="00B0219F"/>
    <w:rsid w:val="00B03ADD"/>
    <w:rsid w:val="00B05B84"/>
    <w:rsid w:val="00B05FF3"/>
    <w:rsid w:val="00B0758E"/>
    <w:rsid w:val="00B13BEB"/>
    <w:rsid w:val="00B14E66"/>
    <w:rsid w:val="00B15AB8"/>
    <w:rsid w:val="00B1698C"/>
    <w:rsid w:val="00B17F50"/>
    <w:rsid w:val="00B207F3"/>
    <w:rsid w:val="00B22268"/>
    <w:rsid w:val="00B2333C"/>
    <w:rsid w:val="00B24C70"/>
    <w:rsid w:val="00B26306"/>
    <w:rsid w:val="00B30C38"/>
    <w:rsid w:val="00B36DF7"/>
    <w:rsid w:val="00B45823"/>
    <w:rsid w:val="00B50CCC"/>
    <w:rsid w:val="00B51230"/>
    <w:rsid w:val="00B51310"/>
    <w:rsid w:val="00B51D96"/>
    <w:rsid w:val="00B54BBE"/>
    <w:rsid w:val="00B550C7"/>
    <w:rsid w:val="00B55C84"/>
    <w:rsid w:val="00B6068B"/>
    <w:rsid w:val="00B6115D"/>
    <w:rsid w:val="00B628C6"/>
    <w:rsid w:val="00B63186"/>
    <w:rsid w:val="00B647A2"/>
    <w:rsid w:val="00B6616B"/>
    <w:rsid w:val="00B6700D"/>
    <w:rsid w:val="00B72F2A"/>
    <w:rsid w:val="00B7381E"/>
    <w:rsid w:val="00B7695E"/>
    <w:rsid w:val="00B80181"/>
    <w:rsid w:val="00B8169A"/>
    <w:rsid w:val="00B84B5C"/>
    <w:rsid w:val="00B85B59"/>
    <w:rsid w:val="00B867A1"/>
    <w:rsid w:val="00B91F19"/>
    <w:rsid w:val="00B93788"/>
    <w:rsid w:val="00B938EA"/>
    <w:rsid w:val="00B96CD5"/>
    <w:rsid w:val="00BA0273"/>
    <w:rsid w:val="00BA049E"/>
    <w:rsid w:val="00BA153D"/>
    <w:rsid w:val="00BA2378"/>
    <w:rsid w:val="00BA6122"/>
    <w:rsid w:val="00BA69AA"/>
    <w:rsid w:val="00BB0C95"/>
    <w:rsid w:val="00BB147F"/>
    <w:rsid w:val="00BB1847"/>
    <w:rsid w:val="00BB1FE8"/>
    <w:rsid w:val="00BB1FEB"/>
    <w:rsid w:val="00BB2107"/>
    <w:rsid w:val="00BB2148"/>
    <w:rsid w:val="00BB2BEA"/>
    <w:rsid w:val="00BB5963"/>
    <w:rsid w:val="00BB5B84"/>
    <w:rsid w:val="00BB7CDA"/>
    <w:rsid w:val="00BC13D3"/>
    <w:rsid w:val="00BC14F2"/>
    <w:rsid w:val="00BC17C2"/>
    <w:rsid w:val="00BC23F4"/>
    <w:rsid w:val="00BC7C41"/>
    <w:rsid w:val="00BD350D"/>
    <w:rsid w:val="00BD4C8B"/>
    <w:rsid w:val="00BD4C99"/>
    <w:rsid w:val="00BD5F82"/>
    <w:rsid w:val="00BD7A0D"/>
    <w:rsid w:val="00BD7FC5"/>
    <w:rsid w:val="00BE5FF8"/>
    <w:rsid w:val="00BE648D"/>
    <w:rsid w:val="00BF72AC"/>
    <w:rsid w:val="00C078EB"/>
    <w:rsid w:val="00C079BB"/>
    <w:rsid w:val="00C10677"/>
    <w:rsid w:val="00C112C3"/>
    <w:rsid w:val="00C1555A"/>
    <w:rsid w:val="00C1685E"/>
    <w:rsid w:val="00C16F0C"/>
    <w:rsid w:val="00C17C6C"/>
    <w:rsid w:val="00C23261"/>
    <w:rsid w:val="00C353EF"/>
    <w:rsid w:val="00C3632D"/>
    <w:rsid w:val="00C36EC8"/>
    <w:rsid w:val="00C40C2B"/>
    <w:rsid w:val="00C418F6"/>
    <w:rsid w:val="00C4231F"/>
    <w:rsid w:val="00C432FF"/>
    <w:rsid w:val="00C45B57"/>
    <w:rsid w:val="00C51EFC"/>
    <w:rsid w:val="00C524AC"/>
    <w:rsid w:val="00C60F5A"/>
    <w:rsid w:val="00C61AE0"/>
    <w:rsid w:val="00C61BA3"/>
    <w:rsid w:val="00C61FBF"/>
    <w:rsid w:val="00C65035"/>
    <w:rsid w:val="00C65E6C"/>
    <w:rsid w:val="00C70885"/>
    <w:rsid w:val="00C73566"/>
    <w:rsid w:val="00C7443A"/>
    <w:rsid w:val="00C75634"/>
    <w:rsid w:val="00C761B5"/>
    <w:rsid w:val="00C77BF0"/>
    <w:rsid w:val="00C87D0B"/>
    <w:rsid w:val="00CA4806"/>
    <w:rsid w:val="00CA5B66"/>
    <w:rsid w:val="00CA61C3"/>
    <w:rsid w:val="00CB11CC"/>
    <w:rsid w:val="00CB5ADC"/>
    <w:rsid w:val="00CC06D6"/>
    <w:rsid w:val="00CC0F60"/>
    <w:rsid w:val="00CC3C99"/>
    <w:rsid w:val="00CD24C6"/>
    <w:rsid w:val="00CD490E"/>
    <w:rsid w:val="00CD4F65"/>
    <w:rsid w:val="00CD53C4"/>
    <w:rsid w:val="00CD76AA"/>
    <w:rsid w:val="00CE24A2"/>
    <w:rsid w:val="00CE24D2"/>
    <w:rsid w:val="00CE3D3A"/>
    <w:rsid w:val="00CF26DD"/>
    <w:rsid w:val="00CF5617"/>
    <w:rsid w:val="00CF7449"/>
    <w:rsid w:val="00D0139F"/>
    <w:rsid w:val="00D07670"/>
    <w:rsid w:val="00D079CE"/>
    <w:rsid w:val="00D1042B"/>
    <w:rsid w:val="00D10449"/>
    <w:rsid w:val="00D11AA6"/>
    <w:rsid w:val="00D11E97"/>
    <w:rsid w:val="00D11EEE"/>
    <w:rsid w:val="00D122CD"/>
    <w:rsid w:val="00D12FF0"/>
    <w:rsid w:val="00D1667A"/>
    <w:rsid w:val="00D17B66"/>
    <w:rsid w:val="00D26A1D"/>
    <w:rsid w:val="00D3072F"/>
    <w:rsid w:val="00D41830"/>
    <w:rsid w:val="00D41E87"/>
    <w:rsid w:val="00D42A37"/>
    <w:rsid w:val="00D47C35"/>
    <w:rsid w:val="00D511D2"/>
    <w:rsid w:val="00D5164D"/>
    <w:rsid w:val="00D6188D"/>
    <w:rsid w:val="00D61E72"/>
    <w:rsid w:val="00D62E99"/>
    <w:rsid w:val="00D64643"/>
    <w:rsid w:val="00D66D8A"/>
    <w:rsid w:val="00D704C3"/>
    <w:rsid w:val="00D70A9F"/>
    <w:rsid w:val="00D70C46"/>
    <w:rsid w:val="00D7313C"/>
    <w:rsid w:val="00D73228"/>
    <w:rsid w:val="00D73509"/>
    <w:rsid w:val="00D73902"/>
    <w:rsid w:val="00D8243D"/>
    <w:rsid w:val="00D83349"/>
    <w:rsid w:val="00D85550"/>
    <w:rsid w:val="00D85992"/>
    <w:rsid w:val="00D866F0"/>
    <w:rsid w:val="00D916D6"/>
    <w:rsid w:val="00D9371F"/>
    <w:rsid w:val="00D94DED"/>
    <w:rsid w:val="00D9658F"/>
    <w:rsid w:val="00D97CA9"/>
    <w:rsid w:val="00DA0018"/>
    <w:rsid w:val="00DA143C"/>
    <w:rsid w:val="00DA49AD"/>
    <w:rsid w:val="00DA49E7"/>
    <w:rsid w:val="00DA6279"/>
    <w:rsid w:val="00DB4373"/>
    <w:rsid w:val="00DB4481"/>
    <w:rsid w:val="00DB4600"/>
    <w:rsid w:val="00DB513E"/>
    <w:rsid w:val="00DB6C60"/>
    <w:rsid w:val="00DC2611"/>
    <w:rsid w:val="00DC5823"/>
    <w:rsid w:val="00DC5FD4"/>
    <w:rsid w:val="00DC716A"/>
    <w:rsid w:val="00DD0852"/>
    <w:rsid w:val="00DD0A5F"/>
    <w:rsid w:val="00DD1CE0"/>
    <w:rsid w:val="00DD3E5D"/>
    <w:rsid w:val="00DD7FBA"/>
    <w:rsid w:val="00DD7FF0"/>
    <w:rsid w:val="00DE0D62"/>
    <w:rsid w:val="00DE365E"/>
    <w:rsid w:val="00DE57D1"/>
    <w:rsid w:val="00DF1307"/>
    <w:rsid w:val="00E03699"/>
    <w:rsid w:val="00E12653"/>
    <w:rsid w:val="00E13791"/>
    <w:rsid w:val="00E17C09"/>
    <w:rsid w:val="00E220E8"/>
    <w:rsid w:val="00E33337"/>
    <w:rsid w:val="00E378C2"/>
    <w:rsid w:val="00E4061C"/>
    <w:rsid w:val="00E45D76"/>
    <w:rsid w:val="00E471B7"/>
    <w:rsid w:val="00E47333"/>
    <w:rsid w:val="00E50E06"/>
    <w:rsid w:val="00E518C6"/>
    <w:rsid w:val="00E55BA8"/>
    <w:rsid w:val="00E57AAF"/>
    <w:rsid w:val="00E645B4"/>
    <w:rsid w:val="00E6538B"/>
    <w:rsid w:val="00E654BB"/>
    <w:rsid w:val="00E71A79"/>
    <w:rsid w:val="00E72B20"/>
    <w:rsid w:val="00E7440F"/>
    <w:rsid w:val="00E74727"/>
    <w:rsid w:val="00E74BB9"/>
    <w:rsid w:val="00E75ADD"/>
    <w:rsid w:val="00E775DB"/>
    <w:rsid w:val="00E829D0"/>
    <w:rsid w:val="00E83E6B"/>
    <w:rsid w:val="00E87C43"/>
    <w:rsid w:val="00E92B87"/>
    <w:rsid w:val="00E95787"/>
    <w:rsid w:val="00E9719D"/>
    <w:rsid w:val="00EA0D13"/>
    <w:rsid w:val="00EA491E"/>
    <w:rsid w:val="00EA51A7"/>
    <w:rsid w:val="00EA5BDE"/>
    <w:rsid w:val="00EA5D73"/>
    <w:rsid w:val="00EB07B1"/>
    <w:rsid w:val="00EB3FA3"/>
    <w:rsid w:val="00EB4D3E"/>
    <w:rsid w:val="00EC423F"/>
    <w:rsid w:val="00ED0055"/>
    <w:rsid w:val="00ED0067"/>
    <w:rsid w:val="00ED2424"/>
    <w:rsid w:val="00ED4056"/>
    <w:rsid w:val="00ED6EA4"/>
    <w:rsid w:val="00ED7D9F"/>
    <w:rsid w:val="00EE0C02"/>
    <w:rsid w:val="00EE4465"/>
    <w:rsid w:val="00EF02F3"/>
    <w:rsid w:val="00EF1566"/>
    <w:rsid w:val="00EF29A5"/>
    <w:rsid w:val="00EF4B82"/>
    <w:rsid w:val="00EF58F8"/>
    <w:rsid w:val="00F03015"/>
    <w:rsid w:val="00F06B85"/>
    <w:rsid w:val="00F11004"/>
    <w:rsid w:val="00F1131A"/>
    <w:rsid w:val="00F113C9"/>
    <w:rsid w:val="00F119BD"/>
    <w:rsid w:val="00F159F1"/>
    <w:rsid w:val="00F26BD4"/>
    <w:rsid w:val="00F27AA8"/>
    <w:rsid w:val="00F318B7"/>
    <w:rsid w:val="00F33196"/>
    <w:rsid w:val="00F33688"/>
    <w:rsid w:val="00F375DE"/>
    <w:rsid w:val="00F41F39"/>
    <w:rsid w:val="00F431D1"/>
    <w:rsid w:val="00F45226"/>
    <w:rsid w:val="00F47A22"/>
    <w:rsid w:val="00F51088"/>
    <w:rsid w:val="00F52540"/>
    <w:rsid w:val="00F55F82"/>
    <w:rsid w:val="00F6034A"/>
    <w:rsid w:val="00F62746"/>
    <w:rsid w:val="00F62EEC"/>
    <w:rsid w:val="00F63D80"/>
    <w:rsid w:val="00F64516"/>
    <w:rsid w:val="00F65D45"/>
    <w:rsid w:val="00F70BF9"/>
    <w:rsid w:val="00F720D6"/>
    <w:rsid w:val="00F83902"/>
    <w:rsid w:val="00F8419F"/>
    <w:rsid w:val="00F85390"/>
    <w:rsid w:val="00F869F4"/>
    <w:rsid w:val="00F879C8"/>
    <w:rsid w:val="00F91356"/>
    <w:rsid w:val="00F915EF"/>
    <w:rsid w:val="00F92BD7"/>
    <w:rsid w:val="00F957C7"/>
    <w:rsid w:val="00F962A2"/>
    <w:rsid w:val="00FA008D"/>
    <w:rsid w:val="00FA1689"/>
    <w:rsid w:val="00FA243A"/>
    <w:rsid w:val="00FA27AE"/>
    <w:rsid w:val="00FA590E"/>
    <w:rsid w:val="00FB089C"/>
    <w:rsid w:val="00FB1662"/>
    <w:rsid w:val="00FB3202"/>
    <w:rsid w:val="00FB43E1"/>
    <w:rsid w:val="00FB44B1"/>
    <w:rsid w:val="00FB73D5"/>
    <w:rsid w:val="00FC0467"/>
    <w:rsid w:val="00FC1992"/>
    <w:rsid w:val="00FC30C3"/>
    <w:rsid w:val="00FC556B"/>
    <w:rsid w:val="00FC6B76"/>
    <w:rsid w:val="00FD0117"/>
    <w:rsid w:val="00FD22BD"/>
    <w:rsid w:val="00FD3DFD"/>
    <w:rsid w:val="00FD4931"/>
    <w:rsid w:val="00FD5589"/>
    <w:rsid w:val="00FE0D8A"/>
    <w:rsid w:val="00FE16A2"/>
    <w:rsid w:val="00FE2A43"/>
    <w:rsid w:val="00FE3FEA"/>
    <w:rsid w:val="00FE4C64"/>
    <w:rsid w:val="00FE6372"/>
    <w:rsid w:val="00FF41C8"/>
    <w:rsid w:val="00FF64D2"/>
    <w:rsid w:val="00FF7705"/>
    <w:rsid w:val="00FF7CBA"/>
    <w:rsid w:val="01601AF4"/>
    <w:rsid w:val="01A9153F"/>
    <w:rsid w:val="01F04525"/>
    <w:rsid w:val="02001BAF"/>
    <w:rsid w:val="020D00D1"/>
    <w:rsid w:val="022D13A2"/>
    <w:rsid w:val="02E03DE4"/>
    <w:rsid w:val="03AD5F56"/>
    <w:rsid w:val="03B77CC6"/>
    <w:rsid w:val="03D405B6"/>
    <w:rsid w:val="03DF167A"/>
    <w:rsid w:val="042E64E1"/>
    <w:rsid w:val="049C384F"/>
    <w:rsid w:val="04FA376F"/>
    <w:rsid w:val="05184551"/>
    <w:rsid w:val="05AB2B43"/>
    <w:rsid w:val="05CA68E5"/>
    <w:rsid w:val="0613465A"/>
    <w:rsid w:val="06A808C7"/>
    <w:rsid w:val="070A543F"/>
    <w:rsid w:val="072E1CDE"/>
    <w:rsid w:val="075C71C3"/>
    <w:rsid w:val="0828447A"/>
    <w:rsid w:val="08E66CC3"/>
    <w:rsid w:val="09211AA9"/>
    <w:rsid w:val="09263E73"/>
    <w:rsid w:val="093F222A"/>
    <w:rsid w:val="0AE9197D"/>
    <w:rsid w:val="0B1A47F1"/>
    <w:rsid w:val="0B7F11E4"/>
    <w:rsid w:val="0BED1382"/>
    <w:rsid w:val="0CB67610"/>
    <w:rsid w:val="0CDF0B75"/>
    <w:rsid w:val="0CE626E9"/>
    <w:rsid w:val="0D93712F"/>
    <w:rsid w:val="0DD743C7"/>
    <w:rsid w:val="0DDB7D1D"/>
    <w:rsid w:val="0DE97F2D"/>
    <w:rsid w:val="0DEE1D20"/>
    <w:rsid w:val="0E313A46"/>
    <w:rsid w:val="0E4B76B1"/>
    <w:rsid w:val="0EBA4E8E"/>
    <w:rsid w:val="0EC817E1"/>
    <w:rsid w:val="0F4B58AE"/>
    <w:rsid w:val="0F51525F"/>
    <w:rsid w:val="0F8410F1"/>
    <w:rsid w:val="0FD71078"/>
    <w:rsid w:val="0FE94AC9"/>
    <w:rsid w:val="100E370C"/>
    <w:rsid w:val="101F4FD6"/>
    <w:rsid w:val="104753D0"/>
    <w:rsid w:val="10A00E68"/>
    <w:rsid w:val="10AA6603"/>
    <w:rsid w:val="116C10C3"/>
    <w:rsid w:val="11A47C41"/>
    <w:rsid w:val="11AD3180"/>
    <w:rsid w:val="11B93D51"/>
    <w:rsid w:val="125F0050"/>
    <w:rsid w:val="12631DAC"/>
    <w:rsid w:val="126C2F65"/>
    <w:rsid w:val="12D7692D"/>
    <w:rsid w:val="12ED1227"/>
    <w:rsid w:val="13956F89"/>
    <w:rsid w:val="13A93E69"/>
    <w:rsid w:val="13B35F66"/>
    <w:rsid w:val="13BB233A"/>
    <w:rsid w:val="13F81A22"/>
    <w:rsid w:val="14070C3A"/>
    <w:rsid w:val="141F167C"/>
    <w:rsid w:val="14574B4B"/>
    <w:rsid w:val="146D5B57"/>
    <w:rsid w:val="14AE0807"/>
    <w:rsid w:val="14CC7904"/>
    <w:rsid w:val="156C3BD0"/>
    <w:rsid w:val="15D00540"/>
    <w:rsid w:val="15D220A2"/>
    <w:rsid w:val="160749F7"/>
    <w:rsid w:val="163B222F"/>
    <w:rsid w:val="16432A0E"/>
    <w:rsid w:val="16516ED4"/>
    <w:rsid w:val="16575A75"/>
    <w:rsid w:val="1743234C"/>
    <w:rsid w:val="175E3FE1"/>
    <w:rsid w:val="18143A6E"/>
    <w:rsid w:val="189F62E9"/>
    <w:rsid w:val="18D16DE5"/>
    <w:rsid w:val="18FA1FDF"/>
    <w:rsid w:val="190A4F95"/>
    <w:rsid w:val="19252FC5"/>
    <w:rsid w:val="192837D7"/>
    <w:rsid w:val="194C0705"/>
    <w:rsid w:val="19724E33"/>
    <w:rsid w:val="19B16306"/>
    <w:rsid w:val="1A03759C"/>
    <w:rsid w:val="1A226A05"/>
    <w:rsid w:val="1A2D4254"/>
    <w:rsid w:val="1B255867"/>
    <w:rsid w:val="1BAB2ADA"/>
    <w:rsid w:val="1BDE4BDC"/>
    <w:rsid w:val="1BEC395F"/>
    <w:rsid w:val="1C032F0B"/>
    <w:rsid w:val="1CA23A29"/>
    <w:rsid w:val="1CED538E"/>
    <w:rsid w:val="1D242BA8"/>
    <w:rsid w:val="1D322287"/>
    <w:rsid w:val="1DB33E8E"/>
    <w:rsid w:val="1E612271"/>
    <w:rsid w:val="1F0056FF"/>
    <w:rsid w:val="1F3D13E5"/>
    <w:rsid w:val="1F4405A2"/>
    <w:rsid w:val="1F937AFF"/>
    <w:rsid w:val="1FB11AE1"/>
    <w:rsid w:val="1FE371F5"/>
    <w:rsid w:val="20576552"/>
    <w:rsid w:val="207B6FBC"/>
    <w:rsid w:val="208910B4"/>
    <w:rsid w:val="20D214A0"/>
    <w:rsid w:val="20ED26C9"/>
    <w:rsid w:val="2100285A"/>
    <w:rsid w:val="215150E9"/>
    <w:rsid w:val="217B3E77"/>
    <w:rsid w:val="21962EF3"/>
    <w:rsid w:val="21EE3E5F"/>
    <w:rsid w:val="22B367FF"/>
    <w:rsid w:val="22C529B8"/>
    <w:rsid w:val="24097B37"/>
    <w:rsid w:val="2429405F"/>
    <w:rsid w:val="24346182"/>
    <w:rsid w:val="251F50EE"/>
    <w:rsid w:val="255E65BB"/>
    <w:rsid w:val="255F6C1A"/>
    <w:rsid w:val="25652E0D"/>
    <w:rsid w:val="25A65352"/>
    <w:rsid w:val="26C77B55"/>
    <w:rsid w:val="275E12FB"/>
    <w:rsid w:val="27635B66"/>
    <w:rsid w:val="28081878"/>
    <w:rsid w:val="285B7111"/>
    <w:rsid w:val="28B158F5"/>
    <w:rsid w:val="28DA4074"/>
    <w:rsid w:val="291C32C5"/>
    <w:rsid w:val="291F0838"/>
    <w:rsid w:val="2A2C74BF"/>
    <w:rsid w:val="2AC56B11"/>
    <w:rsid w:val="2B815C52"/>
    <w:rsid w:val="2B8B431D"/>
    <w:rsid w:val="2BA5475E"/>
    <w:rsid w:val="2BC14913"/>
    <w:rsid w:val="2CE51CD6"/>
    <w:rsid w:val="2D93017B"/>
    <w:rsid w:val="2DE858AF"/>
    <w:rsid w:val="2E1F3CCC"/>
    <w:rsid w:val="2E241037"/>
    <w:rsid w:val="2E3D5C30"/>
    <w:rsid w:val="2EAA40B1"/>
    <w:rsid w:val="2EB0413E"/>
    <w:rsid w:val="2ED955A4"/>
    <w:rsid w:val="2F0D4585"/>
    <w:rsid w:val="2F134EAF"/>
    <w:rsid w:val="2F305098"/>
    <w:rsid w:val="2F6B2827"/>
    <w:rsid w:val="2FB73BA3"/>
    <w:rsid w:val="2FD7684B"/>
    <w:rsid w:val="309779E2"/>
    <w:rsid w:val="317E29E2"/>
    <w:rsid w:val="31C43E3D"/>
    <w:rsid w:val="31D116D5"/>
    <w:rsid w:val="31E75934"/>
    <w:rsid w:val="320C534F"/>
    <w:rsid w:val="32935CB9"/>
    <w:rsid w:val="32AC532A"/>
    <w:rsid w:val="32B5752B"/>
    <w:rsid w:val="32CF0705"/>
    <w:rsid w:val="32D85C89"/>
    <w:rsid w:val="32E700C4"/>
    <w:rsid w:val="33AA74E6"/>
    <w:rsid w:val="33E13E5B"/>
    <w:rsid w:val="33F773F6"/>
    <w:rsid w:val="34A51C16"/>
    <w:rsid w:val="34D43B4D"/>
    <w:rsid w:val="365039C3"/>
    <w:rsid w:val="368B2670"/>
    <w:rsid w:val="36A16F1E"/>
    <w:rsid w:val="36C144CA"/>
    <w:rsid w:val="36E7247E"/>
    <w:rsid w:val="370755FD"/>
    <w:rsid w:val="385222F2"/>
    <w:rsid w:val="389D580D"/>
    <w:rsid w:val="38ED2DB0"/>
    <w:rsid w:val="391D521B"/>
    <w:rsid w:val="39AE2066"/>
    <w:rsid w:val="39FE01BD"/>
    <w:rsid w:val="3A1F0F6A"/>
    <w:rsid w:val="3A855466"/>
    <w:rsid w:val="3AB70F1D"/>
    <w:rsid w:val="3AC07D99"/>
    <w:rsid w:val="3AE023E7"/>
    <w:rsid w:val="3B152B6B"/>
    <w:rsid w:val="3B5F3A71"/>
    <w:rsid w:val="3B7874A7"/>
    <w:rsid w:val="3BA66606"/>
    <w:rsid w:val="3BB32F51"/>
    <w:rsid w:val="3BC10995"/>
    <w:rsid w:val="3BEB26A2"/>
    <w:rsid w:val="3C134C14"/>
    <w:rsid w:val="3C8F19B7"/>
    <w:rsid w:val="3CDA0982"/>
    <w:rsid w:val="3CFD5DE4"/>
    <w:rsid w:val="3D391FA3"/>
    <w:rsid w:val="3D496109"/>
    <w:rsid w:val="3D636F37"/>
    <w:rsid w:val="3D847687"/>
    <w:rsid w:val="3D9C468C"/>
    <w:rsid w:val="3DB457B2"/>
    <w:rsid w:val="3DC36C08"/>
    <w:rsid w:val="3DCF0F63"/>
    <w:rsid w:val="3DD54F49"/>
    <w:rsid w:val="3E433E30"/>
    <w:rsid w:val="3E7E31AB"/>
    <w:rsid w:val="3EA83556"/>
    <w:rsid w:val="3F1E5859"/>
    <w:rsid w:val="3F3E3D93"/>
    <w:rsid w:val="400C75DD"/>
    <w:rsid w:val="40BD01CF"/>
    <w:rsid w:val="40C44510"/>
    <w:rsid w:val="40FB0083"/>
    <w:rsid w:val="41662021"/>
    <w:rsid w:val="418B726E"/>
    <w:rsid w:val="41E718E7"/>
    <w:rsid w:val="429E1C7D"/>
    <w:rsid w:val="42BC1E26"/>
    <w:rsid w:val="42CD47D8"/>
    <w:rsid w:val="42D93E04"/>
    <w:rsid w:val="438228DA"/>
    <w:rsid w:val="43D140FB"/>
    <w:rsid w:val="43F44A90"/>
    <w:rsid w:val="44883502"/>
    <w:rsid w:val="451D2507"/>
    <w:rsid w:val="457110FB"/>
    <w:rsid w:val="464E6D6A"/>
    <w:rsid w:val="4705537E"/>
    <w:rsid w:val="47275F84"/>
    <w:rsid w:val="47D9663A"/>
    <w:rsid w:val="489E79C5"/>
    <w:rsid w:val="4A3C0204"/>
    <w:rsid w:val="4A6843A6"/>
    <w:rsid w:val="4A7C2F5C"/>
    <w:rsid w:val="4AE55123"/>
    <w:rsid w:val="4B6C246B"/>
    <w:rsid w:val="4B751910"/>
    <w:rsid w:val="4B8E034C"/>
    <w:rsid w:val="4BF80D25"/>
    <w:rsid w:val="4C381B5C"/>
    <w:rsid w:val="4C966E9C"/>
    <w:rsid w:val="4CAC0F56"/>
    <w:rsid w:val="4D0725F1"/>
    <w:rsid w:val="4D254F14"/>
    <w:rsid w:val="4DCC4003"/>
    <w:rsid w:val="4EA00D9A"/>
    <w:rsid w:val="4EE95C0F"/>
    <w:rsid w:val="4F191542"/>
    <w:rsid w:val="4F290EB9"/>
    <w:rsid w:val="4F8E74EA"/>
    <w:rsid w:val="4FB12757"/>
    <w:rsid w:val="50A703DE"/>
    <w:rsid w:val="50C45E23"/>
    <w:rsid w:val="50D562D1"/>
    <w:rsid w:val="50E6360C"/>
    <w:rsid w:val="51316DDA"/>
    <w:rsid w:val="51E543B7"/>
    <w:rsid w:val="51F94EEE"/>
    <w:rsid w:val="52AE38BD"/>
    <w:rsid w:val="52B24D2A"/>
    <w:rsid w:val="52BF39E7"/>
    <w:rsid w:val="53924A39"/>
    <w:rsid w:val="53AB5843"/>
    <w:rsid w:val="53EE7333"/>
    <w:rsid w:val="543D3EBE"/>
    <w:rsid w:val="54A159E1"/>
    <w:rsid w:val="55387F30"/>
    <w:rsid w:val="5561087C"/>
    <w:rsid w:val="556D351E"/>
    <w:rsid w:val="55AB196C"/>
    <w:rsid w:val="562A4BAD"/>
    <w:rsid w:val="565F1BE4"/>
    <w:rsid w:val="56606A65"/>
    <w:rsid w:val="56754C24"/>
    <w:rsid w:val="570404A9"/>
    <w:rsid w:val="57B73ACF"/>
    <w:rsid w:val="57E66E5A"/>
    <w:rsid w:val="57E7040E"/>
    <w:rsid w:val="57E94677"/>
    <w:rsid w:val="5805219C"/>
    <w:rsid w:val="58233B32"/>
    <w:rsid w:val="582C1C22"/>
    <w:rsid w:val="588521A8"/>
    <w:rsid w:val="59267AE6"/>
    <w:rsid w:val="59681634"/>
    <w:rsid w:val="59920AAB"/>
    <w:rsid w:val="59EF4A5F"/>
    <w:rsid w:val="5A0943A0"/>
    <w:rsid w:val="5A1F4729"/>
    <w:rsid w:val="5A2E0D05"/>
    <w:rsid w:val="5A8040BC"/>
    <w:rsid w:val="5A965EA8"/>
    <w:rsid w:val="5AC52CE3"/>
    <w:rsid w:val="5B1526FB"/>
    <w:rsid w:val="5B157A69"/>
    <w:rsid w:val="5B1975F6"/>
    <w:rsid w:val="5B4A3601"/>
    <w:rsid w:val="5B7E24F7"/>
    <w:rsid w:val="5BFB4653"/>
    <w:rsid w:val="5C0A3783"/>
    <w:rsid w:val="5C5B32AB"/>
    <w:rsid w:val="5CAA4577"/>
    <w:rsid w:val="5CAB7C41"/>
    <w:rsid w:val="5CB85F1F"/>
    <w:rsid w:val="5D1068B6"/>
    <w:rsid w:val="5D533223"/>
    <w:rsid w:val="5D78386A"/>
    <w:rsid w:val="5DDF58B3"/>
    <w:rsid w:val="5DEF0DA1"/>
    <w:rsid w:val="5E263DA7"/>
    <w:rsid w:val="5E2C0A5E"/>
    <w:rsid w:val="5ECE5D5A"/>
    <w:rsid w:val="5F347011"/>
    <w:rsid w:val="5FFE0095"/>
    <w:rsid w:val="601744BF"/>
    <w:rsid w:val="602D0D68"/>
    <w:rsid w:val="60A816BD"/>
    <w:rsid w:val="622A78A8"/>
    <w:rsid w:val="62F60A80"/>
    <w:rsid w:val="633D7032"/>
    <w:rsid w:val="63525D5A"/>
    <w:rsid w:val="63614319"/>
    <w:rsid w:val="63BB2839"/>
    <w:rsid w:val="6419347F"/>
    <w:rsid w:val="64517CFC"/>
    <w:rsid w:val="649F1702"/>
    <w:rsid w:val="64A8537C"/>
    <w:rsid w:val="655A0258"/>
    <w:rsid w:val="65A12E8C"/>
    <w:rsid w:val="65BFA15D"/>
    <w:rsid w:val="65DC7FB3"/>
    <w:rsid w:val="66012783"/>
    <w:rsid w:val="66211423"/>
    <w:rsid w:val="66263696"/>
    <w:rsid w:val="664E1772"/>
    <w:rsid w:val="665A1905"/>
    <w:rsid w:val="669D2185"/>
    <w:rsid w:val="66FB5D03"/>
    <w:rsid w:val="670F1C64"/>
    <w:rsid w:val="6763328A"/>
    <w:rsid w:val="67800C4B"/>
    <w:rsid w:val="68015C2A"/>
    <w:rsid w:val="6853628C"/>
    <w:rsid w:val="68AA0B34"/>
    <w:rsid w:val="68E67FF6"/>
    <w:rsid w:val="6978111C"/>
    <w:rsid w:val="69F35265"/>
    <w:rsid w:val="69FA020E"/>
    <w:rsid w:val="6A1B37D3"/>
    <w:rsid w:val="6ACD728C"/>
    <w:rsid w:val="6B057C30"/>
    <w:rsid w:val="6B314C23"/>
    <w:rsid w:val="6B3628AC"/>
    <w:rsid w:val="6B5A4C3B"/>
    <w:rsid w:val="6BE205E1"/>
    <w:rsid w:val="6BE41CD8"/>
    <w:rsid w:val="6C0B798F"/>
    <w:rsid w:val="6C212C1C"/>
    <w:rsid w:val="6C4B1595"/>
    <w:rsid w:val="6C5521FA"/>
    <w:rsid w:val="6C967F40"/>
    <w:rsid w:val="6CC57BD3"/>
    <w:rsid w:val="6CE84F3C"/>
    <w:rsid w:val="6D7868D7"/>
    <w:rsid w:val="6E2D24B9"/>
    <w:rsid w:val="6EEC5619"/>
    <w:rsid w:val="6FB30D9E"/>
    <w:rsid w:val="70F61FD6"/>
    <w:rsid w:val="718E55D3"/>
    <w:rsid w:val="72391A3F"/>
    <w:rsid w:val="72474D90"/>
    <w:rsid w:val="729660D9"/>
    <w:rsid w:val="730C1FE1"/>
    <w:rsid w:val="73597131"/>
    <w:rsid w:val="73741E9D"/>
    <w:rsid w:val="73B11546"/>
    <w:rsid w:val="73D9191F"/>
    <w:rsid w:val="74046E1C"/>
    <w:rsid w:val="74A10E3C"/>
    <w:rsid w:val="74DF44D7"/>
    <w:rsid w:val="75005F4D"/>
    <w:rsid w:val="75450EE6"/>
    <w:rsid w:val="75B90985"/>
    <w:rsid w:val="762A376C"/>
    <w:rsid w:val="767B49E5"/>
    <w:rsid w:val="76D26FF7"/>
    <w:rsid w:val="776A4084"/>
    <w:rsid w:val="777304B6"/>
    <w:rsid w:val="77731D2A"/>
    <w:rsid w:val="78297848"/>
    <w:rsid w:val="78857B38"/>
    <w:rsid w:val="78D7230F"/>
    <w:rsid w:val="79870C8D"/>
    <w:rsid w:val="79A679F4"/>
    <w:rsid w:val="79A854A8"/>
    <w:rsid w:val="79B8760A"/>
    <w:rsid w:val="79BF0FA8"/>
    <w:rsid w:val="7A40546C"/>
    <w:rsid w:val="7A5F3B0A"/>
    <w:rsid w:val="7A685F25"/>
    <w:rsid w:val="7BA6454B"/>
    <w:rsid w:val="7BF35837"/>
    <w:rsid w:val="7C630436"/>
    <w:rsid w:val="7CED653D"/>
    <w:rsid w:val="7D0C1750"/>
    <w:rsid w:val="7D53452E"/>
    <w:rsid w:val="7D6B1FF2"/>
    <w:rsid w:val="7DB405A0"/>
    <w:rsid w:val="7DBBEAB6"/>
    <w:rsid w:val="7E194CEF"/>
    <w:rsid w:val="7E6258E8"/>
    <w:rsid w:val="7F7C64FF"/>
    <w:rsid w:val="7FF76A74"/>
    <w:rsid w:val="A7EF6088"/>
    <w:rsid w:val="E9FE6CEF"/>
    <w:rsid w:val="EBF7C955"/>
    <w:rsid w:val="FDFE4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_GB2312"/>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qFormat/>
    <w:uiPriority w:val="0"/>
    <w:pPr>
      <w:spacing w:after="120"/>
    </w:pPr>
  </w:style>
  <w:style w:type="paragraph" w:styleId="7">
    <w:name w:val="toc 3"/>
    <w:basedOn w:val="1"/>
    <w:next w:val="1"/>
    <w:qFormat/>
    <w:uiPriority w:val="39"/>
    <w:pPr>
      <w:keepNext w:val="0"/>
      <w:keepLines w:val="0"/>
      <w:widowControl w:val="0"/>
      <w:suppressLineNumbers w:val="0"/>
      <w:spacing w:before="0" w:beforeAutospacing="0" w:after="0" w:afterAutospacing="0"/>
      <w:ind w:left="840" w:leftChars="400" w:right="0"/>
      <w:jc w:val="both"/>
    </w:pPr>
    <w:rPr>
      <w:rFonts w:hint="default" w:ascii="Calibri" w:hAnsi="Calibri" w:eastAsia="宋体" w:cs="Calibri"/>
      <w:kern w:val="2"/>
      <w:sz w:val="21"/>
      <w:szCs w:val="24"/>
      <w:lang w:val="en-US" w:eastAsia="zh-CN" w:bidi="ar"/>
    </w:rPr>
  </w:style>
  <w:style w:type="paragraph" w:styleId="8">
    <w:name w:val="Plain Text"/>
    <w:basedOn w:val="1"/>
    <w:next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index 9"/>
    <w:basedOn w:val="1"/>
    <w:next w:val="1"/>
    <w:qFormat/>
    <w:uiPriority w:val="0"/>
    <w:pPr>
      <w:ind w:left="1600" w:leftChars="1600" w:firstLine="0"/>
    </w:pPr>
  </w:style>
  <w:style w:type="paragraph" w:styleId="13">
    <w:name w:val="toc 2"/>
    <w:basedOn w:val="1"/>
    <w:next w:val="1"/>
    <w:qFormat/>
    <w:uiPriority w:val="39"/>
    <w:pPr>
      <w:ind w:left="420" w:leftChars="200"/>
    </w:pPr>
  </w:style>
  <w:style w:type="paragraph" w:styleId="14">
    <w:name w:val="Body Text 2"/>
    <w:basedOn w:val="1"/>
    <w:unhideWhenUsed/>
    <w:qFormat/>
    <w:uiPriority w:val="0"/>
    <w:pPr>
      <w:spacing w:line="360" w:lineRule="auto"/>
      <w:ind w:firstLine="200" w:firstLineChars="200"/>
    </w:pPr>
    <w:rPr>
      <w:rFonts w:eastAsia="楷体_GB2312"/>
      <w:sz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7">
    <w:name w:val="Body Text First Indent"/>
    <w:basedOn w:val="6"/>
    <w:next w:val="18"/>
    <w:qFormat/>
    <w:uiPriority w:val="0"/>
    <w:pPr>
      <w:spacing w:beforeAutospacing="1" w:after="100" w:afterAutospacing="1"/>
      <w:ind w:left="1548" w:firstLine="420" w:firstLineChars="100"/>
    </w:pPr>
    <w:rPr>
      <w:kern w:val="0"/>
      <w:sz w:val="20"/>
      <w:szCs w:val="20"/>
    </w:rPr>
  </w:style>
  <w:style w:type="paragraph" w:styleId="18">
    <w:name w:val="Body Text First Indent 2"/>
    <w:basedOn w:val="1"/>
    <w:next w:val="1"/>
    <w:qFormat/>
    <w:uiPriority w:val="0"/>
    <w:pPr>
      <w:widowControl w:val="0"/>
      <w:spacing w:line="360" w:lineRule="auto"/>
      <w:ind w:firstLine="420" w:firstLineChars="200"/>
      <w:jc w:val="both"/>
    </w:pPr>
    <w:rPr>
      <w:rFonts w:ascii="仿宋_GB2312"/>
      <w:kern w:val="2"/>
      <w:sz w:val="21"/>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Index9"/>
    <w:basedOn w:val="1"/>
    <w:next w:val="1"/>
    <w:qFormat/>
    <w:uiPriority w:val="0"/>
    <w:pPr>
      <w:ind w:left="3360"/>
    </w:pPr>
    <w:rPr>
      <w:rFonts w:ascii="Calibri" w:hAnsi="Calibri" w:eastAsia="宋体" w:cs="Times New Roman"/>
    </w:rPr>
  </w:style>
  <w:style w:type="paragraph" w:customStyle="1" w:styleId="24">
    <w:name w:val="样式1"/>
    <w:basedOn w:val="1"/>
    <w:qFormat/>
    <w:uiPriority w:val="0"/>
    <w:rPr>
      <w:rFonts w:eastAsia="仿宋_GB2312"/>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6">
    <w:name w:val="Table Text"/>
    <w:basedOn w:val="1"/>
    <w:semiHidden/>
    <w:qFormat/>
    <w:uiPriority w:val="0"/>
    <w:rPr>
      <w:rFonts w:ascii="微软雅黑" w:hAnsi="微软雅黑" w:eastAsia="微软雅黑" w:cs="微软雅黑"/>
      <w:sz w:val="24"/>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10891</Words>
  <Characters>11091</Characters>
  <Lines>30</Lines>
  <Paragraphs>8</Paragraphs>
  <TotalTime>0</TotalTime>
  <ScaleCrop>false</ScaleCrop>
  <LinksUpToDate>false</LinksUpToDate>
  <CharactersWithSpaces>11219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2021-06-05T01:21:00Z</dcterms:created>
  <dc:creator>lidaxia</dc:creator>
  <cp:lastModifiedBy>user</cp:lastModifiedBy>
  <cp:lastPrinted>2025-06-08T16:25:00Z</cp:lastPrinted>
  <dcterms:modified xsi:type="dcterms:W3CDTF">2025-07-16T10:15:16Z</dcterms:modified>
  <dc:title>北京市通州区人民政府办公室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9ED2D9B467254C0A9639BFAF674D56F9_13</vt:lpwstr>
  </property>
  <property fmtid="{D5CDD505-2E9C-101B-9397-08002B2CF9AE}" pid="4" name="KSOTemplateDocerSaveRecord">
    <vt:lpwstr>eyJoZGlkIjoiY2UzNGZlMjVhNDViZDFhMjE4NmZkNTE0NjM2NmY0NTkiLCJ1c2VySWQiOiIxMTQ1OTA2MTY1In0=</vt:lpwstr>
  </property>
</Properties>
</file>