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北京城市副中心就业友好型城市建设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审议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稿）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38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为贯彻落实党中央、国务院和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委、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政府关于就业工作决策部署，全力建设就业友好型城市，根据《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eastAsia="zh-CN"/>
        </w:rPr>
        <w:t>中共中央、国务院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关于实施就业优先战略促进高质量充分就业的意见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  <w:lang w:val="en-US" w:eastAsia="zh-CN"/>
        </w:rPr>
        <w:t>优化调整稳就业政策全力促发展惠民生若干措施》（京就发〔2023〕4号）等精神，特制定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shd w:val="clear" w:color="auto" w:fill="FFFFFF"/>
          <w:lang w:val="en-US" w:eastAsia="zh-CN"/>
        </w:rPr>
        <w:t>本措施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60" w:firstLineChars="200"/>
        <w:textAlignment w:val="auto"/>
        <w:rPr>
          <w:rFonts w:hint="default" w:ascii="Times New Roman" w:hAnsi="Times New Roman" w:cs="Times New Roman"/>
          <w:color w:val="auto"/>
          <w:sz w:val="38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8"/>
          <w:szCs w:val="32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2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38"/>
          <w:szCs w:val="21"/>
        </w:rPr>
        <w:t>　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通过打造就业友好型城市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</w:rPr>
        <w:t>，加快构建部门协同、上下联动、服务精准、管理科学的高质量充分就业工作体系，着力实现就业机会更加充分、就业结构更加合理、就业环境更加公平、就业能力持续增强、就业保障稳步提升，不断增强广大劳动者的获得感、幸福感、安全感，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有效助推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政策友好、保障友好、服务友好、治理友好、社会友好、发展友好的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六好就业之城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”建设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eastAsia" w:ascii="Times New Roman" w:hAnsi="Times New Roman" w:eastAsia="黑体" w:cs="Times New Roman"/>
          <w:color w:val="auto"/>
          <w:sz w:val="3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8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  <w:t>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1.坚持“有岗位好就业”,构建高效供需匹配体系。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以市场需求为导向，精准对接产业发展与人力资源供给，打造高质量就业岗位供给链条。确保劳动者“有岗位”；搭建 “线上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线下” 一体化就业服务平台，推动求职招聘精准对接，让劳动者“好就业”，切实提升就业市场的匹配效率与对接质量。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2.坚持“有提升有发展”，健全职业成长支持体系。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以劳动者职业发展需求为核心，构建全链条、多层次的职业技能提升体系。帮助劳动者掌握适应市场需求的新技能，实现能力“有提升”；为劳动者提供广阔的职业晋升空间，助力其在职业道路上“有发展”，实现个人价值与城市发展同频共振。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3.坚持“有尊严有温度”，营造包容和谐就业环境。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  <w:t>营造尊重劳动、关爱劳动者的社会氛围，让就业充满人文关怀。保障劳动者平等就业权利和合法权益，让劳动者在工作中获得应有的尊严；优化就业服务细节，打造 “一站式” 就业服务窗口，传递城市对劳动者的温度，让就业不仅是谋生手段，更成为有情感归属的生活方式。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4.坚持“有保障有底线”,筑牢坚实就业风险防线。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健全覆盖餐饮、住房、教育、医疗等方面的社会服务体系，确保劳动者在就业过程中无后顾之忧，实现“有保障”；对就业困难群体实行“一对一”精准援助，守住就业民生底线，让每个劳动者都能在城市中获得稳定的就业支撑，构建坚实的就业安全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8"/>
          <w:szCs w:val="32"/>
          <w:lang w:val="en-US" w:eastAsia="zh-CN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（一）就业机会更加充分方面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7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1.多</w:t>
      </w: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措并举开发就业岗位，拓展就业空间。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支持各类经营主体稳岗扩岗，对就业示范效应好的产业或企业强化政策支持和用工服务，落实财政支持、税收优惠、社会保障等政策，实施助企暖企护航行动。培育开发就业新领域新岗位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聚焦北京城市副中心“6+3”重点产业布局，加大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数字经济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先进制造、智慧康养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文化旅游、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家政服务、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首发经济、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夜间经济、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甜蜜经济、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银发经济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乡村振兴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等重点领域、重点行业就业岗位采集归集力度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至2027年，每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年采集空岗信息不少于40000个。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牵头单位：区人力社保局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配合单位：区商务局、区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经济和信息化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局、区教委、区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卫生健康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委、区国资委、区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文化和旅游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局、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区投资促进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中心、各街道办事处、乡镇政府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2.强</w:t>
      </w: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化公共就业服务队伍管理，布局就业服务站点建设。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确保每个社区（村）配置就业服务专员不少于1名，擦亮“通州就业服务”“职有兰图”“帮帮团”等就业服务品牌底色，加大直播带岗、专场招聘、职业指导等公共就业服务供给力度，确保就业直播活动每月不少于2期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每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年开展各类招聘活动不少于300场。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  <w:t>牵头单位：区人力社保局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  <w:t xml:space="preserve">配合单位：各街道办事处、乡镇政府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（二）就业结构更加合理方面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落实创业带动就业行动计划。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实施创业带动就业三年行动计划，加强创业信息监测，构建良好生态。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8"/>
          <w:szCs w:val="32"/>
          <w:lang w:val="en-US" w:eastAsia="zh-CN"/>
        </w:rPr>
        <w:t>扎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实开展“创业北京”创业创新大赛区选拔赛、副中心文化产业创意创业大赛、创新医学转化与产业促进大赛等形式多样的创业助推活动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对创业大赛中表现突出的创业人才加大引进力度，对符合条件的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个人及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小微企业给予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创业担保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贷款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奖补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政策支持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重点支持带动就业效果明显的创业孵化机构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加大创业投资、银行信贷、上市融资对创新企业的支持，创造就业新机会。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至2027年，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年均新增参保创业单位数量不少于4000户，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每年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</w:rPr>
        <w:t>发放创业担保贷款不少于2.5亿元。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牵头单位：区人力社保局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配合单位：区财政局、区科委、区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经济和信息化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局、区商务局、中关村通州园管委会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文化和旅游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局、区农业农村局、区退役军人事务局、区团委、区妇联、区残联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78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auto"/>
          <w:sz w:val="38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.提</w:t>
      </w:r>
      <w:r>
        <w:rPr>
          <w:rFonts w:hint="default" w:ascii="仿宋_GB2312" w:hAnsi="仿宋_GB2312" w:eastAsia="仿宋_GB2312" w:cs="仿宋_GB2312"/>
          <w:b/>
          <w:bCs/>
          <w:color w:val="auto"/>
          <w:sz w:val="38"/>
          <w:szCs w:val="32"/>
          <w:lang w:val="en-US" w:eastAsia="zh-CN"/>
        </w:rPr>
        <w:t>供更加优质的创新发展空间。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为符合条件的优秀创业团队、青年科技创新人才、小微企业等提供优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惠的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国企创业空间，并从孵化加速、人才服务、产业政策等方面提供服务支持，有效降低创业成本，优化营商环境，支持初创企业发展。至2027年，力争累计提供优惠创业空间30000平方米，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租金方面给予合理的减免优惠。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牵头单位：区国资委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配合单位：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中关村通州园管委会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市规自委通州分局、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lang w:val="en-US" w:eastAsia="zh-CN" w:bidi="ar-SA"/>
        </w:rPr>
        <w:t>各街道办事处、乡镇政府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778" w:firstLineChars="200"/>
        <w:jc w:val="both"/>
        <w:textAlignment w:val="auto"/>
        <w:rPr>
          <w:rFonts w:hint="eastAsia"/>
          <w:sz w:val="3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8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8"/>
          <w:szCs w:val="32"/>
          <w:highlight w:val="none"/>
          <w:lang w:val="en-US" w:eastAsia="zh-CN" w:bidi="ar-SA"/>
        </w:rPr>
        <w:t>提供高效的创业孵化集成服务。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8"/>
          <w:szCs w:val="32"/>
          <w:highlight w:val="none"/>
          <w:lang w:val="en-US" w:eastAsia="zh-CN" w:bidi="ar-SA"/>
        </w:rPr>
        <w:t>协调对接区内创业孵化示范基地、科技企业孵化器，为创业团队提供创业启动服务，包括辅导报工商注册、办公选址等，为企业提供孵化服务，提供专利评估、商业化路径设计及技术方案可视化包装等。支持黑马数字孪生孵化器等孵化平台持续拓展创业辅导、资源对接、项目路演等专业活动，聚焦“AI+”、未来健康等重点领域，加速企业招募培育工作，三年累计招募培育企业不低于60家，助力城市副中心完善创业企业服务生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firstLine="762" w:firstLineChars="200"/>
        <w:textAlignment w:val="auto"/>
        <w:rPr>
          <w:rFonts w:hint="default" w:ascii="仿宋_GB2312" w:hAnsi="仿宋_GB2312" w:eastAsia="仿宋_GB2312" w:cs="仿宋_GB2312"/>
          <w:kern w:val="0"/>
          <w:sz w:val="38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8"/>
          <w:szCs w:val="32"/>
          <w:highlight w:val="none"/>
          <w:lang w:val="en-US" w:eastAsia="zh-CN" w:bidi="ar-SA"/>
        </w:rPr>
        <w:t>牵头单位：区科委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8"/>
          <w:szCs w:val="32"/>
          <w:lang w:val="en-US" w:eastAsia="zh-CN" w:bidi="ar-SA"/>
        </w:rPr>
        <w:t>配合单位：区人力社保局、</w:t>
      </w:r>
      <w:r>
        <w:rPr>
          <w:rFonts w:hint="eastAsia" w:ascii="Times New Roman" w:hAnsi="Times New Roman" w:eastAsia="仿宋_GB2312" w:cs="Times New Roman"/>
          <w:color w:val="333333"/>
          <w:sz w:val="38"/>
          <w:szCs w:val="32"/>
          <w:lang w:val="en-US" w:eastAsia="zh-CN"/>
        </w:rPr>
        <w:t>区经济和信息化局、区投资促进服务中心、中关村通州园管委会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（三）就业能力持续增强方面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.落实“技能照亮前程”行动。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制定并发布通州区急需紧缺工种目录，并动态调整，为人才引进、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教育培训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等提供指引。推行“岗位需求+技能培训+技能评价+就业服务”四位一体项目化模式，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通过产教融合、校企合作等方式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开展家政、养老、托育等技能培训10000人次。扎实推进专项职业能力考核改革，持续扩大职业技能等级认定覆盖面，开展技能评价9000人次。定期举办区域性职业技能大赛，主动承办市级职业技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竞赛，推荐优秀选手参与北京市、国家乃至世界级技能赛事，为高质量充分就业提供坚实支撑。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牵头单位：区人力社保局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区委社会工作部、区妇联、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卫生健康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8"/>
          <w:szCs w:val="32"/>
          <w:highlight w:val="none"/>
          <w:lang w:val="en-US" w:eastAsia="zh-CN" w:bidi="ar-SA"/>
        </w:rPr>
        <w:t>委、区商务局、区农业农村局、各街道办事处、乡镇政府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就业环境更加公平方面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8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8"/>
          <w:szCs w:val="32"/>
          <w:lang w:val="en-US" w:eastAsia="zh-CN"/>
        </w:rPr>
        <w:t>.加快构建高质量和谐劳动关系。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强化政策指导与权益维护双轨并行。通过精准解读劳动法规、开展用工培训等方式，为辖区企业提供全流程政策支持，推动企业规范用工，辖区企业职工劳动合同签订率达98% 以上。健全 “调解优先、裁审衔接” 的多元化处置模式，依托劳动人事争议调解组织，整合工会、司法等多方力量，高效处理劳动者维权诉求及企业合法权益保障需求，确保劳动人事争议结案率95%以上，通过调解方式结案率达到65%。加强日常检查与服务指导，动态排查用工隐患，推动劳动关系治理从事后处置向事前预防延伸，为区域经济社会稳定发展营造公平有序的用工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牵头单位：区人力社保局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/>
          <w:sz w:val="3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配合单位：区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经济和信息化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局、区统计局、区总工会、区商务局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2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8"/>
          <w:szCs w:val="32"/>
          <w:lang w:val="en-US" w:eastAsia="zh-CN"/>
        </w:rPr>
        <w:t>（五）就业保障稳步提升方面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多方位提供新市民（“城市建设者之家”）专项房源。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至2027年，在副中心提供保障性租赁住房约1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00套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，有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宿舍、一居室、二居室等多种户型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可供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选择，优先面向外来务工人员群体。按照需求可配备家具家电等设施，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租金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方面给予最大力度的优惠。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牵头单位：区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住房城乡建设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配合单位：市规自委通州分局、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各街道办事处、乡镇政府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8"/>
          <w:szCs w:val="32"/>
          <w:lang w:val="en-US" w:eastAsia="zh-CN"/>
        </w:rPr>
        <w:t>做好新就业群体或外来务工人员随迁子女入学入园服务工作。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8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保障外来务工人员或新就业群体子女受教育的权利，做好“教育入学一件事”服务，建立教育、公安、民政等部门信息联审机制，实现“一网通办”，让数据多跑路，群众少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跑腿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，不断提高服务水平。加快优化提升教育规模、结构和质量，丰富教育供给，更好满足群众多样化教育需求，营造就业友好型城市良好的教育环境。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760" w:firstLineChars="200"/>
        <w:textAlignment w:val="auto"/>
        <w:rPr>
          <w:rFonts w:hint="default"/>
          <w:sz w:val="38"/>
          <w:lang w:val="en-US" w:eastAsia="zh-CN"/>
        </w:rPr>
      </w:pPr>
      <w:r>
        <w:rPr>
          <w:rFonts w:hint="default"/>
          <w:sz w:val="38"/>
          <w:lang w:val="en-US" w:eastAsia="zh-CN"/>
        </w:rPr>
        <w:t xml:space="preserve">牵头单位：区教委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760" w:firstLineChars="200"/>
        <w:textAlignment w:val="auto"/>
        <w:rPr>
          <w:rFonts w:hint="default"/>
          <w:sz w:val="38"/>
          <w:lang w:val="en-US" w:eastAsia="zh-CN"/>
        </w:rPr>
      </w:pPr>
      <w:r>
        <w:rPr>
          <w:rFonts w:hint="default"/>
          <w:sz w:val="38"/>
          <w:lang w:val="en-US" w:eastAsia="zh-CN"/>
        </w:rPr>
        <w:t>配合单位：区</w:t>
      </w:r>
      <w:r>
        <w:rPr>
          <w:rFonts w:hint="eastAsia"/>
          <w:sz w:val="38"/>
          <w:lang w:val="en-US" w:eastAsia="zh-CN"/>
        </w:rPr>
        <w:t>政务和数据</w:t>
      </w:r>
      <w:r>
        <w:rPr>
          <w:rFonts w:hint="default"/>
          <w:sz w:val="38"/>
          <w:lang w:val="en-US" w:eastAsia="zh-CN"/>
        </w:rPr>
        <w:t>局、区人力社保局、区市场监管局、区</w:t>
      </w:r>
      <w:r>
        <w:rPr>
          <w:rFonts w:hint="eastAsia"/>
          <w:sz w:val="38"/>
          <w:lang w:val="en-US" w:eastAsia="zh-CN"/>
        </w:rPr>
        <w:t>住房城乡建设</w:t>
      </w:r>
      <w:r>
        <w:rPr>
          <w:rFonts w:hint="default"/>
          <w:sz w:val="38"/>
          <w:lang w:val="en-US" w:eastAsia="zh-CN"/>
        </w:rPr>
        <w:t>委、市规自委通州分局、公安分局、区民政局、区税务局、各街道办事处、乡镇政府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提供“暖心餐”服务计划。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8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切实解决新就业群体“用餐难”问题，倡导区内品牌餐饮企业推出“暖心餐”服务计划。到2027年，实现重点商业综合体、餐饮街区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、社区食堂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全覆盖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累计协商餐饮门店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不少于10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0家。各参与门店为快递员、外卖骑手、网约车司机等新就业形态劳动者提供专属优惠套餐、专属折扣和免费热水等服务，真正让城市守护者享受到“热饭暖胃、优惠暖心”的贴心服务。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 xml:space="preserve">牵头单位：区商务局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配合单位：区委社会工作部、区总工会、各街道办事处、乡镇政府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2"/>
          <w:sz w:val="38"/>
          <w:szCs w:val="32"/>
          <w:lang w:val="en-US" w:eastAsia="zh-CN" w:bidi="ar-SA"/>
        </w:rPr>
        <w:t>开展健康服务前移工程，打造友好型健康服务。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开展“健康服务前移工程”。为新就业群体提供医疗保障，属地街道乡镇携手社区卫生服务中心开展“医心为企，家医联企”系列活动，通过“手拉手”结对、名医进企业等措施，提升区域民营企业员工整体健康素养。引导新就业群体到社区卫生服务中心签约家庭医生，提供“服务个性包”。优化设施布局，打造人性化服务场景。针对新就业群体定制专属体检套餐，提供专属四季健康讲座、急救技能培训和职业病防治宣传。在新就业群体集中区域和体量较大的企业围绕开展口腔健康、中医等免费义诊活动。开展友好医院建设。选取新华医院作为试点，打造“设施友好、服务暖心、沟通顺畅”的友好医院体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牵头单位:区卫生健康委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8"/>
          <w:szCs w:val="32"/>
          <w:lang w:val="en-US" w:eastAsia="zh-CN" w:bidi="ar-SA"/>
        </w:rPr>
        <w:t>配合单位:区委社会工作部、区民政局、区总工会、各街道办事处、乡镇政府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389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打造更多社区友好工作生活场景。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推进新就业群体多元友好行动计划，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发布“友好副中心服务地图”，各街道乡镇推动建设友好驿站、友好街区、友好社区、友好律所、友好商圈、友好楼宇、友好市场等500个“友好场景”。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为新就业群体提供餐饮、休息、充电、便宜洗衣、电瓶车维修等相关服务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，通过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小区导览图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、楼宇标识等方式实现快递人员无障碍社区。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将新就业群体纳入“移动网格员”社区治理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牵头单位：区委社会工作部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left="0" w:firstLine="7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配合单位：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各街道办事处、乡镇政府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8"/>
          <w:szCs w:val="32"/>
          <w:lang w:val="en-US" w:eastAsia="zh-CN"/>
        </w:rPr>
        <w:t>.新就业群体家庭关爱计划。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将新就业群体及其子女纳入亲子游学、假期托管、公益课堂等活动范围。依托副中心丰富的资源禀赋，通过发放门票、消费券等方式，为100个新就业群体家人提供形式多样的“畅游通州”服务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牵头单位：区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/>
          <w:b w:val="0"/>
          <w:bCs w:val="0"/>
          <w:sz w:val="3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配合单位：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区妇联、区委社会工作部、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lang w:val="en-US" w:eastAsia="zh-CN"/>
        </w:rPr>
        <w:t>各街道办事处、乡镇政府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7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8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14.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制定“友好零工站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·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乐业副中心”三年行动计划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8"/>
          <w:szCs w:val="32"/>
          <w:highlight w:val="none"/>
          <w:lang w:val="en-US" w:eastAsia="zh-CN" w:bidi="ar-SA"/>
        </w:rPr>
        <w:t>以创新思维推动零工市场建设，在全市范围率先建设马驹桥零工市场，出台零工市场规范化建设意见及奖励措施，为建立健全基层就业服务体系提供“副中心方案” 。到 2027 年，进一步建成“岗位丰富可及、匹配精准高效、技能持续提升、保障温暖有力、生态友好乐业”的零工市场服务新体系，服务灵活就业者超百万人次， 打造具有区域影响力和示范效应的零工市场，让零工市场成为零工群体的暖心站、加油站、乐业站。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牵头单位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</w:rPr>
        <w:t>人力社保局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配合单位：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eastAsia="zh-CN"/>
        </w:rPr>
        <w:t>公安分局、交通支队、区委网信办、区总工会、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</w:rPr>
        <w:t>财政局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各街道办事处、乡镇政府</w:t>
      </w:r>
      <w:r>
        <w:rPr>
          <w:rFonts w:hint="eastAsia" w:ascii="Times New Roman" w:hAnsi="Times New Roman" w:eastAsia="仿宋_GB2312" w:cs="Times New Roman"/>
          <w:color w:val="auto"/>
          <w:sz w:val="38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8"/>
          <w:szCs w:val="32"/>
          <w:highlight w:val="none"/>
          <w:lang w:val="en-US" w:eastAsia="zh-CN"/>
        </w:rPr>
        <w:t>区民政局、区住房城乡建设委、区城市管理委、区水务局、区农业农村局、区商务局、区文化和旅游局、区园林绿化局、区司法局、区法院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8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8"/>
          <w:szCs w:val="32"/>
          <w:lang w:val="en-US" w:eastAsia="zh-CN"/>
        </w:rPr>
        <w:t xml:space="preserve">    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1.建立任务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清单式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工作机制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各部门要围绕就业友好型城市建设“四有”工作布局，紧密结合全区经济社会发展、产业结构特点和部门职责，制定切实可行的实施方案</w:t>
      </w:r>
      <w:r>
        <w:rPr>
          <w:rFonts w:hint="default" w:ascii="Times New Roman" w:hAnsi="Times New Roman" w:eastAsia="仿宋_GB2312" w:cs="Times New Roman"/>
          <w:color w:val="E54C5E" w:themeColor="accent6"/>
          <w:kern w:val="0"/>
          <w:sz w:val="38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方案中要明确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标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，细化任务，推动落地见效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。对“就业友好城市”建设各项重点任务实行“建账-督办-销账”管理，构建清单管理、动态跟踪、定期通报的闭环</w:t>
      </w: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.打造就业友好社会评价体系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聚焦有温度、有口碑、有品牌，打造以公众感知为核心的社会评价机制，通过第三方调查等形式，科学纳入就业机会感知度、就业环境满意度、就业能力认同感、就业服务便捷度、劳动关系和谐指数以及政策知晓率、公众参与度等关键维度。加大宣传力度，选树典型，营造全社会关心支持就业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6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8"/>
          <w:szCs w:val="32"/>
          <w:lang w:val="en-US" w:eastAsia="zh-CN" w:bidi="ar-SA"/>
        </w:rPr>
        <w:t>本文件执行期限为自印发之日起至2027年12月31日。此前相关规定与本文件不一致的，按本文件执行；本文件执行过程中如遇法律法规、规章和上级部门对相关内容另作规定的，按照相关规定执行。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0" w:firstLine="778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4"/>
          <w:kern w:val="0"/>
          <w:sz w:val="38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Times New Roman" w:hAnsi="Times New Roman" w:eastAsia="仿宋_GB2312" w:cs="Times New Roman"/>
          <w:b/>
          <w:bCs/>
          <w:color w:val="auto"/>
          <w:spacing w:val="4"/>
          <w:kern w:val="0"/>
          <w:sz w:val="32"/>
          <w:szCs w:val="32"/>
          <w:lang w:val="en-US" w:eastAsia="zh-CN" w:bidi="ar-SA"/>
        </w:rPr>
      </w:pPr>
    </w:p>
    <w:p>
      <w:pPr>
        <w:pStyle w:val="9"/>
        <w:spacing w:line="600" w:lineRule="exact"/>
        <w:ind w:left="0" w:leftChars="0" w:firstLine="760" w:firstLineChars="200"/>
        <w:rPr>
          <w:rFonts w:hint="eastAsia"/>
          <w:sz w:val="38"/>
          <w:szCs w:val="3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22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FD3FD"/>
    <w:multiLevelType w:val="singleLevel"/>
    <w:tmpl w:val="05FFD3F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73797"/>
    <w:rsid w:val="00F23332"/>
    <w:rsid w:val="01A863E8"/>
    <w:rsid w:val="02673797"/>
    <w:rsid w:val="08A36C03"/>
    <w:rsid w:val="0B037FFF"/>
    <w:rsid w:val="0BB554C4"/>
    <w:rsid w:val="0F495124"/>
    <w:rsid w:val="15EE7D94"/>
    <w:rsid w:val="1D636E47"/>
    <w:rsid w:val="1D726A71"/>
    <w:rsid w:val="20195084"/>
    <w:rsid w:val="217429A0"/>
    <w:rsid w:val="2232094B"/>
    <w:rsid w:val="25F45A3C"/>
    <w:rsid w:val="2CF74CCB"/>
    <w:rsid w:val="35C73104"/>
    <w:rsid w:val="36436754"/>
    <w:rsid w:val="3C0F1D99"/>
    <w:rsid w:val="3C1F4F0B"/>
    <w:rsid w:val="40670ED5"/>
    <w:rsid w:val="437A7FB9"/>
    <w:rsid w:val="48887F17"/>
    <w:rsid w:val="4DCC6151"/>
    <w:rsid w:val="629A2EBD"/>
    <w:rsid w:val="67AC4620"/>
    <w:rsid w:val="682C153A"/>
    <w:rsid w:val="70B30FF5"/>
    <w:rsid w:val="7DAC6F59"/>
    <w:rsid w:val="7FE97C92"/>
    <w:rsid w:val="7FFF8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640" w:lineRule="exact"/>
      <w:jc w:val="center"/>
    </w:pPr>
    <w:rPr>
      <w:rFonts w:ascii="宋体" w:eastAsia="宋体"/>
      <w:b/>
      <w:bCs/>
      <w:spacing w:val="4"/>
      <w:kern w:val="0"/>
      <w:sz w:val="44"/>
      <w:szCs w:val="44"/>
    </w:rPr>
  </w:style>
  <w:style w:type="paragraph" w:styleId="3">
    <w:name w:val="Body Text 2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sz w:val="32"/>
      <w:szCs w:val="21"/>
    </w:rPr>
  </w:style>
  <w:style w:type="paragraph" w:styleId="4">
    <w:name w:val="Body Text Indent"/>
    <w:basedOn w:val="1"/>
    <w:next w:val="5"/>
    <w:qFormat/>
    <w:uiPriority w:val="0"/>
    <w:pPr>
      <w:widowControl w:val="0"/>
      <w:spacing w:before="0" w:after="0"/>
      <w:ind w:left="42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4"/>
    <w:next w:val="1"/>
    <w:qFormat/>
    <w:uiPriority w:val="0"/>
    <w:pPr>
      <w:adjustRightInd w:val="0"/>
      <w:snapToGrid w:val="0"/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next w:val="5"/>
    <w:unhideWhenUsed/>
    <w:qFormat/>
    <w:uiPriority w:val="0"/>
    <w:pPr>
      <w:snapToGrid w:val="0"/>
      <w:jc w:val="left"/>
    </w:pPr>
  </w:style>
  <w:style w:type="paragraph" w:styleId="9">
    <w:name w:val="index 9"/>
    <w:basedOn w:val="1"/>
    <w:next w:val="1"/>
    <w:qFormat/>
    <w:uiPriority w:val="0"/>
    <w:pPr>
      <w:ind w:left="1600" w:leftChars="1600"/>
    </w:pPr>
    <w:rPr>
      <w:rFonts w:ascii="Droid Sans" w:hAnsi="Droid Sans" w:eastAsia="仿宋_GB2312" w:cs="Droid Sans"/>
      <w:sz w:val="32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5317</Words>
  <Characters>5429</Characters>
  <Lines>0</Lines>
  <Paragraphs>0</Paragraphs>
  <TotalTime>16</TotalTime>
  <ScaleCrop>false</ScaleCrop>
  <LinksUpToDate>false</LinksUpToDate>
  <CharactersWithSpaces>5463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2025-06-19T09:48:00Z</dcterms:created>
  <dc:creator>Quiet  summer</dc:creator>
  <cp:lastModifiedBy>user</cp:lastModifiedBy>
  <dcterms:modified xsi:type="dcterms:W3CDTF">2025-06-26T13:56:40Z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5A5561A6E0DB436890CCF8BD14A60FCF_13</vt:lpwstr>
  </property>
  <property fmtid="{D5CDD505-2E9C-101B-9397-08002B2CF9AE}" pid="4" name="KSOTemplateDocerSaveRecord">
    <vt:lpwstr>eyJoZGlkIjoiYjU5OWJkYWQwNzNiYjkyM2U3NzJiMTg0YzVhZTYxODEiLCJ1c2VySWQiOiI0MzE0ODU0NDEifQ==</vt:lpwstr>
  </property>
</Properties>
</file>