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昌平区户外登山涉险救援管理办法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（征求意见稿）</w:t>
      </w:r>
    </w:p>
    <w:bookmarkEnd w:id="0"/>
    <w:p>
      <w:pPr>
        <w:spacing w:line="333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第一章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总则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昌平</w:t>
      </w:r>
      <w:r>
        <w:rPr>
          <w:rFonts w:hint="eastAsia" w:ascii="仿宋_GB2312" w:hAnsi="仿宋_GB2312" w:eastAsia="仿宋_GB2312" w:cs="仿宋_GB2312"/>
          <w:sz w:val="32"/>
          <w:szCs w:val="32"/>
        </w:rPr>
        <w:t>区旅游资源安全，确保户外登山者人身安全，防止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进入未开发、未开放区域引发安全事故，提高公共救援资源利用效率，使登山遇险者及时获得有效救援，根据《中华人民共和国突发事件应对法》《中华人民共和国旅游法》《中华人民共和国民法典》等相关法律规定，制定本办法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户外登山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在昌平区区域范围内山区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（含临时限制或禁止进入区域）进行徒步、登山、攀岩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穿越、野营等活动。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第二章  职责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分工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区文旅局负责监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督等级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旅游景区内活动；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提醒公众注意旅行安全风险；指导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面向公众开放的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等级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区域界限标识、服务设施标识和游览导向标识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设置工作，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对具有危险性的区域和项目，应当设立明显的安全警示标识，并采取必要的防护措施。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审批和管理经其批准举行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登山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的活动，并依法落实监督管理的责任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各镇街应采取相应措施、指导督促非等级旅游景区，做好山区道路、指示标识标记设置、发布登山风险提示信息、建立应急救援制度等工作。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仿宋_GB2312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公安昌平分局、消防救援支队按职责承担被困人员救援工作，区应急局、各镇街做好协助配合工作；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旅游景区应协助相关部门开展景区内被困人员营救工作。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负责应急协调联动，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社会应急救援力量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对被困人员开展救援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区应急局负责制定户外涉险突发事件应急处置预案，建立并实施统一指挥、多方联动、科学高效的应急救援管理体系。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区卫健、交通、园林、气象、经信等部门在各自职责范围内承担相应的救援职责。区宣传、网信办等部门在职责范围内承担相应的宣传、引导职责。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560" w:lineRule="exact"/>
        <w:ind w:left="0" w:right="0" w:firstLine="2240" w:firstLineChars="7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第三章   安全事故救援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第十条  户外登山运动组织者应当建立和完善相关自治自律制度，依法开展活动；鼓励组织者为参加活动人员购买人身意外伤害保险，并根据活动组织规模、地形、天气等特色做好应急预案，携带必需的生存装备及必要的应急物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第十一条   登山者需配备必要的防护装备和应急通信设施等，做好风险防范。 一旦遭受突发状况时，组织者、参加者等参与人员应当积极开展自救。自救预案，采取有效的救援和处置措施；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需要外部救援的，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可以拨打报警电话。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adjustRightInd/>
        <w:spacing w:before="0" w:beforeAutospacing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区应急办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接到公安昌平分局、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消防救援支队请求协助开展救援请求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后，及时启动应急预案，组织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各相关单位、救援团体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等营救力量实施联动救援。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adjustRightInd/>
        <w:spacing w:before="0" w:beforeAutospacing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第十三条 鼓励社会力量建立和发展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户外登山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事故救援的志愿者组织，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积极参与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户外登山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事故救援的公共服务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活动。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560" w:lineRule="exact"/>
        <w:ind w:right="0" w:firstLine="2880" w:firstLineChars="9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第四章   责任承担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第十四条 被救援人员应在救援结束后，由公安、消防、应急部门组织开展安全教育，内容包括：户外活动安全必备知识、相关法律法规和政策规定、遇险自救和互救技能等。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第十五条   对因户外登山活动涉险导致动用公共资源救援的，相关部门依法保留追缴救援费用等权利，并视情况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被救援人员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所在单位开展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全员安全教育和培训。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第十六条 鼓励被救援人员参加社会服务、公益活动、公益宣传等现身说法的形式开展安全教育和宣传工作，主动参加社会服务、公益活动、公益宣传的可免于追缴救援费用。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第五章   附则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第十七条 本办法由昌平区应急管理局负责解释。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1587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第十八条 本办法自发布之日起试行两年。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73101"/>
    <w:rsid w:val="3C4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tabs>
        <w:tab w:val="left" w:pos="7320"/>
        <w:tab w:val="left" w:pos="8610"/>
      </w:tabs>
      <w:snapToGrid w:val="0"/>
      <w:spacing w:line="300" w:lineRule="auto"/>
      <w:ind w:right="-108" w:firstLine="600"/>
    </w:pPr>
    <w:rPr>
      <w:rFonts w:eastAsia="仿宋_GB2312"/>
      <w:snapToGrid w:val="0"/>
    </w:rPr>
  </w:style>
  <w:style w:type="paragraph" w:styleId="3">
    <w:name w:val="Body Text"/>
    <w:basedOn w:val="1"/>
    <w:next w:val="4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2025-06-19T06:39:00Z</dcterms:created>
  <dc:creator>孙笑宇</dc:creator>
  <cp:lastModifiedBy>孙笑宇</cp:lastModifiedBy>
  <dcterms:modified xsi:type="dcterms:W3CDTF">2025-06-19T06:40:23Z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