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BF1A4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73AA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572F6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关于《门头沟区技术经理人培育三年行动计划（2025-2027）》（征求意见稿）的起草说明</w:t>
      </w:r>
    </w:p>
    <w:p w14:paraId="7FF9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302B0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一、编制情况</w:t>
      </w:r>
    </w:p>
    <w:p w14:paraId="21DCC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为深入贯彻落实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党的</w:t>
      </w:r>
      <w:r>
        <w:rPr>
          <w:rFonts w:hint="eastAsia" w:ascii="仿宋_GB2312" w:eastAsia="仿宋_GB2312" w:cs="仿宋_GB2312"/>
          <w:sz w:val="32"/>
          <w:szCs w:val="32"/>
        </w:rPr>
        <w:t>二十届三中全会关于加强技术经理人队伍建设的指示精神，积极践行《北京市促进科技成果转化条例》和《关于推动北京市技术经理人队伍建设工作方案》的各项工作要求，全面推进“科技强区”战略，充分发挥技术经理人在推动科技创新、促进成果转化、助力产业发展中的关键作用，结合门头沟区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科委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起草了《门头沟区技术经理人培育三年行动计划（2025-2027）》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5D0B0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该计划立足我区实际，深入研究其他地区的先进经验与有效措施，前期征求区委办公室、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区委组织部、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区委宣传部、区委统战部、区委政法委、区委网信办、区教委、区公安分局、区委社工部、区委编办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、区发改委、区经信局、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区民政局、区司法局、区财政局、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区人社局、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区规自分局、区住建委、区农业农村局、区商务局、区文旅局、区卫健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委、区市场局、区政府办、区国资委、区体育局、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中关村门头沟园管委会、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区总工会、团区委、区妇联、区科协、区税务局、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区投促中心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意见并依照各单位意见进行了认真修改，已提交法务审核通过。</w:t>
      </w:r>
    </w:p>
    <w:p w14:paraId="0AE9B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二、文件主要内容</w:t>
      </w:r>
    </w:p>
    <w:p w14:paraId="7B2B5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该文件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包含三个部分共十条内容，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工作目标、重点任务。重点任务分为三点：</w:t>
      </w:r>
    </w:p>
    <w:p w14:paraId="76FC3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一是加强技术经理人吸纳与培养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。围绕三大产业发展需求，设置技术经理人岗位，明确技术经理人岗位职责；加大技术经理人的引进力度，推广柔性引才机制；开发特色培训课程，结合实训基地锻炼，提升队伍业务水平。</w:t>
      </w:r>
    </w:p>
    <w:p w14:paraId="0907F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二是夯实科技成果转化资源网络。用好北京科技成果转化智能服务平台，建立具有我区特色的科技成果储备库；打造标杆转化服务机构和标杆平台，拓展技术经理人资源网络；强化产学研深度融合，促进科技成果转化与产业对接，擦亮技术转移活动品牌。</w:t>
      </w:r>
    </w:p>
    <w:p w14:paraId="7561D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激发技术经理人生态活力。设立专项资金支持技术经理人培训、奖励等工作；将引育的技术经理人推荐纳入“京西人才永定卡”服务范围，提高技术经理人待遇；完善技术经理人职称评价制度，激发队伍的创新活力与职业归属感；宣传推广优秀技术经理人事迹与科技成果转化成功案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00000000"/>
    <w:rsid w:val="108B2949"/>
    <w:rsid w:val="12D64AED"/>
    <w:rsid w:val="155818FB"/>
    <w:rsid w:val="158E6735"/>
    <w:rsid w:val="1B224FD2"/>
    <w:rsid w:val="1FFE3F9F"/>
    <w:rsid w:val="21F5393B"/>
    <w:rsid w:val="281F491E"/>
    <w:rsid w:val="2A892597"/>
    <w:rsid w:val="33710076"/>
    <w:rsid w:val="3AB44C23"/>
    <w:rsid w:val="45412E02"/>
    <w:rsid w:val="46350C91"/>
    <w:rsid w:val="65E80207"/>
    <w:rsid w:val="76681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customStyle="1" w:styleId="3">
    <w:name w:val="6-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8"/>
    </w:r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859</Characters>
  <Lines>0</Lines>
  <Paragraphs>0</Paragraphs>
  <TotalTime>1</TotalTime>
  <ScaleCrop>false</ScaleCrop>
  <LinksUpToDate>false</LinksUpToDate>
  <CharactersWithSpaces>859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kjxh1</dc:creator>
  <cp:lastModifiedBy>孙彤</cp:lastModifiedBy>
  <dcterms:modified xsi:type="dcterms:W3CDTF">2025-06-04T08:35:52Z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5EB2A94D6F144ABABDAF32E6316C4CD2_13</vt:lpwstr>
  </property>
</Properties>
</file>