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5A13A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6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6"/>
        </w:rPr>
        <w:t>附件1</w:t>
      </w:r>
    </w:p>
    <w:p w14:paraId="4D357C9C">
      <w:pPr>
        <w:pStyle w:val="8"/>
        <w:keepNext w:val="0"/>
        <w:keepLines w:val="0"/>
        <w:pageBreakBefore w:val="0"/>
        <w:widowControl/>
        <w:tabs>
          <w:tab w:val="left" w:pos="13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2025年“CBD论坛·乐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eastAsia="zh-CN"/>
        </w:rPr>
        <w:t>享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朝阳”消费券发放方案</w:t>
      </w:r>
    </w:p>
    <w:bookmarkEnd w:id="0"/>
    <w:p w14:paraId="13DB27A6">
      <w:pPr>
        <w:pStyle w:val="8"/>
        <w:keepNext w:val="0"/>
        <w:keepLines w:val="0"/>
        <w:pageBreakBefore w:val="0"/>
        <w:widowControl/>
        <w:tabs>
          <w:tab w:val="left" w:pos="13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</w:p>
    <w:p w14:paraId="6F3120E2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为充分激发CBD论坛期间消费活力，提振消费信心，推动文商旅体业态融合发展，助力区域经济高质量发展。拟发放2025年“CBD论坛·乐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朝阳”消费券，现草拟《2025年“CBD论坛·乐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朝阳”消费券发放方案》。</w:t>
      </w:r>
    </w:p>
    <w:p w14:paraId="32F2E4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一、活动主题</w:t>
      </w:r>
    </w:p>
    <w:p w14:paraId="6A14BC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2025年“CBD论坛·乐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朝阳”消费券</w:t>
      </w:r>
    </w:p>
    <w:p w14:paraId="4539B9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二、活动背景与目的</w:t>
      </w:r>
    </w:p>
    <w:p w14:paraId="236A6A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充分激发CBD论坛期间消费活力，联动全区重点商业企业，聚焦百货、超市、食品、文体等领域及商业综合体（餐饮领域），发放总额350万元消费券，进一步激发市场活力，提振消费信心，推动文商旅体业态深度融合，助力区域经济高质量发展。</w:t>
      </w:r>
    </w:p>
    <w:p w14:paraId="5BD2664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18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活动内容</w:t>
      </w:r>
    </w:p>
    <w:p w14:paraId="47B1732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发放主体</w:t>
      </w:r>
    </w:p>
    <w:p w14:paraId="048CB1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百货、超市、食品、文体领域发放主体为在我区规范经营的企业，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按照企业申报情况和</w:t>
      </w:r>
      <w:r>
        <w:rPr>
          <w:rFonts w:hint="default" w:ascii="Times New Roman" w:hAnsi="Times New Roman" w:eastAsia="仿宋_GB2312" w:cs="Times New Roman"/>
          <w:sz w:val="32"/>
        </w:rPr>
        <w:t>对经济有拉动作用或知名度较高、有影响力的重点零售企业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选定发放消费券企业；餐饮领域发放主体为我区规范经营的商业综合体。      </w:t>
      </w:r>
    </w:p>
    <w:p w14:paraId="06107F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FF0000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（二）发放时间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2025年6月11日-22日，需覆盖6月11日-6月13日CBD论坛期间，6月22日前结束发放</w:t>
      </w:r>
    </w:p>
    <w:p w14:paraId="727413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（三）拟发放规模</w:t>
      </w:r>
    </w:p>
    <w:p w14:paraId="349B529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总额不超过350万元。其中，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百货、超市、食品、文体领域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不超过300万元，餐饮领域不超过50万元。</w:t>
      </w:r>
    </w:p>
    <w:p w14:paraId="4E5206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（四）参与规则</w:t>
      </w:r>
    </w:p>
    <w:p w14:paraId="654CF0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1.发放规则：将350万元消费券额度使用权按行业和企业申报情况统筹分配至重点企业，由企业对到店消费者进行公平公正公开的发放。</w:t>
      </w:r>
    </w:p>
    <w:p w14:paraId="198226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2.核销规则：活动期间由企业进行核销。活动结束后，由企业提交核销明细以及证明完成核销的材料</w:t>
      </w:r>
      <w:r>
        <w:rPr>
          <w:rFonts w:hint="default" w:ascii="Times New Roman" w:hAnsi="Times New Roman" w:eastAsia="楷体_GB2312" w:cs="Times New Roman"/>
          <w:sz w:val="28"/>
          <w:szCs w:val="28"/>
        </w:rPr>
        <w:t>（包括但不限于加盖单位公章的核销情况说明、核销明细、发票等）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。政府委托第三方审核企业核销材料并按5%比例抽查核销明细。如材料或核销明细不齐全，应由企业退还相应金额。</w:t>
      </w:r>
    </w:p>
    <w:p w14:paraId="7F511F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3.其他说明:</w:t>
      </w:r>
    </w:p>
    <w:p w14:paraId="08685B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（1）消费者获取消费券后，电子消费券不找零、不拆分、不转让、不重复使用，截屏、复制、修改、转发无效。每笔消费限用一张，可同时叠加活动商户的其它优惠活动。</w:t>
      </w:r>
    </w:p>
    <w:p w14:paraId="48D76A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消费补贴券核销的交易如发生退款、撤销，退款金额扣除核销的优惠金额后退回至消费者原付款卡，已核销的消费券资金按照比例退回资金池。消费补贴券按到期时间来计算是否继续有效。消费补贴券有效期内发生交易退货的，消费补贴券原路退回，有效期内可再次使用；在消费补贴券有效期后发生交易退货的，消费补贴券不再退回，不再补发消费补贴券。</w:t>
      </w:r>
    </w:p>
    <w:p w14:paraId="61E7D7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活动期间，消费者与企业应自觉遵守活动规则，坚决抵制消费券套利等违法违规行为。消费券仅限本人现场真实消费使用，禁止转售，不得用于购买购物卡、对虚拟账户充值、虚拟交易、自买自卖、非现场消费、刷单、分单、恶意套利等违反消费券发放规则、损害公共利益或其他违反国家法律法规的行为。一经发现取消补贴资格或采取限制领取、使用消费券等措施。如存在违法违规行为造成严重后果的，将依法依规追究相应责任。</w:t>
      </w:r>
    </w:p>
    <w:p w14:paraId="2B21A4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Calibri"/>
        <w:kern w:val="2"/>
        <w:sz w:val="21"/>
        <w:szCs w:val="21"/>
        <w:lang w:val="en-US" w:eastAsia="zh-CN" w:bidi="ar-SA"/>
      </w:rPr>
      <w:id w:val="122321258"/>
    </w:sdtPr>
    <w:sdtEndPr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sdtEndPr>
    <w:sdtContent>
      <w:p w14:paraId="78257EB5">
        <w:pPr>
          <w:widowControl w:val="0"/>
          <w:snapToGrid w:val="0"/>
          <w:jc w:val="center"/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</w:pP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instrText xml:space="preserve"> PAGE   \* MERGEFORMAT </w:instrText>
        </w: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Calibri" w:hAnsi="Calibri" w:eastAsia="宋体" w:cs="Calibri"/>
            <w:kern w:val="2"/>
            <w:sz w:val="18"/>
            <w:szCs w:val="18"/>
            <w:lang w:val="zh-CN" w:eastAsia="zh-CN" w:bidi="ar-SA"/>
          </w:rPr>
          <w:t>8</w:t>
        </w: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  <w:p w14:paraId="403887E3">
    <w:pPr>
      <w:widowControl w:val="0"/>
      <w:snapToGrid w:val="0"/>
      <w:ind w:firstLine="36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C9E02"/>
    <w:multiLevelType w:val="singleLevel"/>
    <w:tmpl w:val="F9FC9E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EF5206"/>
    <w:multiLevelType w:val="singleLevel"/>
    <w:tmpl w:val="FFEF520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OGU5NWViYmY4Y2M1MjAyYzdiYWU4NWIzY2RjMjkifQ=="/>
  </w:docVars>
  <w:rsids>
    <w:rsidRoot w:val="0066477B"/>
    <w:rsid w:val="000E282C"/>
    <w:rsid w:val="001A1902"/>
    <w:rsid w:val="002312B2"/>
    <w:rsid w:val="00260D91"/>
    <w:rsid w:val="00352D5B"/>
    <w:rsid w:val="0037498E"/>
    <w:rsid w:val="003834F1"/>
    <w:rsid w:val="0066477B"/>
    <w:rsid w:val="006C3C9D"/>
    <w:rsid w:val="0072565D"/>
    <w:rsid w:val="00775E92"/>
    <w:rsid w:val="00777FB8"/>
    <w:rsid w:val="007D3319"/>
    <w:rsid w:val="00811795"/>
    <w:rsid w:val="00817020"/>
    <w:rsid w:val="0083379B"/>
    <w:rsid w:val="00936B73"/>
    <w:rsid w:val="0098149D"/>
    <w:rsid w:val="00A81667"/>
    <w:rsid w:val="00B71AD6"/>
    <w:rsid w:val="00BC649D"/>
    <w:rsid w:val="00E01207"/>
    <w:rsid w:val="00E1172F"/>
    <w:rsid w:val="00E4297F"/>
    <w:rsid w:val="00EC10B1"/>
    <w:rsid w:val="00F91B23"/>
    <w:rsid w:val="00FD6BDF"/>
    <w:rsid w:val="0BEBB41D"/>
    <w:rsid w:val="39EE742B"/>
    <w:rsid w:val="3D795EAA"/>
    <w:rsid w:val="529927CA"/>
    <w:rsid w:val="757A8ABB"/>
    <w:rsid w:val="76FF08D2"/>
    <w:rsid w:val="84FE2A17"/>
    <w:rsid w:val="BDCBA952"/>
    <w:rsid w:val="BFEFF3DC"/>
    <w:rsid w:val="F2F70A0C"/>
    <w:rsid w:val="FFDF6C5C"/>
    <w:rsid w:val="FFFB825D"/>
    <w:rsid w:val="FFFE76BC"/>
    <w:rsid w:val="FF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2 Char"/>
    <w:basedOn w:val="10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HTML 预设格式 Char"/>
    <w:basedOn w:val="10"/>
    <w:link w:val="7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441</Words>
  <Characters>533</Characters>
  <Lines>17</Lines>
  <Paragraphs>4</Paragraphs>
  <TotalTime>10</TotalTime>
  <ScaleCrop>false</ScaleCrop>
  <LinksUpToDate>false</LinksUpToDate>
  <CharactersWithSpaces>533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2024-07-28T10:50:00Z</dcterms:created>
  <dc:creator>盛骥</dc:creator>
  <cp:lastModifiedBy>刘瑞</cp:lastModifiedBy>
  <cp:lastPrinted>2025-02-14T01:41:00Z</cp:lastPrinted>
  <dcterms:modified xsi:type="dcterms:W3CDTF">2025-06-03T06:36:28Z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1E20784FA1EF4AD3AC19039FD2D0CA23_12</vt:lpwstr>
  </property>
</Properties>
</file>